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7.xml" ContentType="application/vnd.openxmlformats-officedocument.wordprocessingml.header+xml"/>
  <Override PartName="/word/footer3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0.xml" ContentType="application/vnd.openxmlformats-officedocument.wordprocessingml.header+xml"/>
  <Override PartName="/word/footer3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3.xml" ContentType="application/vnd.openxmlformats-officedocument.wordprocessingml.header+xml"/>
  <Override PartName="/word/footer3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6.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9.xml" ContentType="application/vnd.openxmlformats-officedocument.wordprocessingml.header+xml"/>
  <Override PartName="/word/footer4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2.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443" w:rsidRPr="007B2462" w:rsidRDefault="00A97443" w:rsidP="00A97443">
      <w:pPr>
        <w:pBdr>
          <w:bottom w:val="single" w:sz="12" w:space="0" w:color="auto"/>
        </w:pBdr>
        <w:spacing w:before="1560"/>
        <w:jc w:val="center"/>
        <w:rPr>
          <w:rFonts w:ascii="Calibri" w:hAnsi="Calibri"/>
          <w:b/>
          <w:sz w:val="52"/>
          <w:szCs w:val="52"/>
        </w:rPr>
      </w:pPr>
      <w:bookmarkStart w:id="0" w:name="_Toc472072539"/>
      <w:r>
        <w:rPr>
          <w:rFonts w:ascii="Calibri" w:hAnsi="Calibri"/>
          <w:b/>
          <w:sz w:val="52"/>
          <w:szCs w:val="52"/>
        </w:rPr>
        <w:t>Budget Update</w:t>
      </w:r>
    </w:p>
    <w:p w:rsidR="00A97443" w:rsidRPr="00E34C95" w:rsidRDefault="00A97443" w:rsidP="00A97443">
      <w:pPr>
        <w:jc w:val="center"/>
        <w:rPr>
          <w:rFonts w:ascii="Calibri" w:hAnsi="Calibri"/>
          <w:b/>
          <w:sz w:val="50"/>
          <w:szCs w:val="52"/>
        </w:rPr>
      </w:pPr>
      <w:r w:rsidRPr="007B2462">
        <w:rPr>
          <w:rFonts w:ascii="Calibri" w:hAnsi="Calibri"/>
          <w:b/>
          <w:sz w:val="52"/>
          <w:szCs w:val="52"/>
        </w:rPr>
        <w:t>201</w:t>
      </w:r>
      <w:r w:rsidR="00CB74DA">
        <w:rPr>
          <w:rFonts w:ascii="Calibri" w:hAnsi="Calibri"/>
          <w:b/>
          <w:sz w:val="52"/>
          <w:szCs w:val="52"/>
        </w:rPr>
        <w:t>8</w:t>
      </w:r>
      <w:r>
        <w:rPr>
          <w:rFonts w:ascii="Calibri" w:hAnsi="Calibri"/>
          <w:b/>
          <w:sz w:val="52"/>
          <w:szCs w:val="52"/>
        </w:rPr>
        <w:noBreakHyphen/>
        <w:t>1</w:t>
      </w:r>
      <w:r w:rsidR="00CB74DA">
        <w:rPr>
          <w:rFonts w:ascii="Calibri" w:hAnsi="Calibri"/>
          <w:b/>
          <w:sz w:val="52"/>
          <w:szCs w:val="52"/>
        </w:rPr>
        <w:t>9</w:t>
      </w:r>
    </w:p>
    <w:p w:rsidR="00A97443" w:rsidRDefault="00A97443" w:rsidP="00A97443">
      <w:pPr>
        <w:jc w:val="center"/>
        <w:rPr>
          <w:rFonts w:ascii="Calibri" w:hAnsi="Calibri"/>
          <w:sz w:val="30"/>
          <w:szCs w:val="30"/>
        </w:rPr>
      </w:pPr>
    </w:p>
    <w:p w:rsidR="00A97443" w:rsidRPr="007B2462" w:rsidRDefault="00A97443" w:rsidP="00A97443">
      <w:pPr>
        <w:jc w:val="center"/>
        <w:rPr>
          <w:rFonts w:ascii="Calibri" w:hAnsi="Calibri"/>
          <w:sz w:val="30"/>
          <w:szCs w:val="30"/>
        </w:rPr>
      </w:pPr>
    </w:p>
    <w:p w:rsidR="00A97443" w:rsidRPr="007B2462" w:rsidRDefault="00A97443" w:rsidP="00A97443">
      <w:pPr>
        <w:jc w:val="center"/>
      </w:pPr>
      <w:r w:rsidRPr="00D26163">
        <w:rPr>
          <w:rFonts w:ascii="Calibri" w:hAnsi="Calibri" w:cs="Calibri"/>
          <w:noProof/>
          <w:lang w:eastAsia="en-AU"/>
        </w:rPr>
        <w:drawing>
          <wp:inline distT="0" distB="0" distL="0" distR="0" wp14:anchorId="2FC262D0" wp14:editId="4F559702">
            <wp:extent cx="940435" cy="1147445"/>
            <wp:effectExtent l="0" t="0" r="0" b="0"/>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A97443" w:rsidRPr="007B2462" w:rsidRDefault="00A97443" w:rsidP="00601784">
      <w:pPr>
        <w:spacing w:before="1760"/>
        <w:jc w:val="center"/>
        <w:rPr>
          <w:rFonts w:ascii="Calibri" w:hAnsi="Calibri"/>
          <w:sz w:val="28"/>
          <w:szCs w:val="28"/>
        </w:rPr>
      </w:pPr>
      <w:r w:rsidRPr="007B2462">
        <w:rPr>
          <w:rFonts w:ascii="Calibri" w:hAnsi="Calibri"/>
          <w:sz w:val="28"/>
          <w:szCs w:val="28"/>
        </w:rPr>
        <w:t>Presented by</w:t>
      </w:r>
    </w:p>
    <w:p w:rsidR="00A97443" w:rsidRPr="00D26163" w:rsidRDefault="00A97443" w:rsidP="00A97443">
      <w:pPr>
        <w:jc w:val="center"/>
        <w:rPr>
          <w:rFonts w:ascii="Calibri" w:hAnsi="Calibri" w:cs="Calibri"/>
          <w:b/>
          <w:sz w:val="36"/>
          <w:szCs w:val="36"/>
        </w:rPr>
      </w:pPr>
      <w:r w:rsidRPr="00D26163">
        <w:rPr>
          <w:rFonts w:ascii="Calibri" w:hAnsi="Calibri" w:cs="Calibri"/>
          <w:b/>
          <w:sz w:val="36"/>
          <w:szCs w:val="36"/>
        </w:rPr>
        <w:t>Tim Pallas MP</w:t>
      </w:r>
    </w:p>
    <w:p w:rsidR="00A97443" w:rsidRPr="00D26163" w:rsidRDefault="00A97443" w:rsidP="00A97443">
      <w:pPr>
        <w:jc w:val="center"/>
        <w:rPr>
          <w:rFonts w:ascii="Calibri" w:hAnsi="Calibri" w:cs="Calibri"/>
          <w:sz w:val="28"/>
          <w:szCs w:val="28"/>
        </w:rPr>
      </w:pPr>
      <w:r w:rsidRPr="00D26163">
        <w:rPr>
          <w:rFonts w:ascii="Calibri" w:hAnsi="Calibri" w:cs="Calibri"/>
          <w:sz w:val="28"/>
          <w:szCs w:val="28"/>
        </w:rPr>
        <w:t>Treasurer of the State of Victoria</w:t>
      </w:r>
    </w:p>
    <w:p w:rsidR="00A97443" w:rsidRPr="007B2462" w:rsidRDefault="00A97443" w:rsidP="00A97443">
      <w:pPr>
        <w:jc w:val="center"/>
        <w:rPr>
          <w:rFonts w:ascii="Calibri" w:hAnsi="Calibri"/>
          <w:sz w:val="30"/>
          <w:szCs w:val="30"/>
        </w:rPr>
      </w:pPr>
      <w:r w:rsidRPr="007B2462">
        <w:rPr>
          <w:rFonts w:ascii="Calibri" w:hAnsi="Calibri"/>
          <w:sz w:val="30"/>
          <w:szCs w:val="30"/>
        </w:rPr>
        <w:t>for the information of Honourable Members</w:t>
      </w:r>
    </w:p>
    <w:p w:rsidR="00A97443" w:rsidRDefault="00A97443" w:rsidP="00A97443">
      <w:pPr>
        <w:sectPr w:rsidR="00A97443" w:rsidSect="00A97443">
          <w:type w:val="continuous"/>
          <w:pgSz w:w="9979" w:h="14175" w:code="9"/>
          <w:pgMar w:top="850" w:right="1134" w:bottom="850" w:left="1134" w:header="624" w:footer="567" w:gutter="0"/>
          <w:cols w:sep="1" w:space="567"/>
          <w:docGrid w:linePitch="360"/>
        </w:sectPr>
      </w:pPr>
    </w:p>
    <w:p w:rsidR="004B094E" w:rsidRPr="004B094E" w:rsidRDefault="004B094E" w:rsidP="004B094E">
      <w:pPr>
        <w:pStyle w:val="NoSpacing"/>
        <w:rPr>
          <w:sz w:val="18"/>
          <w:szCs w:val="18"/>
        </w:rPr>
      </w:pPr>
      <w:r w:rsidRPr="004B094E">
        <w:rPr>
          <w:sz w:val="18"/>
          <w:szCs w:val="18"/>
        </w:rPr>
        <w:lastRenderedPageBreak/>
        <w:t>The Secretary</w:t>
      </w:r>
    </w:p>
    <w:p w:rsidR="004B094E" w:rsidRPr="004B094E" w:rsidRDefault="004B094E" w:rsidP="004B094E">
      <w:pPr>
        <w:pStyle w:val="NoSpacing"/>
        <w:rPr>
          <w:sz w:val="18"/>
          <w:szCs w:val="18"/>
        </w:rPr>
      </w:pPr>
      <w:r w:rsidRPr="004B094E">
        <w:rPr>
          <w:sz w:val="18"/>
          <w:szCs w:val="18"/>
        </w:rPr>
        <w:t>Department of Treasury and Finance</w:t>
      </w:r>
    </w:p>
    <w:p w:rsidR="004B094E" w:rsidRPr="004B094E" w:rsidRDefault="004B094E" w:rsidP="004B094E">
      <w:pPr>
        <w:pStyle w:val="NoSpacing"/>
        <w:rPr>
          <w:sz w:val="18"/>
          <w:szCs w:val="18"/>
        </w:rPr>
      </w:pPr>
      <w:r w:rsidRPr="004B094E">
        <w:rPr>
          <w:sz w:val="18"/>
          <w:szCs w:val="18"/>
        </w:rPr>
        <w:t>1 Treasury Place</w:t>
      </w:r>
    </w:p>
    <w:p w:rsidR="004B094E" w:rsidRPr="004B094E" w:rsidRDefault="004B094E" w:rsidP="004B094E">
      <w:pPr>
        <w:pStyle w:val="NoSpacing"/>
        <w:rPr>
          <w:sz w:val="18"/>
          <w:szCs w:val="18"/>
        </w:rPr>
      </w:pPr>
      <w:r w:rsidRPr="004B094E">
        <w:rPr>
          <w:sz w:val="18"/>
          <w:szCs w:val="18"/>
        </w:rPr>
        <w:t>Melbourne, Victoria, 3002</w:t>
      </w:r>
    </w:p>
    <w:p w:rsidR="004B094E" w:rsidRPr="004B094E" w:rsidRDefault="004B094E" w:rsidP="004B094E">
      <w:pPr>
        <w:pStyle w:val="NoSpacing"/>
        <w:rPr>
          <w:sz w:val="18"/>
          <w:szCs w:val="18"/>
        </w:rPr>
      </w:pPr>
      <w:r w:rsidRPr="004B094E">
        <w:rPr>
          <w:sz w:val="18"/>
          <w:szCs w:val="18"/>
        </w:rPr>
        <w:t>Australia</w:t>
      </w:r>
    </w:p>
    <w:p w:rsidR="004B094E" w:rsidRPr="004B094E" w:rsidRDefault="004B094E" w:rsidP="004B094E">
      <w:pPr>
        <w:pStyle w:val="NoSpacing"/>
        <w:rPr>
          <w:sz w:val="18"/>
          <w:szCs w:val="18"/>
        </w:rPr>
      </w:pPr>
      <w:r w:rsidRPr="004B094E">
        <w:rPr>
          <w:sz w:val="18"/>
          <w:szCs w:val="18"/>
        </w:rPr>
        <w:t>Tel: +61 3 9651 5111</w:t>
      </w:r>
    </w:p>
    <w:p w:rsidR="004B094E" w:rsidRPr="004B094E" w:rsidRDefault="004B094E" w:rsidP="004B094E">
      <w:pPr>
        <w:pStyle w:val="NoSpacing"/>
        <w:rPr>
          <w:sz w:val="18"/>
          <w:szCs w:val="18"/>
        </w:rPr>
      </w:pPr>
      <w:r w:rsidRPr="004B094E">
        <w:rPr>
          <w:sz w:val="18"/>
          <w:szCs w:val="18"/>
        </w:rPr>
        <w:t>Fax: +61 3 9651 2062</w:t>
      </w:r>
    </w:p>
    <w:p w:rsidR="004B094E" w:rsidRPr="004B094E" w:rsidRDefault="004B094E" w:rsidP="004B094E">
      <w:pPr>
        <w:pStyle w:val="NoSpacing"/>
        <w:rPr>
          <w:sz w:val="18"/>
          <w:szCs w:val="18"/>
        </w:rPr>
      </w:pPr>
      <w:r w:rsidRPr="004B094E">
        <w:rPr>
          <w:sz w:val="18"/>
          <w:szCs w:val="18"/>
        </w:rPr>
        <w:t>Website: dtf.vic.gov.au</w:t>
      </w:r>
    </w:p>
    <w:p w:rsidR="004B094E" w:rsidRPr="004B094E" w:rsidRDefault="004B094E" w:rsidP="004B094E">
      <w:pPr>
        <w:pStyle w:val="NoSpacing"/>
        <w:spacing w:before="120"/>
        <w:rPr>
          <w:sz w:val="18"/>
          <w:szCs w:val="18"/>
        </w:rPr>
      </w:pPr>
      <w:r w:rsidRPr="004B094E">
        <w:rPr>
          <w:sz w:val="18"/>
          <w:szCs w:val="18"/>
        </w:rPr>
        <w:t>Authorised by the Victorian Government</w:t>
      </w:r>
    </w:p>
    <w:p w:rsidR="004B094E" w:rsidRPr="004B094E" w:rsidRDefault="004B094E" w:rsidP="004B094E">
      <w:pPr>
        <w:pStyle w:val="NoSpacing"/>
        <w:rPr>
          <w:sz w:val="18"/>
          <w:szCs w:val="18"/>
        </w:rPr>
      </w:pPr>
      <w:r w:rsidRPr="004B094E">
        <w:rPr>
          <w:sz w:val="18"/>
          <w:szCs w:val="18"/>
        </w:rPr>
        <w:t>1 Treasury Place, Melbourne, 3002</w:t>
      </w:r>
    </w:p>
    <w:p w:rsidR="004B094E" w:rsidRPr="004B094E" w:rsidRDefault="004B094E" w:rsidP="004B094E">
      <w:pPr>
        <w:pStyle w:val="NoSpacing"/>
        <w:spacing w:before="120"/>
        <w:rPr>
          <w:sz w:val="18"/>
          <w:szCs w:val="18"/>
        </w:rPr>
      </w:pPr>
      <w:r w:rsidRPr="004B094E">
        <w:rPr>
          <w:sz w:val="18"/>
          <w:szCs w:val="18"/>
        </w:rPr>
        <w:t>Printed by Doculink, Port Melbourne</w:t>
      </w:r>
    </w:p>
    <w:p w:rsidR="004B094E" w:rsidRPr="004B094E" w:rsidRDefault="004B094E" w:rsidP="004B094E">
      <w:pPr>
        <w:pStyle w:val="NoSpacing"/>
        <w:rPr>
          <w:sz w:val="18"/>
          <w:szCs w:val="18"/>
        </w:rPr>
      </w:pPr>
      <w:r w:rsidRPr="004B094E">
        <w:rPr>
          <w:sz w:val="18"/>
          <w:szCs w:val="18"/>
        </w:rPr>
        <w:t>Printed on recycled paper</w:t>
      </w:r>
    </w:p>
    <w:p w:rsidR="004B094E" w:rsidRPr="004B094E" w:rsidRDefault="004B094E" w:rsidP="004B094E">
      <w:pPr>
        <w:pStyle w:val="NoSpacing"/>
        <w:rPr>
          <w:sz w:val="18"/>
          <w:szCs w:val="18"/>
        </w:rPr>
      </w:pPr>
      <w:r>
        <w:rPr>
          <w:sz w:val="18"/>
          <w:szCs w:val="18"/>
        </w:rPr>
        <w:br w:type="column"/>
      </w:r>
      <w:r w:rsidRPr="004B094E">
        <w:rPr>
          <w:sz w:val="18"/>
          <w:szCs w:val="18"/>
        </w:rPr>
        <w:t>© State of Victoria 2018</w:t>
      </w:r>
    </w:p>
    <w:p w:rsidR="004B094E" w:rsidRPr="004B094E" w:rsidRDefault="004B094E" w:rsidP="004B094E">
      <w:pPr>
        <w:pStyle w:val="NoSpacing"/>
        <w:rPr>
          <w:sz w:val="18"/>
          <w:szCs w:val="18"/>
        </w:rPr>
      </w:pPr>
      <w:r w:rsidRPr="004B094E">
        <w:rPr>
          <w:sz w:val="18"/>
          <w:szCs w:val="18"/>
        </w:rPr>
        <w:t>(Department of Treasury and Finance)</w:t>
      </w:r>
    </w:p>
    <w:p w:rsidR="004B094E" w:rsidRDefault="004B094E" w:rsidP="004B094E">
      <w:pPr>
        <w:pStyle w:val="NoSpacing"/>
        <w:rPr>
          <w:sz w:val="18"/>
          <w:szCs w:val="18"/>
        </w:rPr>
      </w:pPr>
      <w:r>
        <w:rPr>
          <w:noProof/>
          <w:sz w:val="18"/>
          <w:szCs w:val="18"/>
        </w:rPr>
        <w:drawing>
          <wp:inline distT="0" distB="0" distL="0" distR="0">
            <wp:extent cx="771896" cy="270068"/>
            <wp:effectExtent l="0" t="0" r="0" b="0"/>
            <wp:docPr id="12" name="Picture 1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reative Common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9984" cy="276397"/>
                    </a:xfrm>
                    <a:prstGeom prst="rect">
                      <a:avLst/>
                    </a:prstGeom>
                  </pic:spPr>
                </pic:pic>
              </a:graphicData>
            </a:graphic>
          </wp:inline>
        </w:drawing>
      </w:r>
    </w:p>
    <w:p w:rsidR="004B094E" w:rsidRPr="004B094E" w:rsidRDefault="004B094E" w:rsidP="004B094E">
      <w:pPr>
        <w:pStyle w:val="NoSpacing"/>
        <w:ind w:right="146"/>
        <w:rPr>
          <w:sz w:val="18"/>
          <w:szCs w:val="18"/>
        </w:rPr>
      </w:pPr>
      <w:r w:rsidRPr="004B094E">
        <w:rPr>
          <w:sz w:val="18"/>
          <w:szCs w:val="18"/>
        </w:rPr>
        <w:t>You are free to re-use this work un</w:t>
      </w:r>
      <w:r>
        <w:rPr>
          <w:sz w:val="18"/>
          <w:szCs w:val="18"/>
        </w:rPr>
        <w:t xml:space="preserve">der a Creative </w:t>
      </w:r>
      <w:r w:rsidRPr="004B094E">
        <w:rPr>
          <w:sz w:val="18"/>
          <w:szCs w:val="18"/>
        </w:rPr>
        <w:t>Commons Attrib</w:t>
      </w:r>
      <w:r>
        <w:rPr>
          <w:sz w:val="18"/>
          <w:szCs w:val="18"/>
        </w:rPr>
        <w:t xml:space="preserve">ution 4.0 licence, provided you </w:t>
      </w:r>
      <w:r w:rsidRPr="004B094E">
        <w:rPr>
          <w:sz w:val="18"/>
          <w:szCs w:val="18"/>
        </w:rPr>
        <w:t>credit the State of Victoria (Department of Treasury</w:t>
      </w:r>
      <w:r>
        <w:rPr>
          <w:sz w:val="18"/>
          <w:szCs w:val="18"/>
        </w:rPr>
        <w:t xml:space="preserve"> </w:t>
      </w:r>
      <w:r w:rsidRPr="004B094E">
        <w:rPr>
          <w:sz w:val="18"/>
          <w:szCs w:val="18"/>
        </w:rPr>
        <w:t>and Finance) as author, indicate if changes were</w:t>
      </w:r>
      <w:r>
        <w:rPr>
          <w:sz w:val="18"/>
          <w:szCs w:val="18"/>
        </w:rPr>
        <w:t xml:space="preserve"> </w:t>
      </w:r>
      <w:r w:rsidRPr="004B094E">
        <w:rPr>
          <w:sz w:val="18"/>
          <w:szCs w:val="18"/>
        </w:rPr>
        <w:t>made and comply with the other licence terms.</w:t>
      </w:r>
      <w:r>
        <w:rPr>
          <w:sz w:val="18"/>
          <w:szCs w:val="18"/>
        </w:rPr>
        <w:t xml:space="preserve"> </w:t>
      </w:r>
      <w:r w:rsidRPr="004B094E">
        <w:rPr>
          <w:sz w:val="18"/>
          <w:szCs w:val="18"/>
        </w:rPr>
        <w:t>The</w:t>
      </w:r>
      <w:r>
        <w:rPr>
          <w:sz w:val="18"/>
          <w:szCs w:val="18"/>
        </w:rPr>
        <w:t> </w:t>
      </w:r>
      <w:r w:rsidRPr="004B094E">
        <w:rPr>
          <w:sz w:val="18"/>
          <w:szCs w:val="18"/>
        </w:rPr>
        <w:t>licence does not apply to any branding,</w:t>
      </w:r>
      <w:r>
        <w:rPr>
          <w:sz w:val="18"/>
          <w:szCs w:val="18"/>
        </w:rPr>
        <w:t xml:space="preserve"> </w:t>
      </w:r>
      <w:r w:rsidRPr="004B094E">
        <w:rPr>
          <w:sz w:val="18"/>
          <w:szCs w:val="18"/>
        </w:rPr>
        <w:t>including Government logos.</w:t>
      </w:r>
    </w:p>
    <w:p w:rsidR="004B094E" w:rsidRPr="004B094E" w:rsidRDefault="004B094E" w:rsidP="004B094E">
      <w:pPr>
        <w:pStyle w:val="NoSpacing"/>
        <w:spacing w:before="120"/>
        <w:rPr>
          <w:sz w:val="18"/>
          <w:szCs w:val="18"/>
        </w:rPr>
      </w:pPr>
      <w:r w:rsidRPr="004B094E">
        <w:rPr>
          <w:sz w:val="18"/>
          <w:szCs w:val="18"/>
        </w:rPr>
        <w:t>Copyright queries may be directed to</w:t>
      </w:r>
      <w:r>
        <w:rPr>
          <w:sz w:val="18"/>
          <w:szCs w:val="18"/>
        </w:rPr>
        <w:br/>
      </w:r>
      <w:hyperlink r:id="rId9" w:history="1">
        <w:r w:rsidRPr="004F4E3A">
          <w:rPr>
            <w:rStyle w:val="Hyperlink"/>
            <w:sz w:val="18"/>
            <w:szCs w:val="18"/>
          </w:rPr>
          <w:t>IPpolicy@dtf.vic.gov.au</w:t>
        </w:r>
      </w:hyperlink>
      <w:r w:rsidRPr="004B094E">
        <w:rPr>
          <w:sz w:val="18"/>
          <w:szCs w:val="18"/>
        </w:rPr>
        <w:t>.</w:t>
      </w:r>
    </w:p>
    <w:p w:rsidR="004B094E" w:rsidRPr="004B094E" w:rsidRDefault="004B094E" w:rsidP="004B094E">
      <w:pPr>
        <w:pStyle w:val="NoSpacing"/>
        <w:spacing w:before="120"/>
        <w:rPr>
          <w:sz w:val="18"/>
          <w:szCs w:val="18"/>
        </w:rPr>
      </w:pPr>
      <w:r w:rsidRPr="004B094E">
        <w:rPr>
          <w:sz w:val="18"/>
          <w:szCs w:val="18"/>
        </w:rPr>
        <w:t>ISSN 2204-7182 (print)</w:t>
      </w:r>
    </w:p>
    <w:p w:rsidR="004B094E" w:rsidRPr="004B094E" w:rsidRDefault="004B094E" w:rsidP="004B094E">
      <w:pPr>
        <w:pStyle w:val="NoSpacing"/>
        <w:rPr>
          <w:sz w:val="18"/>
          <w:szCs w:val="18"/>
        </w:rPr>
      </w:pPr>
      <w:r w:rsidRPr="004B094E">
        <w:rPr>
          <w:sz w:val="18"/>
          <w:szCs w:val="18"/>
        </w:rPr>
        <w:t>ISSN 2204-4701 (online)</w:t>
      </w:r>
    </w:p>
    <w:p w:rsidR="00A97443" w:rsidRPr="004B094E" w:rsidRDefault="004B094E" w:rsidP="004B094E">
      <w:pPr>
        <w:pStyle w:val="NoSpacing"/>
        <w:rPr>
          <w:sz w:val="18"/>
          <w:szCs w:val="18"/>
        </w:rPr>
      </w:pPr>
      <w:r w:rsidRPr="004B094E">
        <w:rPr>
          <w:sz w:val="18"/>
          <w:szCs w:val="18"/>
        </w:rPr>
        <w:t>Published December 2018</w:t>
      </w:r>
    </w:p>
    <w:p w:rsidR="00A97443" w:rsidRDefault="00A97443" w:rsidP="00A97443">
      <w:pPr>
        <w:sectPr w:rsidR="00A97443" w:rsidSect="004B094E">
          <w:footerReference w:type="even" r:id="rId10"/>
          <w:pgSz w:w="9979" w:h="14175" w:code="34"/>
          <w:pgMar w:top="851" w:right="1134" w:bottom="851" w:left="1134" w:header="624" w:footer="567" w:gutter="0"/>
          <w:cols w:num="2" w:space="563" w:equalWidth="0">
            <w:col w:w="3312" w:space="563"/>
            <w:col w:w="3836"/>
          </w:cols>
          <w:vAlign w:val="bottom"/>
          <w:docGrid w:linePitch="360"/>
        </w:sectPr>
      </w:pPr>
    </w:p>
    <w:p w:rsidR="00A97443" w:rsidRPr="006F6363" w:rsidRDefault="00A97443" w:rsidP="00241C02">
      <w:pPr>
        <w:pBdr>
          <w:bottom w:val="single" w:sz="6" w:space="1" w:color="auto"/>
        </w:pBdr>
        <w:spacing w:before="1440" w:after="240"/>
        <w:rPr>
          <w:rFonts w:ascii="Calibri" w:hAnsi="Calibri"/>
          <w:b/>
          <w:caps/>
          <w:sz w:val="36"/>
        </w:rPr>
      </w:pPr>
      <w:bookmarkStart w:id="1" w:name="_Toc481013395"/>
      <w:r w:rsidRPr="006F6363">
        <w:rPr>
          <w:rFonts w:ascii="Calibri" w:hAnsi="Calibri"/>
          <w:b/>
          <w:caps/>
          <w:sz w:val="36"/>
        </w:rPr>
        <w:lastRenderedPageBreak/>
        <w:t>TABLE OF CONTENTS</w:t>
      </w:r>
      <w:bookmarkEnd w:id="1"/>
    </w:p>
    <w:p w:rsidR="00D72C12" w:rsidRDefault="00A97443">
      <w:pPr>
        <w:pStyle w:val="TOC1"/>
        <w:rPr>
          <w:rFonts w:asciiTheme="minorHAnsi" w:eastAsiaTheme="minorEastAsia" w:hAnsiTheme="minorHAnsi"/>
          <w:b w:val="0"/>
          <w:noProof/>
          <w:spacing w:val="0"/>
          <w:sz w:val="22"/>
          <w:szCs w:val="22"/>
          <w:lang w:eastAsia="en-AU"/>
        </w:rPr>
      </w:pPr>
      <w:r w:rsidRPr="000A1C51">
        <w:rPr>
          <w:b w:val="0"/>
        </w:rPr>
        <w:fldChar w:fldCharType="begin"/>
      </w:r>
      <w:r w:rsidRPr="000A1C51">
        <w:rPr>
          <w:b w:val="0"/>
        </w:rPr>
        <w:instrText xml:space="preserve"> TOC \h \z \t "Heading 1,2,Chapter heading,1,Heading 1 (#),2" </w:instrText>
      </w:r>
      <w:r w:rsidRPr="000A1C51">
        <w:rPr>
          <w:b w:val="0"/>
        </w:rPr>
        <w:fldChar w:fldCharType="separate"/>
      </w:r>
      <w:hyperlink w:anchor="_Toc531884942" w:history="1">
        <w:r w:rsidR="00D72C12" w:rsidRPr="00C4486E">
          <w:rPr>
            <w:rStyle w:val="Hyperlink"/>
            <w:noProof/>
          </w:rPr>
          <w:t>Chapter 1 – Economic and fiscal overview</w:t>
        </w:r>
        <w:r w:rsidR="00D72C12">
          <w:rPr>
            <w:noProof/>
            <w:webHidden/>
          </w:rPr>
          <w:tab/>
        </w:r>
        <w:r w:rsidR="00D72C12">
          <w:rPr>
            <w:noProof/>
            <w:webHidden/>
          </w:rPr>
          <w:fldChar w:fldCharType="begin"/>
        </w:r>
        <w:r w:rsidR="00D72C12">
          <w:rPr>
            <w:noProof/>
            <w:webHidden/>
          </w:rPr>
          <w:instrText xml:space="preserve"> PAGEREF _Toc531884942 \h </w:instrText>
        </w:r>
        <w:r w:rsidR="00D72C12">
          <w:rPr>
            <w:noProof/>
            <w:webHidden/>
          </w:rPr>
        </w:r>
        <w:r w:rsidR="00D72C12">
          <w:rPr>
            <w:noProof/>
            <w:webHidden/>
          </w:rPr>
          <w:fldChar w:fldCharType="separate"/>
        </w:r>
        <w:r w:rsidR="004B094E">
          <w:rPr>
            <w:noProof/>
            <w:webHidden/>
          </w:rPr>
          <w:t>1</w:t>
        </w:r>
        <w:r w:rsidR="00D72C12">
          <w:rPr>
            <w:noProof/>
            <w:webHidden/>
          </w:rPr>
          <w:fldChar w:fldCharType="end"/>
        </w:r>
      </w:hyperlink>
    </w:p>
    <w:p w:rsidR="00D72C12" w:rsidRDefault="00F919DB">
      <w:pPr>
        <w:pStyle w:val="TOC1"/>
        <w:rPr>
          <w:rFonts w:asciiTheme="minorHAnsi" w:eastAsiaTheme="minorEastAsia" w:hAnsiTheme="minorHAnsi"/>
          <w:b w:val="0"/>
          <w:noProof/>
          <w:spacing w:val="0"/>
          <w:sz w:val="22"/>
          <w:szCs w:val="22"/>
          <w:lang w:eastAsia="en-AU"/>
        </w:rPr>
      </w:pPr>
      <w:hyperlink w:anchor="_Toc531884943" w:history="1">
        <w:r w:rsidR="00D72C12" w:rsidRPr="00C4486E">
          <w:rPr>
            <w:rStyle w:val="Hyperlink"/>
            <w:noProof/>
          </w:rPr>
          <w:t>Chapter 2 – Economic context</w:t>
        </w:r>
        <w:r w:rsidR="00D72C12">
          <w:rPr>
            <w:noProof/>
            <w:webHidden/>
          </w:rPr>
          <w:tab/>
        </w:r>
        <w:r w:rsidR="00D72C12">
          <w:rPr>
            <w:noProof/>
            <w:webHidden/>
          </w:rPr>
          <w:fldChar w:fldCharType="begin"/>
        </w:r>
        <w:r w:rsidR="00D72C12">
          <w:rPr>
            <w:noProof/>
            <w:webHidden/>
          </w:rPr>
          <w:instrText xml:space="preserve"> PAGEREF _Toc531884943 \h </w:instrText>
        </w:r>
        <w:r w:rsidR="00D72C12">
          <w:rPr>
            <w:noProof/>
            <w:webHidden/>
          </w:rPr>
        </w:r>
        <w:r w:rsidR="00D72C12">
          <w:rPr>
            <w:noProof/>
            <w:webHidden/>
          </w:rPr>
          <w:fldChar w:fldCharType="separate"/>
        </w:r>
        <w:r w:rsidR="004B094E">
          <w:rPr>
            <w:noProof/>
            <w:webHidden/>
          </w:rPr>
          <w:t>2</w:t>
        </w:r>
        <w:r w:rsidR="00D72C12">
          <w:rPr>
            <w:noProof/>
            <w:webHidden/>
          </w:rPr>
          <w:fldChar w:fldCharType="end"/>
        </w:r>
      </w:hyperlink>
    </w:p>
    <w:p w:rsidR="00D72C12" w:rsidRDefault="00F919DB">
      <w:pPr>
        <w:pStyle w:val="TOC2"/>
        <w:rPr>
          <w:rFonts w:asciiTheme="minorHAnsi" w:eastAsiaTheme="minorEastAsia" w:hAnsiTheme="minorHAnsi"/>
          <w:spacing w:val="0"/>
          <w:sz w:val="22"/>
          <w:szCs w:val="22"/>
          <w:lang w:eastAsia="en-AU"/>
        </w:rPr>
      </w:pPr>
      <w:hyperlink w:anchor="_Toc531884944" w:history="1">
        <w:r w:rsidR="00D72C12" w:rsidRPr="00C4486E">
          <w:rPr>
            <w:rStyle w:val="Hyperlink"/>
          </w:rPr>
          <w:t>Victorian economic conditions and outlook</w:t>
        </w:r>
        <w:r w:rsidR="00D72C12">
          <w:rPr>
            <w:webHidden/>
          </w:rPr>
          <w:tab/>
        </w:r>
        <w:r w:rsidR="00D72C12">
          <w:rPr>
            <w:webHidden/>
          </w:rPr>
          <w:fldChar w:fldCharType="begin"/>
        </w:r>
        <w:r w:rsidR="00D72C12">
          <w:rPr>
            <w:webHidden/>
          </w:rPr>
          <w:instrText xml:space="preserve"> PAGEREF _Toc531884944 \h </w:instrText>
        </w:r>
        <w:r w:rsidR="00D72C12">
          <w:rPr>
            <w:webHidden/>
          </w:rPr>
        </w:r>
        <w:r w:rsidR="00D72C12">
          <w:rPr>
            <w:webHidden/>
          </w:rPr>
          <w:fldChar w:fldCharType="separate"/>
        </w:r>
        <w:r w:rsidR="004B094E">
          <w:rPr>
            <w:webHidden/>
          </w:rPr>
          <w:t>2</w:t>
        </w:r>
        <w:r w:rsidR="00D72C12">
          <w:rPr>
            <w:webHidden/>
          </w:rPr>
          <w:fldChar w:fldCharType="end"/>
        </w:r>
      </w:hyperlink>
    </w:p>
    <w:p w:rsidR="00D72C12" w:rsidRDefault="00F919DB">
      <w:pPr>
        <w:pStyle w:val="TOC2"/>
        <w:rPr>
          <w:rFonts w:asciiTheme="minorHAnsi" w:eastAsiaTheme="minorEastAsia" w:hAnsiTheme="minorHAnsi"/>
          <w:spacing w:val="0"/>
          <w:sz w:val="22"/>
          <w:szCs w:val="22"/>
          <w:lang w:eastAsia="en-AU"/>
        </w:rPr>
      </w:pPr>
      <w:hyperlink w:anchor="_Toc531884945" w:history="1">
        <w:r w:rsidR="00D72C12" w:rsidRPr="00C4486E">
          <w:rPr>
            <w:rStyle w:val="Hyperlink"/>
          </w:rPr>
          <w:t>Australian economic conditions and outlook</w:t>
        </w:r>
        <w:r w:rsidR="00D72C12">
          <w:rPr>
            <w:webHidden/>
          </w:rPr>
          <w:tab/>
        </w:r>
        <w:r w:rsidR="00D72C12">
          <w:rPr>
            <w:webHidden/>
          </w:rPr>
          <w:fldChar w:fldCharType="begin"/>
        </w:r>
        <w:r w:rsidR="00D72C12">
          <w:rPr>
            <w:webHidden/>
          </w:rPr>
          <w:instrText xml:space="preserve"> PAGEREF _Toc531884945 \h </w:instrText>
        </w:r>
        <w:r w:rsidR="00D72C12">
          <w:rPr>
            <w:webHidden/>
          </w:rPr>
        </w:r>
        <w:r w:rsidR="00D72C12">
          <w:rPr>
            <w:webHidden/>
          </w:rPr>
          <w:fldChar w:fldCharType="separate"/>
        </w:r>
        <w:r w:rsidR="004B094E">
          <w:rPr>
            <w:webHidden/>
          </w:rPr>
          <w:t>2</w:t>
        </w:r>
        <w:r w:rsidR="00D72C12">
          <w:rPr>
            <w:webHidden/>
          </w:rPr>
          <w:fldChar w:fldCharType="end"/>
        </w:r>
      </w:hyperlink>
    </w:p>
    <w:p w:rsidR="00D72C12" w:rsidRDefault="00F919DB">
      <w:pPr>
        <w:pStyle w:val="TOC2"/>
        <w:rPr>
          <w:rFonts w:asciiTheme="minorHAnsi" w:eastAsiaTheme="minorEastAsia" w:hAnsiTheme="minorHAnsi"/>
          <w:spacing w:val="0"/>
          <w:sz w:val="22"/>
          <w:szCs w:val="22"/>
          <w:lang w:eastAsia="en-AU"/>
        </w:rPr>
      </w:pPr>
      <w:hyperlink w:anchor="_Toc531884946" w:history="1">
        <w:r w:rsidR="00D72C12" w:rsidRPr="00C4486E">
          <w:rPr>
            <w:rStyle w:val="Hyperlink"/>
          </w:rPr>
          <w:t>International economic conditions and outlook</w:t>
        </w:r>
        <w:r w:rsidR="00D72C12">
          <w:rPr>
            <w:webHidden/>
          </w:rPr>
          <w:tab/>
        </w:r>
        <w:r w:rsidR="00D72C12">
          <w:rPr>
            <w:webHidden/>
          </w:rPr>
          <w:fldChar w:fldCharType="begin"/>
        </w:r>
        <w:r w:rsidR="00D72C12">
          <w:rPr>
            <w:webHidden/>
          </w:rPr>
          <w:instrText xml:space="preserve"> PAGEREF _Toc531884946 \h </w:instrText>
        </w:r>
        <w:r w:rsidR="00D72C12">
          <w:rPr>
            <w:webHidden/>
          </w:rPr>
        </w:r>
        <w:r w:rsidR="00D72C12">
          <w:rPr>
            <w:webHidden/>
          </w:rPr>
          <w:fldChar w:fldCharType="separate"/>
        </w:r>
        <w:r w:rsidR="004B094E">
          <w:rPr>
            <w:webHidden/>
          </w:rPr>
          <w:t>2</w:t>
        </w:r>
        <w:r w:rsidR="00D72C12">
          <w:rPr>
            <w:webHidden/>
          </w:rPr>
          <w:fldChar w:fldCharType="end"/>
        </w:r>
      </w:hyperlink>
    </w:p>
    <w:p w:rsidR="00D72C12" w:rsidRDefault="00F919DB">
      <w:pPr>
        <w:pStyle w:val="TOC2"/>
        <w:rPr>
          <w:rFonts w:asciiTheme="minorHAnsi" w:eastAsiaTheme="minorEastAsia" w:hAnsiTheme="minorHAnsi"/>
          <w:spacing w:val="0"/>
          <w:sz w:val="22"/>
          <w:szCs w:val="22"/>
          <w:lang w:eastAsia="en-AU"/>
        </w:rPr>
      </w:pPr>
      <w:hyperlink w:anchor="_Toc531884947" w:history="1">
        <w:r w:rsidR="00D72C12" w:rsidRPr="00C4486E">
          <w:rPr>
            <w:rStyle w:val="Hyperlink"/>
          </w:rPr>
          <w:t>Risks to the outlook</w:t>
        </w:r>
        <w:r w:rsidR="00D72C12">
          <w:rPr>
            <w:webHidden/>
          </w:rPr>
          <w:tab/>
        </w:r>
        <w:r w:rsidR="00D72C12">
          <w:rPr>
            <w:webHidden/>
          </w:rPr>
          <w:fldChar w:fldCharType="begin"/>
        </w:r>
        <w:r w:rsidR="00D72C12">
          <w:rPr>
            <w:webHidden/>
          </w:rPr>
          <w:instrText xml:space="preserve"> PAGEREF _Toc531884947 \h </w:instrText>
        </w:r>
        <w:r w:rsidR="00D72C12">
          <w:rPr>
            <w:webHidden/>
          </w:rPr>
        </w:r>
        <w:r w:rsidR="00D72C12">
          <w:rPr>
            <w:webHidden/>
          </w:rPr>
          <w:fldChar w:fldCharType="separate"/>
        </w:r>
        <w:r w:rsidR="004B094E">
          <w:rPr>
            <w:webHidden/>
          </w:rPr>
          <w:t>2</w:t>
        </w:r>
        <w:r w:rsidR="00D72C12">
          <w:rPr>
            <w:webHidden/>
          </w:rPr>
          <w:fldChar w:fldCharType="end"/>
        </w:r>
      </w:hyperlink>
    </w:p>
    <w:p w:rsidR="00D72C12" w:rsidRDefault="00F919DB">
      <w:pPr>
        <w:pStyle w:val="TOC1"/>
        <w:rPr>
          <w:rFonts w:asciiTheme="minorHAnsi" w:eastAsiaTheme="minorEastAsia" w:hAnsiTheme="minorHAnsi"/>
          <w:b w:val="0"/>
          <w:noProof/>
          <w:spacing w:val="0"/>
          <w:sz w:val="22"/>
          <w:szCs w:val="22"/>
          <w:lang w:eastAsia="en-AU"/>
        </w:rPr>
      </w:pPr>
      <w:hyperlink w:anchor="_Toc531884948" w:history="1">
        <w:r w:rsidR="00D72C12" w:rsidRPr="00C4486E">
          <w:rPr>
            <w:rStyle w:val="Hyperlink"/>
            <w:noProof/>
          </w:rPr>
          <w:t>Chapter 3 – Budget position and outlook</w:t>
        </w:r>
        <w:r w:rsidR="00D72C12">
          <w:rPr>
            <w:noProof/>
            <w:webHidden/>
          </w:rPr>
          <w:tab/>
        </w:r>
        <w:r w:rsidR="00D72C12">
          <w:rPr>
            <w:noProof/>
            <w:webHidden/>
          </w:rPr>
          <w:fldChar w:fldCharType="begin"/>
        </w:r>
        <w:r w:rsidR="00D72C12">
          <w:rPr>
            <w:noProof/>
            <w:webHidden/>
          </w:rPr>
          <w:instrText xml:space="preserve"> PAGEREF _Toc531884948 \h </w:instrText>
        </w:r>
        <w:r w:rsidR="00D72C12">
          <w:rPr>
            <w:noProof/>
            <w:webHidden/>
          </w:rPr>
        </w:r>
        <w:r w:rsidR="00D72C12">
          <w:rPr>
            <w:noProof/>
            <w:webHidden/>
          </w:rPr>
          <w:fldChar w:fldCharType="separate"/>
        </w:r>
        <w:r w:rsidR="004B094E">
          <w:rPr>
            <w:noProof/>
            <w:webHidden/>
          </w:rPr>
          <w:t>2</w:t>
        </w:r>
        <w:r w:rsidR="00D72C12">
          <w:rPr>
            <w:noProof/>
            <w:webHidden/>
          </w:rPr>
          <w:fldChar w:fldCharType="end"/>
        </w:r>
      </w:hyperlink>
    </w:p>
    <w:p w:rsidR="00D72C12" w:rsidRDefault="00F919DB">
      <w:pPr>
        <w:pStyle w:val="TOC2"/>
        <w:rPr>
          <w:rFonts w:asciiTheme="minorHAnsi" w:eastAsiaTheme="minorEastAsia" w:hAnsiTheme="minorHAnsi"/>
          <w:spacing w:val="0"/>
          <w:sz w:val="22"/>
          <w:szCs w:val="22"/>
          <w:lang w:eastAsia="en-AU"/>
        </w:rPr>
      </w:pPr>
      <w:hyperlink w:anchor="_Toc531884949" w:history="1">
        <w:r w:rsidR="00D72C12" w:rsidRPr="00C4486E">
          <w:rPr>
            <w:rStyle w:val="Hyperlink"/>
          </w:rPr>
          <w:t>General government sector</w:t>
        </w:r>
        <w:r w:rsidR="00D72C12">
          <w:rPr>
            <w:webHidden/>
          </w:rPr>
          <w:tab/>
        </w:r>
        <w:r w:rsidR="00D72C12">
          <w:rPr>
            <w:webHidden/>
          </w:rPr>
          <w:fldChar w:fldCharType="begin"/>
        </w:r>
        <w:r w:rsidR="00D72C12">
          <w:rPr>
            <w:webHidden/>
          </w:rPr>
          <w:instrText xml:space="preserve"> PAGEREF _Toc531884949 \h </w:instrText>
        </w:r>
        <w:r w:rsidR="00D72C12">
          <w:rPr>
            <w:webHidden/>
          </w:rPr>
        </w:r>
        <w:r w:rsidR="00D72C12">
          <w:rPr>
            <w:webHidden/>
          </w:rPr>
          <w:fldChar w:fldCharType="separate"/>
        </w:r>
        <w:r w:rsidR="004B094E">
          <w:rPr>
            <w:webHidden/>
          </w:rPr>
          <w:t>2</w:t>
        </w:r>
        <w:r w:rsidR="00D72C12">
          <w:rPr>
            <w:webHidden/>
          </w:rPr>
          <w:fldChar w:fldCharType="end"/>
        </w:r>
      </w:hyperlink>
    </w:p>
    <w:p w:rsidR="00D72C12" w:rsidRDefault="00F919DB">
      <w:pPr>
        <w:pStyle w:val="TOC2"/>
        <w:rPr>
          <w:rFonts w:asciiTheme="minorHAnsi" w:eastAsiaTheme="minorEastAsia" w:hAnsiTheme="minorHAnsi"/>
          <w:spacing w:val="0"/>
          <w:sz w:val="22"/>
          <w:szCs w:val="22"/>
          <w:lang w:eastAsia="en-AU"/>
        </w:rPr>
      </w:pPr>
      <w:hyperlink w:anchor="_Toc531884950" w:history="1">
        <w:r w:rsidR="00D72C12" w:rsidRPr="00C4486E">
          <w:rPr>
            <w:rStyle w:val="Hyperlink"/>
          </w:rPr>
          <w:t>Budget and forward estimates outlook</w:t>
        </w:r>
        <w:r w:rsidR="00D72C12">
          <w:rPr>
            <w:webHidden/>
          </w:rPr>
          <w:tab/>
        </w:r>
        <w:r w:rsidR="00D72C12">
          <w:rPr>
            <w:webHidden/>
          </w:rPr>
          <w:fldChar w:fldCharType="begin"/>
        </w:r>
        <w:r w:rsidR="00D72C12">
          <w:rPr>
            <w:webHidden/>
          </w:rPr>
          <w:instrText xml:space="preserve"> PAGEREF _Toc531884950 \h </w:instrText>
        </w:r>
        <w:r w:rsidR="00D72C12">
          <w:rPr>
            <w:webHidden/>
          </w:rPr>
        </w:r>
        <w:r w:rsidR="00D72C12">
          <w:rPr>
            <w:webHidden/>
          </w:rPr>
          <w:fldChar w:fldCharType="separate"/>
        </w:r>
        <w:r w:rsidR="004B094E">
          <w:rPr>
            <w:webHidden/>
          </w:rPr>
          <w:t>2</w:t>
        </w:r>
        <w:r w:rsidR="00D72C12">
          <w:rPr>
            <w:webHidden/>
          </w:rPr>
          <w:fldChar w:fldCharType="end"/>
        </w:r>
      </w:hyperlink>
    </w:p>
    <w:p w:rsidR="00D72C12" w:rsidRDefault="00F919DB">
      <w:pPr>
        <w:pStyle w:val="TOC2"/>
        <w:rPr>
          <w:rFonts w:asciiTheme="minorHAnsi" w:eastAsiaTheme="minorEastAsia" w:hAnsiTheme="minorHAnsi"/>
          <w:spacing w:val="0"/>
          <w:sz w:val="22"/>
          <w:szCs w:val="22"/>
          <w:lang w:eastAsia="en-AU"/>
        </w:rPr>
      </w:pPr>
      <w:hyperlink w:anchor="_Toc531884951" w:history="1">
        <w:r w:rsidR="00D72C12" w:rsidRPr="00C4486E">
          <w:rPr>
            <w:rStyle w:val="Hyperlink"/>
          </w:rPr>
          <w:t>Fiscal risks</w:t>
        </w:r>
        <w:r w:rsidR="00D72C12">
          <w:rPr>
            <w:webHidden/>
          </w:rPr>
          <w:tab/>
        </w:r>
        <w:r w:rsidR="00D72C12">
          <w:rPr>
            <w:webHidden/>
          </w:rPr>
          <w:fldChar w:fldCharType="begin"/>
        </w:r>
        <w:r w:rsidR="00D72C12">
          <w:rPr>
            <w:webHidden/>
          </w:rPr>
          <w:instrText xml:space="preserve"> PAGEREF _Toc531884951 \h </w:instrText>
        </w:r>
        <w:r w:rsidR="00D72C12">
          <w:rPr>
            <w:webHidden/>
          </w:rPr>
        </w:r>
        <w:r w:rsidR="00D72C12">
          <w:rPr>
            <w:webHidden/>
          </w:rPr>
          <w:fldChar w:fldCharType="separate"/>
        </w:r>
        <w:r w:rsidR="004B094E">
          <w:rPr>
            <w:webHidden/>
          </w:rPr>
          <w:t>2</w:t>
        </w:r>
        <w:r w:rsidR="00D72C12">
          <w:rPr>
            <w:webHidden/>
          </w:rPr>
          <w:fldChar w:fldCharType="end"/>
        </w:r>
      </w:hyperlink>
    </w:p>
    <w:p w:rsidR="00D72C12" w:rsidRDefault="00F919DB">
      <w:pPr>
        <w:pStyle w:val="TOC2"/>
        <w:rPr>
          <w:rFonts w:asciiTheme="minorHAnsi" w:eastAsiaTheme="minorEastAsia" w:hAnsiTheme="minorHAnsi"/>
          <w:spacing w:val="0"/>
          <w:sz w:val="22"/>
          <w:szCs w:val="22"/>
          <w:lang w:eastAsia="en-AU"/>
        </w:rPr>
      </w:pPr>
      <w:hyperlink w:anchor="_Toc531884952" w:history="1">
        <w:r w:rsidR="00D72C12" w:rsidRPr="00C4486E">
          <w:rPr>
            <w:rStyle w:val="Hyperlink"/>
          </w:rPr>
          <w:t>Non</w:t>
        </w:r>
        <w:r w:rsidR="00D72C12" w:rsidRPr="00C4486E">
          <w:rPr>
            <w:rStyle w:val="Hyperlink"/>
          </w:rPr>
          <w:noBreakHyphen/>
          <w:t>financial public sector</w:t>
        </w:r>
        <w:r w:rsidR="00D72C12">
          <w:rPr>
            <w:webHidden/>
          </w:rPr>
          <w:tab/>
        </w:r>
        <w:r w:rsidR="00D72C12">
          <w:rPr>
            <w:webHidden/>
          </w:rPr>
          <w:fldChar w:fldCharType="begin"/>
        </w:r>
        <w:r w:rsidR="00D72C12">
          <w:rPr>
            <w:webHidden/>
          </w:rPr>
          <w:instrText xml:space="preserve"> PAGEREF _Toc531884952 \h </w:instrText>
        </w:r>
        <w:r w:rsidR="00D72C12">
          <w:rPr>
            <w:webHidden/>
          </w:rPr>
        </w:r>
        <w:r w:rsidR="00D72C12">
          <w:rPr>
            <w:webHidden/>
          </w:rPr>
          <w:fldChar w:fldCharType="separate"/>
        </w:r>
        <w:r w:rsidR="004B094E">
          <w:rPr>
            <w:webHidden/>
          </w:rPr>
          <w:t>2</w:t>
        </w:r>
        <w:r w:rsidR="00D72C12">
          <w:rPr>
            <w:webHidden/>
          </w:rPr>
          <w:fldChar w:fldCharType="end"/>
        </w:r>
      </w:hyperlink>
    </w:p>
    <w:p w:rsidR="00D72C12" w:rsidRDefault="00F919DB">
      <w:pPr>
        <w:pStyle w:val="TOC2"/>
        <w:rPr>
          <w:rFonts w:asciiTheme="minorHAnsi" w:eastAsiaTheme="minorEastAsia" w:hAnsiTheme="minorHAnsi"/>
          <w:spacing w:val="0"/>
          <w:sz w:val="22"/>
          <w:szCs w:val="22"/>
          <w:lang w:eastAsia="en-AU"/>
        </w:rPr>
      </w:pPr>
      <w:hyperlink w:anchor="_Toc531884953" w:history="1">
        <w:r w:rsidR="00D72C12" w:rsidRPr="00C4486E">
          <w:rPr>
            <w:rStyle w:val="Hyperlink"/>
          </w:rPr>
          <w:t>Non</w:t>
        </w:r>
        <w:r w:rsidR="00D72C12" w:rsidRPr="00C4486E">
          <w:rPr>
            <w:rStyle w:val="Hyperlink"/>
          </w:rPr>
          <w:noBreakHyphen/>
          <w:t>financial public sector net debt and net financial liabilities</w:t>
        </w:r>
        <w:r w:rsidR="00D72C12">
          <w:rPr>
            <w:webHidden/>
          </w:rPr>
          <w:tab/>
        </w:r>
        <w:r w:rsidR="00D72C12">
          <w:rPr>
            <w:webHidden/>
          </w:rPr>
          <w:fldChar w:fldCharType="begin"/>
        </w:r>
        <w:r w:rsidR="00D72C12">
          <w:rPr>
            <w:webHidden/>
          </w:rPr>
          <w:instrText xml:space="preserve"> PAGEREF _Toc531884953 \h </w:instrText>
        </w:r>
        <w:r w:rsidR="00D72C12">
          <w:rPr>
            <w:webHidden/>
          </w:rPr>
        </w:r>
        <w:r w:rsidR="00D72C12">
          <w:rPr>
            <w:webHidden/>
          </w:rPr>
          <w:fldChar w:fldCharType="separate"/>
        </w:r>
        <w:r w:rsidR="004B094E">
          <w:rPr>
            <w:webHidden/>
          </w:rPr>
          <w:t>2</w:t>
        </w:r>
        <w:r w:rsidR="00D72C12">
          <w:rPr>
            <w:webHidden/>
          </w:rPr>
          <w:fldChar w:fldCharType="end"/>
        </w:r>
      </w:hyperlink>
    </w:p>
    <w:p w:rsidR="00D72C12" w:rsidRDefault="00F919DB">
      <w:pPr>
        <w:pStyle w:val="TOC2"/>
        <w:rPr>
          <w:rFonts w:asciiTheme="minorHAnsi" w:eastAsiaTheme="minorEastAsia" w:hAnsiTheme="minorHAnsi"/>
          <w:spacing w:val="0"/>
          <w:sz w:val="22"/>
          <w:szCs w:val="22"/>
          <w:lang w:eastAsia="en-AU"/>
        </w:rPr>
      </w:pPr>
      <w:hyperlink w:anchor="_Toc531884954" w:history="1">
        <w:r w:rsidR="00D72C12" w:rsidRPr="00C4486E">
          <w:rPr>
            <w:rStyle w:val="Hyperlink"/>
          </w:rPr>
          <w:t>State of Victoria</w:t>
        </w:r>
        <w:r w:rsidR="00D72C12">
          <w:rPr>
            <w:webHidden/>
          </w:rPr>
          <w:tab/>
        </w:r>
        <w:r w:rsidR="00D72C12">
          <w:rPr>
            <w:webHidden/>
          </w:rPr>
          <w:fldChar w:fldCharType="begin"/>
        </w:r>
        <w:r w:rsidR="00D72C12">
          <w:rPr>
            <w:webHidden/>
          </w:rPr>
          <w:instrText xml:space="preserve"> PAGEREF _Toc531884954 \h </w:instrText>
        </w:r>
        <w:r w:rsidR="00D72C12">
          <w:rPr>
            <w:webHidden/>
          </w:rPr>
        </w:r>
        <w:r w:rsidR="00D72C12">
          <w:rPr>
            <w:webHidden/>
          </w:rPr>
          <w:fldChar w:fldCharType="separate"/>
        </w:r>
        <w:r w:rsidR="004B094E">
          <w:rPr>
            <w:webHidden/>
          </w:rPr>
          <w:t>2</w:t>
        </w:r>
        <w:r w:rsidR="00D72C12">
          <w:rPr>
            <w:webHidden/>
          </w:rPr>
          <w:fldChar w:fldCharType="end"/>
        </w:r>
      </w:hyperlink>
    </w:p>
    <w:p w:rsidR="00D72C12" w:rsidRDefault="00F919DB">
      <w:pPr>
        <w:pStyle w:val="TOC1"/>
        <w:rPr>
          <w:rFonts w:asciiTheme="minorHAnsi" w:eastAsiaTheme="minorEastAsia" w:hAnsiTheme="minorHAnsi"/>
          <w:b w:val="0"/>
          <w:noProof/>
          <w:spacing w:val="0"/>
          <w:sz w:val="22"/>
          <w:szCs w:val="22"/>
          <w:lang w:eastAsia="en-AU"/>
        </w:rPr>
      </w:pPr>
      <w:hyperlink w:anchor="_Toc531884955" w:history="1">
        <w:r w:rsidR="00D72C12" w:rsidRPr="00C4486E">
          <w:rPr>
            <w:rStyle w:val="Hyperlink"/>
            <w:noProof/>
          </w:rPr>
          <w:t>Chapter 4 – Estimated financial statements and notes</w:t>
        </w:r>
        <w:r w:rsidR="00D72C12">
          <w:rPr>
            <w:noProof/>
            <w:webHidden/>
          </w:rPr>
          <w:tab/>
        </w:r>
        <w:r w:rsidR="00D72C12">
          <w:rPr>
            <w:noProof/>
            <w:webHidden/>
          </w:rPr>
          <w:fldChar w:fldCharType="begin"/>
        </w:r>
        <w:r w:rsidR="00D72C12">
          <w:rPr>
            <w:noProof/>
            <w:webHidden/>
          </w:rPr>
          <w:instrText xml:space="preserve"> PAGEREF _Toc531884955 \h </w:instrText>
        </w:r>
        <w:r w:rsidR="00D72C12">
          <w:rPr>
            <w:noProof/>
            <w:webHidden/>
          </w:rPr>
        </w:r>
        <w:r w:rsidR="00D72C12">
          <w:rPr>
            <w:noProof/>
            <w:webHidden/>
          </w:rPr>
          <w:fldChar w:fldCharType="separate"/>
        </w:r>
        <w:r w:rsidR="004B094E">
          <w:rPr>
            <w:noProof/>
            <w:webHidden/>
          </w:rPr>
          <w:t>2</w:t>
        </w:r>
        <w:r w:rsidR="00D72C12">
          <w:rPr>
            <w:noProof/>
            <w:webHidden/>
          </w:rPr>
          <w:fldChar w:fldCharType="end"/>
        </w:r>
      </w:hyperlink>
    </w:p>
    <w:p w:rsidR="00D72C12" w:rsidRDefault="00F919DB">
      <w:pPr>
        <w:pStyle w:val="TOC2"/>
        <w:rPr>
          <w:rFonts w:asciiTheme="minorHAnsi" w:eastAsiaTheme="minorEastAsia" w:hAnsiTheme="minorHAnsi"/>
          <w:spacing w:val="0"/>
          <w:sz w:val="22"/>
          <w:szCs w:val="22"/>
          <w:lang w:eastAsia="en-AU"/>
        </w:rPr>
      </w:pPr>
      <w:hyperlink w:anchor="_Toc531884956" w:history="1">
        <w:r w:rsidR="00D72C12" w:rsidRPr="00C4486E">
          <w:rPr>
            <w:rStyle w:val="Hyperlink"/>
          </w:rPr>
          <w:t>Estimated general government sector comprehensive operating statement</w:t>
        </w:r>
        <w:r w:rsidR="00D72C12">
          <w:rPr>
            <w:webHidden/>
          </w:rPr>
          <w:tab/>
        </w:r>
        <w:r w:rsidR="00D72C12">
          <w:rPr>
            <w:webHidden/>
          </w:rPr>
          <w:fldChar w:fldCharType="begin"/>
        </w:r>
        <w:r w:rsidR="00D72C12">
          <w:rPr>
            <w:webHidden/>
          </w:rPr>
          <w:instrText xml:space="preserve"> PAGEREF _Toc531884956 \h </w:instrText>
        </w:r>
        <w:r w:rsidR="00D72C12">
          <w:rPr>
            <w:webHidden/>
          </w:rPr>
        </w:r>
        <w:r w:rsidR="00D72C12">
          <w:rPr>
            <w:webHidden/>
          </w:rPr>
          <w:fldChar w:fldCharType="separate"/>
        </w:r>
        <w:r w:rsidR="004B094E">
          <w:rPr>
            <w:webHidden/>
          </w:rPr>
          <w:t>2</w:t>
        </w:r>
        <w:r w:rsidR="00D72C12">
          <w:rPr>
            <w:webHidden/>
          </w:rPr>
          <w:fldChar w:fldCharType="end"/>
        </w:r>
      </w:hyperlink>
    </w:p>
    <w:p w:rsidR="00D72C12" w:rsidRDefault="00F919DB">
      <w:pPr>
        <w:pStyle w:val="TOC2"/>
        <w:rPr>
          <w:rFonts w:asciiTheme="minorHAnsi" w:eastAsiaTheme="minorEastAsia" w:hAnsiTheme="minorHAnsi"/>
          <w:spacing w:val="0"/>
          <w:sz w:val="22"/>
          <w:szCs w:val="22"/>
          <w:lang w:eastAsia="en-AU"/>
        </w:rPr>
      </w:pPr>
      <w:hyperlink w:anchor="_Toc531884957" w:history="1">
        <w:r w:rsidR="00D72C12" w:rsidRPr="00C4486E">
          <w:rPr>
            <w:rStyle w:val="Hyperlink"/>
          </w:rPr>
          <w:t>Estimated general government sector balance sheet</w:t>
        </w:r>
        <w:r w:rsidR="00D72C12">
          <w:rPr>
            <w:webHidden/>
          </w:rPr>
          <w:tab/>
        </w:r>
        <w:r w:rsidR="00D72C12">
          <w:rPr>
            <w:webHidden/>
          </w:rPr>
          <w:fldChar w:fldCharType="begin"/>
        </w:r>
        <w:r w:rsidR="00D72C12">
          <w:rPr>
            <w:webHidden/>
          </w:rPr>
          <w:instrText xml:space="preserve"> PAGEREF _Toc531884957 \h </w:instrText>
        </w:r>
        <w:r w:rsidR="00D72C12">
          <w:rPr>
            <w:webHidden/>
          </w:rPr>
        </w:r>
        <w:r w:rsidR="00D72C12">
          <w:rPr>
            <w:webHidden/>
          </w:rPr>
          <w:fldChar w:fldCharType="separate"/>
        </w:r>
        <w:r w:rsidR="004B094E">
          <w:rPr>
            <w:webHidden/>
          </w:rPr>
          <w:t>2</w:t>
        </w:r>
        <w:r w:rsidR="00D72C12">
          <w:rPr>
            <w:webHidden/>
          </w:rPr>
          <w:fldChar w:fldCharType="end"/>
        </w:r>
      </w:hyperlink>
    </w:p>
    <w:p w:rsidR="00D72C12" w:rsidRDefault="00F919DB">
      <w:pPr>
        <w:pStyle w:val="TOC2"/>
        <w:rPr>
          <w:rFonts w:asciiTheme="minorHAnsi" w:eastAsiaTheme="minorEastAsia" w:hAnsiTheme="minorHAnsi"/>
          <w:spacing w:val="0"/>
          <w:sz w:val="22"/>
          <w:szCs w:val="22"/>
          <w:lang w:eastAsia="en-AU"/>
        </w:rPr>
      </w:pPr>
      <w:hyperlink w:anchor="_Toc531884958" w:history="1">
        <w:r w:rsidR="00D72C12" w:rsidRPr="00C4486E">
          <w:rPr>
            <w:rStyle w:val="Hyperlink"/>
          </w:rPr>
          <w:t>Estimated general government sector cash flow statement</w:t>
        </w:r>
        <w:r w:rsidR="00D72C12">
          <w:rPr>
            <w:webHidden/>
          </w:rPr>
          <w:tab/>
        </w:r>
        <w:r w:rsidR="00D72C12">
          <w:rPr>
            <w:webHidden/>
          </w:rPr>
          <w:fldChar w:fldCharType="begin"/>
        </w:r>
        <w:r w:rsidR="00D72C12">
          <w:rPr>
            <w:webHidden/>
          </w:rPr>
          <w:instrText xml:space="preserve"> PAGEREF _Toc531884958 \h </w:instrText>
        </w:r>
        <w:r w:rsidR="00D72C12">
          <w:rPr>
            <w:webHidden/>
          </w:rPr>
        </w:r>
        <w:r w:rsidR="00D72C12">
          <w:rPr>
            <w:webHidden/>
          </w:rPr>
          <w:fldChar w:fldCharType="separate"/>
        </w:r>
        <w:r w:rsidR="004B094E">
          <w:rPr>
            <w:webHidden/>
          </w:rPr>
          <w:t>2</w:t>
        </w:r>
        <w:r w:rsidR="00D72C12">
          <w:rPr>
            <w:webHidden/>
          </w:rPr>
          <w:fldChar w:fldCharType="end"/>
        </w:r>
      </w:hyperlink>
    </w:p>
    <w:p w:rsidR="00D72C12" w:rsidRDefault="00F919DB">
      <w:pPr>
        <w:pStyle w:val="TOC2"/>
        <w:rPr>
          <w:rFonts w:asciiTheme="minorHAnsi" w:eastAsiaTheme="minorEastAsia" w:hAnsiTheme="minorHAnsi"/>
          <w:spacing w:val="0"/>
          <w:sz w:val="22"/>
          <w:szCs w:val="22"/>
          <w:lang w:eastAsia="en-AU"/>
        </w:rPr>
      </w:pPr>
      <w:hyperlink w:anchor="_Toc531884959" w:history="1">
        <w:r w:rsidR="00D72C12" w:rsidRPr="00C4486E">
          <w:rPr>
            <w:rStyle w:val="Hyperlink"/>
          </w:rPr>
          <w:t>Estimated general government sector statement of changes in equity</w:t>
        </w:r>
        <w:r w:rsidR="00D72C12">
          <w:rPr>
            <w:webHidden/>
          </w:rPr>
          <w:tab/>
        </w:r>
        <w:r w:rsidR="00D72C12">
          <w:rPr>
            <w:webHidden/>
          </w:rPr>
          <w:fldChar w:fldCharType="begin"/>
        </w:r>
        <w:r w:rsidR="00D72C12">
          <w:rPr>
            <w:webHidden/>
          </w:rPr>
          <w:instrText xml:space="preserve"> PAGEREF _Toc531884959 \h </w:instrText>
        </w:r>
        <w:r w:rsidR="00D72C12">
          <w:rPr>
            <w:webHidden/>
          </w:rPr>
        </w:r>
        <w:r w:rsidR="00D72C12">
          <w:rPr>
            <w:webHidden/>
          </w:rPr>
          <w:fldChar w:fldCharType="separate"/>
        </w:r>
        <w:r w:rsidR="004B094E">
          <w:rPr>
            <w:webHidden/>
          </w:rPr>
          <w:t>2</w:t>
        </w:r>
        <w:r w:rsidR="00D72C12">
          <w:rPr>
            <w:webHidden/>
          </w:rPr>
          <w:fldChar w:fldCharType="end"/>
        </w:r>
      </w:hyperlink>
    </w:p>
    <w:p w:rsidR="00D72C12" w:rsidRDefault="00F919DB">
      <w:pPr>
        <w:pStyle w:val="TOC1"/>
        <w:rPr>
          <w:rFonts w:asciiTheme="minorHAnsi" w:eastAsiaTheme="minorEastAsia" w:hAnsiTheme="minorHAnsi"/>
          <w:b w:val="0"/>
          <w:noProof/>
          <w:spacing w:val="0"/>
          <w:sz w:val="22"/>
          <w:szCs w:val="22"/>
          <w:lang w:eastAsia="en-AU"/>
        </w:rPr>
      </w:pPr>
      <w:hyperlink w:anchor="_Toc531884960" w:history="1">
        <w:r w:rsidR="00D72C12" w:rsidRPr="00C4486E">
          <w:rPr>
            <w:rStyle w:val="Hyperlink"/>
            <w:noProof/>
          </w:rPr>
          <w:t>Chapter 5 – Supplementary uniform presentation framework tables</w:t>
        </w:r>
        <w:r w:rsidR="00D72C12">
          <w:rPr>
            <w:noProof/>
            <w:webHidden/>
          </w:rPr>
          <w:tab/>
        </w:r>
        <w:r w:rsidR="00D72C12">
          <w:rPr>
            <w:noProof/>
            <w:webHidden/>
          </w:rPr>
          <w:fldChar w:fldCharType="begin"/>
        </w:r>
        <w:r w:rsidR="00D72C12">
          <w:rPr>
            <w:noProof/>
            <w:webHidden/>
          </w:rPr>
          <w:instrText xml:space="preserve"> PAGEREF _Toc531884960 \h </w:instrText>
        </w:r>
        <w:r w:rsidR="00D72C12">
          <w:rPr>
            <w:noProof/>
            <w:webHidden/>
          </w:rPr>
        </w:r>
        <w:r w:rsidR="00D72C12">
          <w:rPr>
            <w:noProof/>
            <w:webHidden/>
          </w:rPr>
          <w:fldChar w:fldCharType="separate"/>
        </w:r>
        <w:r w:rsidR="004B094E">
          <w:rPr>
            <w:noProof/>
            <w:webHidden/>
          </w:rPr>
          <w:t>2</w:t>
        </w:r>
        <w:r w:rsidR="00D72C12">
          <w:rPr>
            <w:noProof/>
            <w:webHidden/>
          </w:rPr>
          <w:fldChar w:fldCharType="end"/>
        </w:r>
      </w:hyperlink>
    </w:p>
    <w:p w:rsidR="00D72C12" w:rsidRDefault="00F919DB">
      <w:pPr>
        <w:pStyle w:val="TOC1"/>
        <w:rPr>
          <w:rFonts w:asciiTheme="minorHAnsi" w:eastAsiaTheme="minorEastAsia" w:hAnsiTheme="minorHAnsi"/>
          <w:b w:val="0"/>
          <w:noProof/>
          <w:spacing w:val="0"/>
          <w:sz w:val="22"/>
          <w:szCs w:val="22"/>
          <w:lang w:eastAsia="en-AU"/>
        </w:rPr>
      </w:pPr>
      <w:hyperlink w:anchor="_Toc531884961" w:history="1">
        <w:r w:rsidR="00D72C12" w:rsidRPr="00C4486E">
          <w:rPr>
            <w:rStyle w:val="Hyperlink"/>
            <w:noProof/>
          </w:rPr>
          <w:t>Chapter 6 – Contingent assets and contingent liabilities</w:t>
        </w:r>
        <w:r w:rsidR="00D72C12">
          <w:rPr>
            <w:noProof/>
            <w:webHidden/>
          </w:rPr>
          <w:tab/>
        </w:r>
        <w:r w:rsidR="00D72C12">
          <w:rPr>
            <w:noProof/>
            <w:webHidden/>
          </w:rPr>
          <w:fldChar w:fldCharType="begin"/>
        </w:r>
        <w:r w:rsidR="00D72C12">
          <w:rPr>
            <w:noProof/>
            <w:webHidden/>
          </w:rPr>
          <w:instrText xml:space="preserve"> PAGEREF _Toc531884961 \h </w:instrText>
        </w:r>
        <w:r w:rsidR="00D72C12">
          <w:rPr>
            <w:noProof/>
            <w:webHidden/>
          </w:rPr>
        </w:r>
        <w:r w:rsidR="00D72C12">
          <w:rPr>
            <w:noProof/>
            <w:webHidden/>
          </w:rPr>
          <w:fldChar w:fldCharType="separate"/>
        </w:r>
        <w:r w:rsidR="004B094E">
          <w:rPr>
            <w:noProof/>
            <w:webHidden/>
          </w:rPr>
          <w:t>2</w:t>
        </w:r>
        <w:r w:rsidR="00D72C12">
          <w:rPr>
            <w:noProof/>
            <w:webHidden/>
          </w:rPr>
          <w:fldChar w:fldCharType="end"/>
        </w:r>
      </w:hyperlink>
    </w:p>
    <w:p w:rsidR="00D72C12" w:rsidRDefault="00F919DB">
      <w:pPr>
        <w:pStyle w:val="TOC2"/>
        <w:rPr>
          <w:rFonts w:asciiTheme="minorHAnsi" w:eastAsiaTheme="minorEastAsia" w:hAnsiTheme="minorHAnsi"/>
          <w:spacing w:val="0"/>
          <w:sz w:val="22"/>
          <w:szCs w:val="22"/>
          <w:lang w:eastAsia="en-AU"/>
        </w:rPr>
      </w:pPr>
      <w:hyperlink w:anchor="_Toc531884962" w:history="1">
        <w:r w:rsidR="00D72C12" w:rsidRPr="00C4486E">
          <w:rPr>
            <w:rStyle w:val="Hyperlink"/>
          </w:rPr>
          <w:t>Contingent assets</w:t>
        </w:r>
        <w:r w:rsidR="00D72C12">
          <w:rPr>
            <w:webHidden/>
          </w:rPr>
          <w:tab/>
        </w:r>
        <w:r w:rsidR="00D72C12">
          <w:rPr>
            <w:webHidden/>
          </w:rPr>
          <w:fldChar w:fldCharType="begin"/>
        </w:r>
        <w:r w:rsidR="00D72C12">
          <w:rPr>
            <w:webHidden/>
          </w:rPr>
          <w:instrText xml:space="preserve"> PAGEREF _Toc531884962 \h </w:instrText>
        </w:r>
        <w:r w:rsidR="00D72C12">
          <w:rPr>
            <w:webHidden/>
          </w:rPr>
        </w:r>
        <w:r w:rsidR="00D72C12">
          <w:rPr>
            <w:webHidden/>
          </w:rPr>
          <w:fldChar w:fldCharType="separate"/>
        </w:r>
        <w:r w:rsidR="004B094E">
          <w:rPr>
            <w:webHidden/>
          </w:rPr>
          <w:t>2</w:t>
        </w:r>
        <w:r w:rsidR="00D72C12">
          <w:rPr>
            <w:webHidden/>
          </w:rPr>
          <w:fldChar w:fldCharType="end"/>
        </w:r>
      </w:hyperlink>
    </w:p>
    <w:p w:rsidR="00D72C12" w:rsidRDefault="00F919DB">
      <w:pPr>
        <w:pStyle w:val="TOC2"/>
        <w:rPr>
          <w:rFonts w:asciiTheme="minorHAnsi" w:eastAsiaTheme="minorEastAsia" w:hAnsiTheme="minorHAnsi"/>
          <w:spacing w:val="0"/>
          <w:sz w:val="22"/>
          <w:szCs w:val="22"/>
          <w:lang w:eastAsia="en-AU"/>
        </w:rPr>
      </w:pPr>
      <w:hyperlink w:anchor="_Toc531884963" w:history="1">
        <w:r w:rsidR="00D72C12" w:rsidRPr="00C4486E">
          <w:rPr>
            <w:rStyle w:val="Hyperlink"/>
          </w:rPr>
          <w:t>Contingent liabilities</w:t>
        </w:r>
        <w:r w:rsidR="00D72C12">
          <w:rPr>
            <w:webHidden/>
          </w:rPr>
          <w:tab/>
        </w:r>
        <w:r w:rsidR="00D72C12">
          <w:rPr>
            <w:webHidden/>
          </w:rPr>
          <w:fldChar w:fldCharType="begin"/>
        </w:r>
        <w:r w:rsidR="00D72C12">
          <w:rPr>
            <w:webHidden/>
          </w:rPr>
          <w:instrText xml:space="preserve"> PAGEREF _Toc531884963 \h </w:instrText>
        </w:r>
        <w:r w:rsidR="00D72C12">
          <w:rPr>
            <w:webHidden/>
          </w:rPr>
        </w:r>
        <w:r w:rsidR="00D72C12">
          <w:rPr>
            <w:webHidden/>
          </w:rPr>
          <w:fldChar w:fldCharType="separate"/>
        </w:r>
        <w:r w:rsidR="004B094E">
          <w:rPr>
            <w:webHidden/>
          </w:rPr>
          <w:t>2</w:t>
        </w:r>
        <w:r w:rsidR="00D72C12">
          <w:rPr>
            <w:webHidden/>
          </w:rPr>
          <w:fldChar w:fldCharType="end"/>
        </w:r>
      </w:hyperlink>
    </w:p>
    <w:p w:rsidR="00D72C12" w:rsidRDefault="00F919DB">
      <w:pPr>
        <w:pStyle w:val="TOC1"/>
        <w:rPr>
          <w:rFonts w:asciiTheme="minorHAnsi" w:eastAsiaTheme="minorEastAsia" w:hAnsiTheme="minorHAnsi"/>
          <w:b w:val="0"/>
          <w:noProof/>
          <w:spacing w:val="0"/>
          <w:sz w:val="22"/>
          <w:szCs w:val="22"/>
          <w:lang w:eastAsia="en-AU"/>
        </w:rPr>
      </w:pPr>
      <w:hyperlink w:anchor="_Toc531884964" w:history="1">
        <w:r w:rsidR="00D72C12" w:rsidRPr="00C4486E">
          <w:rPr>
            <w:rStyle w:val="Hyperlink"/>
            <w:noProof/>
          </w:rPr>
          <w:t>Appendix A – Specific policy initiatives affecting budget position</w:t>
        </w:r>
        <w:r w:rsidR="00D72C12">
          <w:rPr>
            <w:noProof/>
            <w:webHidden/>
          </w:rPr>
          <w:tab/>
        </w:r>
        <w:r w:rsidR="00D72C12">
          <w:rPr>
            <w:noProof/>
            <w:webHidden/>
          </w:rPr>
          <w:fldChar w:fldCharType="begin"/>
        </w:r>
        <w:r w:rsidR="00D72C12">
          <w:rPr>
            <w:noProof/>
            <w:webHidden/>
          </w:rPr>
          <w:instrText xml:space="preserve"> PAGEREF _Toc531884964 \h </w:instrText>
        </w:r>
        <w:r w:rsidR="00D72C12">
          <w:rPr>
            <w:noProof/>
            <w:webHidden/>
          </w:rPr>
        </w:r>
        <w:r w:rsidR="00D72C12">
          <w:rPr>
            <w:noProof/>
            <w:webHidden/>
          </w:rPr>
          <w:fldChar w:fldCharType="separate"/>
        </w:r>
        <w:r w:rsidR="004B094E">
          <w:rPr>
            <w:noProof/>
            <w:webHidden/>
          </w:rPr>
          <w:t>2</w:t>
        </w:r>
        <w:r w:rsidR="00D72C12">
          <w:rPr>
            <w:noProof/>
            <w:webHidden/>
          </w:rPr>
          <w:fldChar w:fldCharType="end"/>
        </w:r>
      </w:hyperlink>
    </w:p>
    <w:p w:rsidR="00D72C12" w:rsidRDefault="00F919DB">
      <w:pPr>
        <w:pStyle w:val="TOC1"/>
        <w:rPr>
          <w:rFonts w:asciiTheme="minorHAnsi" w:eastAsiaTheme="minorEastAsia" w:hAnsiTheme="minorHAnsi"/>
          <w:b w:val="0"/>
          <w:noProof/>
          <w:spacing w:val="0"/>
          <w:sz w:val="22"/>
          <w:szCs w:val="22"/>
          <w:lang w:eastAsia="en-AU"/>
        </w:rPr>
      </w:pPr>
      <w:hyperlink w:anchor="_Toc531884965" w:history="1">
        <w:r w:rsidR="00D72C12" w:rsidRPr="00C4486E">
          <w:rPr>
            <w:rStyle w:val="Hyperlink"/>
            <w:noProof/>
          </w:rPr>
          <w:t>Appendix B – Amendments to the  2018-19 output performance measures</w:t>
        </w:r>
        <w:r w:rsidR="00D72C12">
          <w:rPr>
            <w:noProof/>
            <w:webHidden/>
          </w:rPr>
          <w:tab/>
        </w:r>
        <w:r w:rsidR="00D72C12">
          <w:rPr>
            <w:noProof/>
            <w:webHidden/>
          </w:rPr>
          <w:fldChar w:fldCharType="begin"/>
        </w:r>
        <w:r w:rsidR="00D72C12">
          <w:rPr>
            <w:noProof/>
            <w:webHidden/>
          </w:rPr>
          <w:instrText xml:space="preserve"> PAGEREF _Toc531884965 \h </w:instrText>
        </w:r>
        <w:r w:rsidR="00D72C12">
          <w:rPr>
            <w:noProof/>
            <w:webHidden/>
          </w:rPr>
        </w:r>
        <w:r w:rsidR="00D72C12">
          <w:rPr>
            <w:noProof/>
            <w:webHidden/>
          </w:rPr>
          <w:fldChar w:fldCharType="separate"/>
        </w:r>
        <w:r w:rsidR="004B094E">
          <w:rPr>
            <w:noProof/>
            <w:webHidden/>
          </w:rPr>
          <w:t>2</w:t>
        </w:r>
        <w:r w:rsidR="00D72C12">
          <w:rPr>
            <w:noProof/>
            <w:webHidden/>
          </w:rPr>
          <w:fldChar w:fldCharType="end"/>
        </w:r>
      </w:hyperlink>
    </w:p>
    <w:p w:rsidR="00D72C12" w:rsidRDefault="00F919DB">
      <w:pPr>
        <w:pStyle w:val="TOC1"/>
        <w:rPr>
          <w:rFonts w:asciiTheme="minorHAnsi" w:eastAsiaTheme="minorEastAsia" w:hAnsiTheme="minorHAnsi"/>
          <w:b w:val="0"/>
          <w:noProof/>
          <w:spacing w:val="0"/>
          <w:sz w:val="22"/>
          <w:szCs w:val="22"/>
          <w:lang w:eastAsia="en-AU"/>
        </w:rPr>
      </w:pPr>
      <w:hyperlink w:anchor="_Toc531884966" w:history="1">
        <w:r w:rsidR="00D72C12" w:rsidRPr="00C4486E">
          <w:rPr>
            <w:rStyle w:val="Hyperlink"/>
            <w:noProof/>
          </w:rPr>
          <w:t>Appendix C – Tax expenditures and concessions</w:t>
        </w:r>
        <w:r w:rsidR="00D72C12">
          <w:rPr>
            <w:noProof/>
            <w:webHidden/>
          </w:rPr>
          <w:tab/>
        </w:r>
        <w:r w:rsidR="00D72C12">
          <w:rPr>
            <w:noProof/>
            <w:webHidden/>
          </w:rPr>
          <w:fldChar w:fldCharType="begin"/>
        </w:r>
        <w:r w:rsidR="00D72C12">
          <w:rPr>
            <w:noProof/>
            <w:webHidden/>
          </w:rPr>
          <w:instrText xml:space="preserve"> PAGEREF _Toc531884966 \h </w:instrText>
        </w:r>
        <w:r w:rsidR="00D72C12">
          <w:rPr>
            <w:noProof/>
            <w:webHidden/>
          </w:rPr>
        </w:r>
        <w:r w:rsidR="00D72C12">
          <w:rPr>
            <w:noProof/>
            <w:webHidden/>
          </w:rPr>
          <w:fldChar w:fldCharType="separate"/>
        </w:r>
        <w:r w:rsidR="004B094E">
          <w:rPr>
            <w:noProof/>
            <w:webHidden/>
          </w:rPr>
          <w:t>2</w:t>
        </w:r>
        <w:r w:rsidR="00D72C12">
          <w:rPr>
            <w:noProof/>
            <w:webHidden/>
          </w:rPr>
          <w:fldChar w:fldCharType="end"/>
        </w:r>
      </w:hyperlink>
    </w:p>
    <w:p w:rsidR="00D72C12" w:rsidRDefault="00F919DB">
      <w:pPr>
        <w:pStyle w:val="TOC1"/>
        <w:rPr>
          <w:rFonts w:asciiTheme="minorHAnsi" w:eastAsiaTheme="minorEastAsia" w:hAnsiTheme="minorHAnsi"/>
          <w:b w:val="0"/>
          <w:noProof/>
          <w:spacing w:val="0"/>
          <w:sz w:val="22"/>
          <w:szCs w:val="22"/>
          <w:lang w:eastAsia="en-AU"/>
        </w:rPr>
      </w:pPr>
      <w:hyperlink w:anchor="_Toc531884967" w:history="1">
        <w:r w:rsidR="00D72C12" w:rsidRPr="00C4486E">
          <w:rPr>
            <w:rStyle w:val="Hyperlink"/>
            <w:noProof/>
          </w:rPr>
          <w:t>Appendix D – Sensitivity analysis</w:t>
        </w:r>
        <w:r w:rsidR="00D72C12">
          <w:rPr>
            <w:noProof/>
            <w:webHidden/>
          </w:rPr>
          <w:tab/>
        </w:r>
        <w:r w:rsidR="00D72C12">
          <w:rPr>
            <w:noProof/>
            <w:webHidden/>
          </w:rPr>
          <w:fldChar w:fldCharType="begin"/>
        </w:r>
        <w:r w:rsidR="00D72C12">
          <w:rPr>
            <w:noProof/>
            <w:webHidden/>
          </w:rPr>
          <w:instrText xml:space="preserve"> PAGEREF _Toc531884967 \h </w:instrText>
        </w:r>
        <w:r w:rsidR="00D72C12">
          <w:rPr>
            <w:noProof/>
            <w:webHidden/>
          </w:rPr>
        </w:r>
        <w:r w:rsidR="00D72C12">
          <w:rPr>
            <w:noProof/>
            <w:webHidden/>
          </w:rPr>
          <w:fldChar w:fldCharType="separate"/>
        </w:r>
        <w:r w:rsidR="004B094E">
          <w:rPr>
            <w:noProof/>
            <w:webHidden/>
          </w:rPr>
          <w:t>2</w:t>
        </w:r>
        <w:r w:rsidR="00D72C12">
          <w:rPr>
            <w:noProof/>
            <w:webHidden/>
          </w:rPr>
          <w:fldChar w:fldCharType="end"/>
        </w:r>
      </w:hyperlink>
    </w:p>
    <w:p w:rsidR="00D72C12" w:rsidRDefault="00F919DB">
      <w:pPr>
        <w:pStyle w:val="TOC2"/>
        <w:rPr>
          <w:rFonts w:asciiTheme="minorHAnsi" w:eastAsiaTheme="minorEastAsia" w:hAnsiTheme="minorHAnsi"/>
          <w:spacing w:val="0"/>
          <w:sz w:val="22"/>
          <w:szCs w:val="22"/>
          <w:lang w:eastAsia="en-AU"/>
        </w:rPr>
      </w:pPr>
      <w:hyperlink w:anchor="_Toc531884968" w:history="1">
        <w:r w:rsidR="00D72C12" w:rsidRPr="00C4486E">
          <w:rPr>
            <w:rStyle w:val="Hyperlink"/>
          </w:rPr>
          <w:t>Fiscal impacts of variations to the economic outlook</w:t>
        </w:r>
        <w:r w:rsidR="00D72C12">
          <w:rPr>
            <w:webHidden/>
          </w:rPr>
          <w:tab/>
        </w:r>
        <w:r w:rsidR="00D72C12">
          <w:rPr>
            <w:webHidden/>
          </w:rPr>
          <w:fldChar w:fldCharType="begin"/>
        </w:r>
        <w:r w:rsidR="00D72C12">
          <w:rPr>
            <w:webHidden/>
          </w:rPr>
          <w:instrText xml:space="preserve"> PAGEREF _Toc531884968 \h </w:instrText>
        </w:r>
        <w:r w:rsidR="00D72C12">
          <w:rPr>
            <w:webHidden/>
          </w:rPr>
        </w:r>
        <w:r w:rsidR="00D72C12">
          <w:rPr>
            <w:webHidden/>
          </w:rPr>
          <w:fldChar w:fldCharType="separate"/>
        </w:r>
        <w:r w:rsidR="004B094E">
          <w:rPr>
            <w:webHidden/>
          </w:rPr>
          <w:t>2</w:t>
        </w:r>
        <w:r w:rsidR="00D72C12">
          <w:rPr>
            <w:webHidden/>
          </w:rPr>
          <w:fldChar w:fldCharType="end"/>
        </w:r>
      </w:hyperlink>
    </w:p>
    <w:p w:rsidR="00D72C12" w:rsidRDefault="00F919DB">
      <w:pPr>
        <w:pStyle w:val="TOC2"/>
        <w:rPr>
          <w:rFonts w:asciiTheme="minorHAnsi" w:eastAsiaTheme="minorEastAsia" w:hAnsiTheme="minorHAnsi"/>
          <w:spacing w:val="0"/>
          <w:sz w:val="22"/>
          <w:szCs w:val="22"/>
          <w:lang w:eastAsia="en-AU"/>
        </w:rPr>
      </w:pPr>
      <w:hyperlink w:anchor="_Toc531884969" w:history="1">
        <w:r w:rsidR="00D72C12" w:rsidRPr="00C4486E">
          <w:rPr>
            <w:rStyle w:val="Hyperlink"/>
          </w:rPr>
          <w:t>Sensitivity to independent variations in major economic parameters</w:t>
        </w:r>
        <w:r w:rsidR="00D72C12">
          <w:rPr>
            <w:webHidden/>
          </w:rPr>
          <w:tab/>
        </w:r>
        <w:r w:rsidR="00D72C12">
          <w:rPr>
            <w:webHidden/>
          </w:rPr>
          <w:fldChar w:fldCharType="begin"/>
        </w:r>
        <w:r w:rsidR="00D72C12">
          <w:rPr>
            <w:webHidden/>
          </w:rPr>
          <w:instrText xml:space="preserve"> PAGEREF _Toc531884969 \h </w:instrText>
        </w:r>
        <w:r w:rsidR="00D72C12">
          <w:rPr>
            <w:webHidden/>
          </w:rPr>
        </w:r>
        <w:r w:rsidR="00D72C12">
          <w:rPr>
            <w:webHidden/>
          </w:rPr>
          <w:fldChar w:fldCharType="separate"/>
        </w:r>
        <w:r w:rsidR="004B094E">
          <w:rPr>
            <w:webHidden/>
          </w:rPr>
          <w:t>2</w:t>
        </w:r>
        <w:r w:rsidR="00D72C12">
          <w:rPr>
            <w:webHidden/>
          </w:rPr>
          <w:fldChar w:fldCharType="end"/>
        </w:r>
      </w:hyperlink>
    </w:p>
    <w:p w:rsidR="00D72C12" w:rsidRDefault="00F919DB" w:rsidP="00EC7339">
      <w:pPr>
        <w:pStyle w:val="TOC1"/>
        <w:ind w:left="1190" w:hanging="1190"/>
        <w:rPr>
          <w:rFonts w:asciiTheme="minorHAnsi" w:eastAsiaTheme="minorEastAsia" w:hAnsiTheme="minorHAnsi"/>
          <w:b w:val="0"/>
          <w:noProof/>
          <w:spacing w:val="0"/>
          <w:sz w:val="22"/>
          <w:szCs w:val="22"/>
          <w:lang w:eastAsia="en-AU"/>
        </w:rPr>
      </w:pPr>
      <w:hyperlink w:anchor="_Toc531884970" w:history="1">
        <w:r w:rsidR="00D72C12" w:rsidRPr="00C4486E">
          <w:rPr>
            <w:rStyle w:val="Hyperlink"/>
            <w:noProof/>
          </w:rPr>
          <w:t>Appendix E – Quarterly Financial Report for the Victorian general government sector – September 2018</w:t>
        </w:r>
        <w:r w:rsidR="00D72C12">
          <w:rPr>
            <w:noProof/>
            <w:webHidden/>
          </w:rPr>
          <w:tab/>
        </w:r>
        <w:r w:rsidR="00D72C12">
          <w:rPr>
            <w:noProof/>
            <w:webHidden/>
          </w:rPr>
          <w:fldChar w:fldCharType="begin"/>
        </w:r>
        <w:r w:rsidR="00D72C12">
          <w:rPr>
            <w:noProof/>
            <w:webHidden/>
          </w:rPr>
          <w:instrText xml:space="preserve"> PAGEREF _Toc531884970 \h </w:instrText>
        </w:r>
        <w:r w:rsidR="00D72C12">
          <w:rPr>
            <w:noProof/>
            <w:webHidden/>
          </w:rPr>
        </w:r>
        <w:r w:rsidR="00D72C12">
          <w:rPr>
            <w:noProof/>
            <w:webHidden/>
          </w:rPr>
          <w:fldChar w:fldCharType="separate"/>
        </w:r>
        <w:r w:rsidR="004B094E">
          <w:rPr>
            <w:noProof/>
            <w:webHidden/>
          </w:rPr>
          <w:t>2</w:t>
        </w:r>
        <w:r w:rsidR="00D72C12">
          <w:rPr>
            <w:noProof/>
            <w:webHidden/>
          </w:rPr>
          <w:fldChar w:fldCharType="end"/>
        </w:r>
      </w:hyperlink>
    </w:p>
    <w:p w:rsidR="00D72C12" w:rsidRDefault="00F919DB">
      <w:pPr>
        <w:pStyle w:val="TOC1"/>
        <w:rPr>
          <w:rFonts w:asciiTheme="minorHAnsi" w:eastAsiaTheme="minorEastAsia" w:hAnsiTheme="minorHAnsi"/>
          <w:b w:val="0"/>
          <w:noProof/>
          <w:spacing w:val="0"/>
          <w:sz w:val="22"/>
          <w:szCs w:val="22"/>
          <w:lang w:eastAsia="en-AU"/>
        </w:rPr>
      </w:pPr>
      <w:hyperlink w:anchor="_Toc531884971" w:history="1">
        <w:r w:rsidR="00D72C12" w:rsidRPr="00C4486E">
          <w:rPr>
            <w:rStyle w:val="Hyperlink"/>
            <w:noProof/>
          </w:rPr>
          <w:t xml:space="preserve">Appendix F – Requirements of the </w:t>
        </w:r>
        <w:r w:rsidR="00D72C12" w:rsidRPr="00C4486E">
          <w:rPr>
            <w:rStyle w:val="Hyperlink"/>
            <w:i/>
            <w:noProof/>
          </w:rPr>
          <w:t>Financial Management Act 1994</w:t>
        </w:r>
        <w:r w:rsidR="00D72C12">
          <w:rPr>
            <w:noProof/>
            <w:webHidden/>
          </w:rPr>
          <w:tab/>
        </w:r>
        <w:r w:rsidR="00D72C12">
          <w:rPr>
            <w:noProof/>
            <w:webHidden/>
          </w:rPr>
          <w:fldChar w:fldCharType="begin"/>
        </w:r>
        <w:r w:rsidR="00D72C12">
          <w:rPr>
            <w:noProof/>
            <w:webHidden/>
          </w:rPr>
          <w:instrText xml:space="preserve"> PAGEREF _Toc531884971 \h </w:instrText>
        </w:r>
        <w:r w:rsidR="00D72C12">
          <w:rPr>
            <w:noProof/>
            <w:webHidden/>
          </w:rPr>
        </w:r>
        <w:r w:rsidR="00D72C12">
          <w:rPr>
            <w:noProof/>
            <w:webHidden/>
          </w:rPr>
          <w:fldChar w:fldCharType="separate"/>
        </w:r>
        <w:r w:rsidR="004B094E">
          <w:rPr>
            <w:noProof/>
            <w:webHidden/>
          </w:rPr>
          <w:t>2</w:t>
        </w:r>
        <w:r w:rsidR="00D72C12">
          <w:rPr>
            <w:noProof/>
            <w:webHidden/>
          </w:rPr>
          <w:fldChar w:fldCharType="end"/>
        </w:r>
      </w:hyperlink>
    </w:p>
    <w:p w:rsidR="00D72C12" w:rsidRDefault="00F919DB">
      <w:pPr>
        <w:pStyle w:val="TOC1"/>
        <w:rPr>
          <w:rFonts w:asciiTheme="minorHAnsi" w:eastAsiaTheme="minorEastAsia" w:hAnsiTheme="minorHAnsi"/>
          <w:b w:val="0"/>
          <w:noProof/>
          <w:spacing w:val="0"/>
          <w:sz w:val="22"/>
          <w:szCs w:val="22"/>
          <w:lang w:eastAsia="en-AU"/>
        </w:rPr>
      </w:pPr>
      <w:hyperlink w:anchor="_Toc531884972" w:history="1">
        <w:r w:rsidR="00D72C12" w:rsidRPr="00C4486E">
          <w:rPr>
            <w:rStyle w:val="Hyperlink"/>
            <w:noProof/>
          </w:rPr>
          <w:t>Style conventions</w:t>
        </w:r>
        <w:r w:rsidR="00D72C12">
          <w:rPr>
            <w:noProof/>
            <w:webHidden/>
          </w:rPr>
          <w:tab/>
        </w:r>
        <w:r w:rsidR="00D72C12">
          <w:rPr>
            <w:noProof/>
            <w:webHidden/>
          </w:rPr>
          <w:fldChar w:fldCharType="begin"/>
        </w:r>
        <w:r w:rsidR="00D72C12">
          <w:rPr>
            <w:noProof/>
            <w:webHidden/>
          </w:rPr>
          <w:instrText xml:space="preserve"> PAGEREF _Toc531884972 \h </w:instrText>
        </w:r>
        <w:r w:rsidR="00D72C12">
          <w:rPr>
            <w:noProof/>
            <w:webHidden/>
          </w:rPr>
        </w:r>
        <w:r w:rsidR="00D72C12">
          <w:rPr>
            <w:noProof/>
            <w:webHidden/>
          </w:rPr>
          <w:fldChar w:fldCharType="separate"/>
        </w:r>
        <w:r w:rsidR="004B094E">
          <w:rPr>
            <w:noProof/>
            <w:webHidden/>
          </w:rPr>
          <w:t>2</w:t>
        </w:r>
        <w:r w:rsidR="00D72C12">
          <w:rPr>
            <w:noProof/>
            <w:webHidden/>
          </w:rPr>
          <w:fldChar w:fldCharType="end"/>
        </w:r>
      </w:hyperlink>
    </w:p>
    <w:p w:rsidR="00A97443" w:rsidRDefault="00A97443" w:rsidP="003C6991">
      <w:pPr>
        <w:pStyle w:val="TOC1"/>
      </w:pPr>
      <w:r w:rsidRPr="000A1C51">
        <w:rPr>
          <w:b w:val="0"/>
        </w:rPr>
        <w:fldChar w:fldCharType="end"/>
      </w:r>
    </w:p>
    <w:p w:rsidR="00A97443" w:rsidRDefault="00A97443" w:rsidP="00A97443">
      <w:pPr>
        <w:sectPr w:rsidR="00A97443" w:rsidSect="00A97443">
          <w:footerReference w:type="even" r:id="rId11"/>
          <w:footerReference w:type="default" r:id="rId12"/>
          <w:type w:val="oddPage"/>
          <w:pgSz w:w="9979" w:h="14175" w:code="9"/>
          <w:pgMar w:top="851" w:right="1134" w:bottom="851" w:left="1134" w:header="624" w:footer="567" w:gutter="0"/>
          <w:pgNumType w:fmt="lowerRoman" w:start="1"/>
          <w:cols w:sep="1" w:space="567"/>
          <w:docGrid w:linePitch="360"/>
        </w:sectPr>
      </w:pPr>
    </w:p>
    <w:p w:rsidR="00BB5904" w:rsidRPr="006133F3" w:rsidRDefault="00BB5904" w:rsidP="00D72C12">
      <w:pPr>
        <w:pStyle w:val="Chapterheading"/>
        <w:rPr>
          <w:sz w:val="18"/>
          <w:szCs w:val="18"/>
        </w:rPr>
      </w:pPr>
      <w:bookmarkStart w:id="2" w:name="_Toc531884942"/>
      <w:bookmarkEnd w:id="0"/>
      <w:r w:rsidRPr="006133F3">
        <w:lastRenderedPageBreak/>
        <w:t xml:space="preserve">Chapter 1 – </w:t>
      </w:r>
      <w:r w:rsidR="00D72C12" w:rsidRPr="00D72C12">
        <w:t>Economic</w:t>
      </w:r>
      <w:r w:rsidR="00D72C12" w:rsidRPr="006133F3">
        <w:t xml:space="preserve"> and fiscal overview</w:t>
      </w:r>
      <w:bookmarkEnd w:id="2"/>
    </w:p>
    <w:p w:rsidR="00BB5904" w:rsidRPr="006133F3" w:rsidRDefault="00BB5904" w:rsidP="00BB5904">
      <w:pPr>
        <w:pStyle w:val="HighlightBoxBullet"/>
        <w:numPr>
          <w:ilvl w:val="0"/>
          <w:numId w:val="15"/>
        </w:numPr>
        <w:pBdr>
          <w:top w:val="single" w:sz="6" w:space="0" w:color="auto"/>
        </w:pBdr>
        <w:ind w:left="284" w:hanging="284"/>
      </w:pPr>
      <w:bookmarkStart w:id="3" w:name="_Hlk525034751"/>
      <w:r w:rsidRPr="00EA2E2D">
        <w:rPr>
          <w:b/>
        </w:rPr>
        <w:t>Strong economic growth</w:t>
      </w:r>
      <w:r w:rsidRPr="006133F3">
        <w:t xml:space="preserve"> –</w:t>
      </w:r>
      <w:r w:rsidRPr="00EA2E2D">
        <w:t xml:space="preserve"> </w:t>
      </w:r>
      <w:r w:rsidRPr="006133F3">
        <w:t>by</w:t>
      </w:r>
      <w:r w:rsidRPr="00EA2E2D">
        <w:t xml:space="preserve"> </w:t>
      </w:r>
      <w:r w:rsidRPr="006133F3">
        <w:t>leading the rest of Australia, Victoria has become the economic engine room of the nation.</w:t>
      </w:r>
    </w:p>
    <w:p w:rsidR="00BB5904" w:rsidRPr="00EA2E2D" w:rsidRDefault="00BB5904" w:rsidP="00BB5904">
      <w:pPr>
        <w:pStyle w:val="HighlightBoxBullet"/>
        <w:numPr>
          <w:ilvl w:val="0"/>
          <w:numId w:val="15"/>
        </w:numPr>
        <w:pBdr>
          <w:top w:val="single" w:sz="6" w:space="0" w:color="auto"/>
        </w:pBdr>
        <w:ind w:left="284" w:hanging="284"/>
      </w:pPr>
      <w:r w:rsidRPr="00EA2E2D">
        <w:rPr>
          <w:b/>
        </w:rPr>
        <w:t>Robust jobs growth</w:t>
      </w:r>
      <w:r w:rsidRPr="00EA2E2D">
        <w:t xml:space="preserve"> </w:t>
      </w:r>
      <w:r w:rsidRPr="006133F3">
        <w:t>– with unemployment at a seven-year low and new jobs spread broadly across industries and regions.</w:t>
      </w:r>
    </w:p>
    <w:p w:rsidR="00BB5904" w:rsidRPr="00EA2E2D" w:rsidRDefault="00BB5904" w:rsidP="00BB5904">
      <w:pPr>
        <w:pStyle w:val="HighlightBoxBullet"/>
        <w:numPr>
          <w:ilvl w:val="0"/>
          <w:numId w:val="15"/>
        </w:numPr>
        <w:pBdr>
          <w:top w:val="single" w:sz="6" w:space="0" w:color="auto"/>
        </w:pBdr>
        <w:ind w:left="284" w:hanging="284"/>
      </w:pPr>
      <w:r w:rsidRPr="00EA2E2D">
        <w:rPr>
          <w:b/>
        </w:rPr>
        <w:t>Record infrastructure spend</w:t>
      </w:r>
      <w:r w:rsidRPr="006133F3">
        <w:t xml:space="preserve"> –</w:t>
      </w:r>
      <w:r w:rsidRPr="00EA2E2D">
        <w:t xml:space="preserve"> </w:t>
      </w:r>
      <w:r w:rsidRPr="006133F3">
        <w:t>building productivity</w:t>
      </w:r>
      <w:r w:rsidRPr="006133F3">
        <w:noBreakHyphen/>
        <w:t>enhancing infrastructure that creates jobs, drives economic growth and improves living standards for all Victorians.</w:t>
      </w:r>
    </w:p>
    <w:p w:rsidR="00BB5904" w:rsidRPr="00EA2E2D" w:rsidRDefault="00BB5904" w:rsidP="00BB5904">
      <w:pPr>
        <w:pStyle w:val="HighlightBoxBullet"/>
        <w:numPr>
          <w:ilvl w:val="0"/>
          <w:numId w:val="15"/>
        </w:numPr>
        <w:pBdr>
          <w:top w:val="single" w:sz="6" w:space="0" w:color="auto"/>
        </w:pBdr>
        <w:ind w:left="284" w:hanging="284"/>
      </w:pPr>
      <w:r w:rsidRPr="00EA2E2D">
        <w:rPr>
          <w:b/>
        </w:rPr>
        <w:t>Sound financial management</w:t>
      </w:r>
      <w:r w:rsidRPr="006133F3">
        <w:t xml:space="preserve"> – maintaining healthy budget surpluses and Victoria’s triple-A credit rating.</w:t>
      </w:r>
    </w:p>
    <w:p w:rsidR="00BB5904" w:rsidRPr="006133F3" w:rsidRDefault="00BB5904" w:rsidP="00BB5904">
      <w:r w:rsidRPr="006133F3">
        <w:t xml:space="preserve">The Government has been delivering for all Victorians over the past four years: investing in education and skills; improving healthcare; building new schools and hospitals; </w:t>
      </w:r>
      <w:r>
        <w:t xml:space="preserve">investing in public transport and roads; </w:t>
      </w:r>
      <w:r w:rsidRPr="006133F3">
        <w:t>making our community safer; and creating m</w:t>
      </w:r>
      <w:r>
        <w:t>ore jobs for Victorians. The re</w:t>
      </w:r>
      <w:r>
        <w:noBreakHyphen/>
      </w:r>
      <w:r w:rsidRPr="006133F3">
        <w:t xml:space="preserve">elected Government </w:t>
      </w:r>
      <w:r>
        <w:t>will be</w:t>
      </w:r>
      <w:r w:rsidRPr="006133F3">
        <w:t xml:space="preserve"> continuing this momentum, maintaining a strong economy while delivering the services a</w:t>
      </w:r>
      <w:r>
        <w:t>nd infrastructure our growing S</w:t>
      </w:r>
      <w:r w:rsidRPr="006133F3">
        <w:t>tate needs.</w:t>
      </w:r>
    </w:p>
    <w:p w:rsidR="00BB5904" w:rsidRPr="005B1F4E" w:rsidRDefault="00BB5904" w:rsidP="00BB5904">
      <w:pPr>
        <w:ind w:right="-86"/>
      </w:pPr>
      <w:r>
        <w:t xml:space="preserve">Victoria’s economy continues to lead the nation, creating new jobs and prosperity for all Victorians. </w:t>
      </w:r>
      <w:r w:rsidRPr="005B1F4E">
        <w:t>Real gross state product (GSP) increased by 3.5 per cent in 2017</w:t>
      </w:r>
      <w:r w:rsidRPr="005B1F4E">
        <w:noBreakHyphen/>
        <w:t xml:space="preserve">18, </w:t>
      </w:r>
      <w:r>
        <w:t xml:space="preserve">stronger than the 3.25 per cent estimate in the </w:t>
      </w:r>
      <w:r w:rsidRPr="007852EB">
        <w:rPr>
          <w:i/>
        </w:rPr>
        <w:t>2018 Pre-Election Budget Update</w:t>
      </w:r>
      <w:r>
        <w:t xml:space="preserve"> and well </w:t>
      </w:r>
      <w:r w:rsidRPr="005B1F4E">
        <w:t xml:space="preserve">above </w:t>
      </w:r>
      <w:r>
        <w:t>the national growth rate o</w:t>
      </w:r>
      <w:r w:rsidRPr="005B1F4E">
        <w:t>f 2.8 per cent. Real GSP per capita grew by 1.2 per cent in 2017</w:t>
      </w:r>
      <w:r w:rsidRPr="005B1F4E">
        <w:noBreakHyphen/>
        <w:t xml:space="preserve">18. This is the fifth successive rise in Victoria’s real GSP per capita, the longest period of growth since the global financial crisis. </w:t>
      </w:r>
      <w:r>
        <w:t xml:space="preserve">At the same time, 389 000 jobs have been created since November 2014 and the unemployment rate now stands at a seven-year low of 4.5 per cent. </w:t>
      </w:r>
    </w:p>
    <w:p w:rsidR="00BB5904" w:rsidRDefault="00BB5904" w:rsidP="00BB5904">
      <w:pPr>
        <w:ind w:right="-86"/>
      </w:pPr>
      <w:r>
        <w:t xml:space="preserve">Another year of above-trend growth is expected in 2018-19, with forecast GSP growth of 3.0 per cent. </w:t>
      </w:r>
      <w:r w:rsidRPr="006133F3">
        <w:t>The positive outlook is supported by low interest rates and a</w:t>
      </w:r>
      <w:r>
        <w:t xml:space="preserve"> strong labour market. H</w:t>
      </w:r>
      <w:r w:rsidRPr="006133F3">
        <w:t>ousehold consumption</w:t>
      </w:r>
      <w:r>
        <w:t xml:space="preserve"> and public demand, driven by the Government’s investment in services and infrastructure, are expected to make strong contributions to GSP growth.</w:t>
      </w:r>
    </w:p>
    <w:p w:rsidR="00BB5904" w:rsidRPr="006133F3" w:rsidRDefault="00BB5904" w:rsidP="00BB5904">
      <w:r w:rsidRPr="006133F3">
        <w:t>The Government’s clear and responsible fiscal strategy and strong financial management means Victoria’s finances are in excellent health. The Government has achieved surpluses averaging $2.2 billion over the past four years and maintained</w:t>
      </w:r>
      <w:r>
        <w:t xml:space="preserve"> Victoria’s</w:t>
      </w:r>
      <w:r w:rsidRPr="006133F3">
        <w:t xml:space="preserve"> triple-A credit rating </w:t>
      </w:r>
      <w:r>
        <w:t>with</w:t>
      </w:r>
      <w:r w:rsidRPr="006133F3">
        <w:t xml:space="preserve"> Moody</w:t>
      </w:r>
      <w:r>
        <w:t>’s and Standard &amp; Poor’s</w:t>
      </w:r>
      <w:r w:rsidRPr="006133F3">
        <w:t xml:space="preserve">. </w:t>
      </w:r>
      <w:r>
        <w:t xml:space="preserve">In recent reports, Moody’s noted </w:t>
      </w:r>
      <w:r w:rsidRPr="006133F3">
        <w:t>Victoria’s triple</w:t>
      </w:r>
      <w:r w:rsidRPr="006133F3">
        <w:noBreakHyphen/>
        <w:t xml:space="preserve">A rating is well placed when compared to most Australian states and territories with healthy economic growth, positive </w:t>
      </w:r>
      <w:r>
        <w:t>fiscal results,</w:t>
      </w:r>
      <w:r w:rsidRPr="006133F3">
        <w:t xml:space="preserve"> strong revenue grow</w:t>
      </w:r>
      <w:r>
        <w:t>th, a manageable debt burden, and the State’s diversified revenue base protecting it against downturns. Standard &amp; Poor’s recognised the S</w:t>
      </w:r>
      <w:r w:rsidRPr="006133F3">
        <w:t>tate’s very strong financial management and economy, exceptional liquidity and the extremely predictable and sup</w:t>
      </w:r>
      <w:r>
        <w:t>portive institutional framework</w:t>
      </w:r>
      <w:r w:rsidRPr="006133F3">
        <w:t>.</w:t>
      </w:r>
    </w:p>
    <w:p w:rsidR="00BB5904" w:rsidRDefault="00BB5904" w:rsidP="00BB5904">
      <w:r w:rsidRPr="006133F3">
        <w:lastRenderedPageBreak/>
        <w:t xml:space="preserve">The operating surplus is </w:t>
      </w:r>
      <w:r>
        <w:t>estimated</w:t>
      </w:r>
      <w:r w:rsidRPr="006133F3">
        <w:t xml:space="preserve"> to be $2.</w:t>
      </w:r>
      <w:r>
        <w:t>2</w:t>
      </w:r>
      <w:r w:rsidRPr="006133F3">
        <w:t> billion in 2018</w:t>
      </w:r>
      <w:r w:rsidRPr="006133F3">
        <w:noBreakHyphen/>
        <w:t xml:space="preserve">19, and average $2.5 billion a year over the forward estimates. </w:t>
      </w:r>
    </w:p>
    <w:p w:rsidR="00BB5904" w:rsidRPr="006133F3" w:rsidRDefault="00BB5904" w:rsidP="00BB5904">
      <w:r w:rsidRPr="006133F3">
        <w:t xml:space="preserve">Government infrastructure investment </w:t>
      </w:r>
      <w:r>
        <w:t>is projected to</w:t>
      </w:r>
      <w:r w:rsidRPr="006133F3">
        <w:t xml:space="preserve"> reach $13.4 billion in 2018</w:t>
      </w:r>
      <w:r w:rsidRPr="006133F3">
        <w:noBreakHyphen/>
        <w:t>19, and average $10.6 billion a year over the budget and forward estimates. This is more than double the average of $4.9 billion a year from 2005</w:t>
      </w:r>
      <w:r w:rsidRPr="006133F3">
        <w:noBreakHyphen/>
        <w:t>06 to 2014</w:t>
      </w:r>
      <w:r w:rsidRPr="006133F3">
        <w:noBreakHyphen/>
        <w:t xml:space="preserve">15. </w:t>
      </w:r>
    </w:p>
    <w:p w:rsidR="00BB5904" w:rsidRPr="006133F3" w:rsidRDefault="00BB5904" w:rsidP="00BB5904">
      <w:pPr>
        <w:keepNext/>
        <w:spacing w:before="360"/>
        <w:outlineLvl w:val="0"/>
        <w:rPr>
          <w:rFonts w:asciiTheme="majorHAnsi" w:eastAsiaTheme="majorEastAsia" w:hAnsiTheme="majorHAnsi" w:cstheme="majorBidi"/>
          <w:b/>
          <w:bCs/>
          <w:caps/>
          <w:spacing w:val="-2"/>
          <w:sz w:val="26"/>
          <w:szCs w:val="28"/>
        </w:rPr>
      </w:pPr>
      <w:bookmarkStart w:id="4" w:name="_Toc512629745"/>
      <w:bookmarkEnd w:id="3"/>
      <w:r w:rsidRPr="006133F3">
        <w:rPr>
          <w:rFonts w:asciiTheme="majorHAnsi" w:eastAsiaTheme="majorEastAsia" w:hAnsiTheme="majorHAnsi" w:cstheme="majorBidi"/>
          <w:b/>
          <w:bCs/>
          <w:caps/>
          <w:spacing w:val="-2"/>
          <w:sz w:val="26"/>
          <w:szCs w:val="28"/>
        </w:rPr>
        <w:t>VICTORIA – The engine ROOM of the nation</w:t>
      </w:r>
      <w:bookmarkEnd w:id="4"/>
    </w:p>
    <w:p w:rsidR="00BB5904" w:rsidRDefault="00BB5904" w:rsidP="00BB5904">
      <w:r w:rsidRPr="006133F3">
        <w:t xml:space="preserve">Victoria’s </w:t>
      </w:r>
      <w:r>
        <w:t xml:space="preserve">economy grew by </w:t>
      </w:r>
      <w:r w:rsidRPr="006133F3">
        <w:t>3.5 per cent in 2017</w:t>
      </w:r>
      <w:r w:rsidRPr="006133F3">
        <w:noBreakHyphen/>
        <w:t xml:space="preserve">18, </w:t>
      </w:r>
      <w:r>
        <w:t xml:space="preserve">the strongest increase of all the states and </w:t>
      </w:r>
      <w:r w:rsidRPr="006133F3">
        <w:t xml:space="preserve">above </w:t>
      </w:r>
      <w:r>
        <w:t>the national growth rate of 2.8</w:t>
      </w:r>
      <w:r w:rsidRPr="006133F3">
        <w:t> per cent. Over the past four years, real GSP growth has averaged 3.</w:t>
      </w:r>
      <w:r>
        <w:t>5</w:t>
      </w:r>
      <w:r w:rsidRPr="006133F3">
        <w:t> per cent a year.</w:t>
      </w:r>
    </w:p>
    <w:p w:rsidR="00BB5904" w:rsidRDefault="00BB5904" w:rsidP="00BB5904">
      <w:r>
        <w:t xml:space="preserve">A strong economy means more jobs. Victoria’s strong economic activity </w:t>
      </w:r>
      <w:r w:rsidRPr="006133F3">
        <w:t xml:space="preserve">has </w:t>
      </w:r>
      <w:r>
        <w:t xml:space="preserve">driven </w:t>
      </w:r>
      <w:r w:rsidRPr="006133F3">
        <w:t xml:space="preserve">above-trend employment growth since 2014-15. </w:t>
      </w:r>
      <w:r>
        <w:t>Since</w:t>
      </w:r>
      <w:r w:rsidRPr="006133F3">
        <w:t xml:space="preserve"> November 2014</w:t>
      </w:r>
      <w:r>
        <w:t>,</w:t>
      </w:r>
      <w:r w:rsidRPr="006133F3">
        <w:t xml:space="preserve"> employment in Victoria </w:t>
      </w:r>
      <w:r>
        <w:t>has grown by 13.3 per cent,</w:t>
      </w:r>
      <w:r w:rsidRPr="006133F3">
        <w:t xml:space="preserve"> or</w:t>
      </w:r>
      <w:r>
        <w:t xml:space="preserve"> 389 0</w:t>
      </w:r>
      <w:r w:rsidRPr="006133F3">
        <w:t>00 persons, with almost three-quarters of these being full</w:t>
      </w:r>
      <w:r>
        <w:noBreakHyphen/>
      </w:r>
      <w:r w:rsidRPr="006133F3">
        <w:t>time jobs.</w:t>
      </w:r>
      <w:r>
        <w:t xml:space="preserve"> This has helped produce a sharp decline in the unemployment rate. In October 2018, Victoria’s unemployment rate fell to a seven-year low of 4.5 per cent, well down from the 6.7 per cent inherited from the previous Government in November 2014. Jobs growth has been spread across the State, driving the regional unemployment rate to a record low of 4.4 per cent and the Melbourne unemployment rate to 4.5 per cent.</w:t>
      </w:r>
    </w:p>
    <w:p w:rsidR="00BB5904" w:rsidRPr="006133F3" w:rsidRDefault="00BB5904" w:rsidP="00BB5904">
      <w:r>
        <w:t xml:space="preserve">Victoria’s economy is the engine room of the nation. Victoria is outperforming the rest of Australia in real economic growth, productivity growth, and jobs growth (Chart 1.1). </w:t>
      </w:r>
    </w:p>
    <w:p w:rsidR="00BB5904" w:rsidRPr="006133F3" w:rsidRDefault="00BB5904" w:rsidP="00BB5904">
      <w:pPr>
        <w:keepNext/>
        <w:tabs>
          <w:tab w:val="left" w:pos="1134"/>
          <w:tab w:val="right" w:pos="9639"/>
          <w:tab w:val="right" w:pos="14742"/>
        </w:tabs>
        <w:spacing w:before="180" w:after="60"/>
        <w:ind w:left="1134" w:hanging="1134"/>
        <w:rPr>
          <w:rFonts w:asciiTheme="majorHAnsi" w:hAnsiTheme="majorHAnsi"/>
          <w:b/>
          <w:sz w:val="20"/>
          <w:szCs w:val="20"/>
        </w:rPr>
      </w:pPr>
      <w:r w:rsidRPr="006133F3">
        <w:rPr>
          <w:rFonts w:asciiTheme="majorHAnsi" w:hAnsiTheme="majorHAnsi"/>
          <w:b/>
          <w:sz w:val="20"/>
          <w:szCs w:val="20"/>
        </w:rPr>
        <w:t>Chart 1.1:</w:t>
      </w:r>
      <w:r w:rsidRPr="006133F3">
        <w:rPr>
          <w:rFonts w:asciiTheme="majorHAnsi" w:hAnsiTheme="majorHAnsi"/>
          <w:b/>
          <w:sz w:val="20"/>
          <w:szCs w:val="20"/>
        </w:rPr>
        <w:tab/>
      </w:r>
      <w:r>
        <w:rPr>
          <w:rFonts w:asciiTheme="majorHAnsi" w:hAnsiTheme="majorHAnsi"/>
          <w:b/>
          <w:sz w:val="20"/>
          <w:szCs w:val="20"/>
        </w:rPr>
        <w:t xml:space="preserve">Selected economic indicators, </w:t>
      </w:r>
      <w:r w:rsidRPr="006133F3">
        <w:rPr>
          <w:rFonts w:asciiTheme="majorHAnsi" w:hAnsiTheme="majorHAnsi"/>
          <w:b/>
          <w:sz w:val="20"/>
          <w:szCs w:val="20"/>
        </w:rPr>
        <w:t>Victoria</w:t>
      </w:r>
      <w:r>
        <w:rPr>
          <w:rFonts w:asciiTheme="majorHAnsi" w:hAnsiTheme="majorHAnsi"/>
          <w:b/>
          <w:sz w:val="20"/>
          <w:szCs w:val="20"/>
        </w:rPr>
        <w:t xml:space="preserve"> and rest of Australia, latest data </w:t>
      </w:r>
      <w:r w:rsidRPr="000F10F4">
        <w:rPr>
          <w:rFonts w:asciiTheme="majorHAnsi" w:hAnsiTheme="majorHAnsi"/>
          <w:b/>
          <w:sz w:val="20"/>
          <w:szCs w:val="20"/>
          <w:vertAlign w:val="superscript"/>
        </w:rPr>
        <w:t>(a)</w:t>
      </w:r>
    </w:p>
    <w:p w:rsidR="00BB5904" w:rsidRPr="006133F3" w:rsidRDefault="00BB5904" w:rsidP="00BB5904">
      <w:r>
        <w:rPr>
          <w:noProof/>
        </w:rPr>
        <w:drawing>
          <wp:inline distT="0" distB="0" distL="0" distR="0" wp14:anchorId="5837F044" wp14:editId="75094A93">
            <wp:extent cx="4403428" cy="279440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8017" cy="2816356"/>
                    </a:xfrm>
                    <a:prstGeom prst="rect">
                      <a:avLst/>
                    </a:prstGeom>
                    <a:noFill/>
                  </pic:spPr>
                </pic:pic>
              </a:graphicData>
            </a:graphic>
          </wp:inline>
        </w:drawing>
      </w:r>
    </w:p>
    <w:p w:rsidR="00BB5904" w:rsidRPr="00785130" w:rsidRDefault="00BB5904" w:rsidP="00BB5904">
      <w:pPr>
        <w:pStyle w:val="Source"/>
      </w:pPr>
      <w:r w:rsidRPr="00785130">
        <w:t>Source: Australian Bureau of Statistics, Department of Treasury and Finance</w:t>
      </w:r>
      <w:r>
        <w:t>.</w:t>
      </w:r>
    </w:p>
    <w:p w:rsidR="00BB5904" w:rsidRPr="003A1BB8" w:rsidRDefault="00BB5904" w:rsidP="00BB5904">
      <w:pPr>
        <w:pStyle w:val="Note"/>
      </w:pPr>
      <w:r w:rsidRPr="00D14DDE">
        <w:t>Note</w:t>
      </w:r>
      <w:r>
        <w:t>:</w:t>
      </w:r>
    </w:p>
    <w:p w:rsidR="00BB5904" w:rsidRPr="009C1CBF" w:rsidRDefault="00BB5904" w:rsidP="00BB5904">
      <w:pPr>
        <w:pStyle w:val="Note"/>
      </w:pPr>
      <w:r>
        <w:t>(a)</w:t>
      </w:r>
      <w:r>
        <w:tab/>
        <w:t xml:space="preserve">GSP and labour productivity growth refer to 2017-18; employment growth and the unemployment rate is at October 2018. </w:t>
      </w:r>
    </w:p>
    <w:p w:rsidR="00BB5904" w:rsidRDefault="00BB5904" w:rsidP="00BB5904"/>
    <w:p w:rsidR="00BB5904" w:rsidRDefault="00BB5904" w:rsidP="00BB5904">
      <w:r>
        <w:lastRenderedPageBreak/>
        <w:t>The economic outlook for Victoria is positive. Another year of above-trend growth is forecast for 2018</w:t>
      </w:r>
      <w:r>
        <w:noBreakHyphen/>
        <w:t>19. Growth will be supported by solid contributions from household consumption, business investment and public demand, driven by</w:t>
      </w:r>
      <w:r w:rsidRPr="006133F3">
        <w:rPr>
          <w:rFonts w:cstheme="minorHAnsi"/>
        </w:rPr>
        <w:t xml:space="preserve"> the Government’s record infrastructure program.</w:t>
      </w:r>
      <w:r>
        <w:rPr>
          <w:rFonts w:cstheme="minorHAnsi"/>
        </w:rPr>
        <w:t xml:space="preserve"> Reflecting this, another strong year of above-trend employment growth is expected.</w:t>
      </w:r>
    </w:p>
    <w:p w:rsidR="00BB5904" w:rsidRDefault="00BB5904" w:rsidP="00BB5904">
      <w:r>
        <w:t xml:space="preserve">Strong economic growth is improving the well-being of Victorians. </w:t>
      </w:r>
      <w:r w:rsidRPr="006133F3">
        <w:t>Real GSP</w:t>
      </w:r>
      <w:r>
        <w:t xml:space="preserve"> growth</w:t>
      </w:r>
      <w:r w:rsidRPr="006133F3">
        <w:t xml:space="preserve"> has expanded faster than the population in each of the past </w:t>
      </w:r>
      <w:r w:rsidRPr="003C2C36">
        <w:t>five</w:t>
      </w:r>
      <w:r w:rsidRPr="006133F3">
        <w:t xml:space="preserve"> years. This means the State’s economic </w:t>
      </w:r>
      <w:r>
        <w:t>performance</w:t>
      </w:r>
      <w:r w:rsidRPr="006133F3">
        <w:t xml:space="preserve"> is</w:t>
      </w:r>
      <w:r>
        <w:t xml:space="preserve"> raising</w:t>
      </w:r>
      <w:r w:rsidRPr="006133F3">
        <w:t xml:space="preserve"> </w:t>
      </w:r>
      <w:r>
        <w:t xml:space="preserve">the </w:t>
      </w:r>
      <w:r w:rsidRPr="006133F3">
        <w:t>average living standards of Victorians</w:t>
      </w:r>
      <w:r>
        <w:t>.</w:t>
      </w:r>
      <w:r w:rsidRPr="006133F3">
        <w:t xml:space="preserve"> </w:t>
      </w:r>
      <w:r>
        <w:t>Real economic growth is expected to continue to outpace the increase in population over the forward estimates. This is expected to translate to rising wages growth over the forecast period.</w:t>
      </w:r>
    </w:p>
    <w:p w:rsidR="00BB5904" w:rsidRPr="006133F3" w:rsidRDefault="00BB5904" w:rsidP="00BB5904">
      <w:pPr>
        <w:keepNext/>
        <w:spacing w:before="360"/>
        <w:outlineLvl w:val="0"/>
        <w:rPr>
          <w:rFonts w:asciiTheme="majorHAnsi" w:eastAsiaTheme="majorEastAsia" w:hAnsiTheme="majorHAnsi" w:cstheme="majorBidi"/>
          <w:b/>
          <w:bCs/>
          <w:caps/>
          <w:spacing w:val="-2"/>
          <w:sz w:val="26"/>
          <w:szCs w:val="28"/>
        </w:rPr>
      </w:pPr>
      <w:bookmarkStart w:id="5" w:name="_Toc512629746"/>
      <w:r w:rsidRPr="006133F3">
        <w:rPr>
          <w:rFonts w:asciiTheme="majorHAnsi" w:eastAsiaTheme="majorEastAsia" w:hAnsiTheme="majorHAnsi" w:cstheme="majorBidi"/>
          <w:b/>
          <w:bCs/>
          <w:caps/>
          <w:spacing w:val="-2"/>
          <w:sz w:val="26"/>
          <w:szCs w:val="28"/>
        </w:rPr>
        <w:t>CONSOLIDATING Strong financial foundations</w:t>
      </w:r>
      <w:bookmarkEnd w:id="5"/>
      <w:r w:rsidRPr="006133F3">
        <w:rPr>
          <w:rFonts w:asciiTheme="majorHAnsi" w:eastAsiaTheme="majorEastAsia" w:hAnsiTheme="majorHAnsi" w:cstheme="majorBidi"/>
          <w:b/>
          <w:bCs/>
          <w:caps/>
          <w:spacing w:val="-2"/>
          <w:sz w:val="26"/>
          <w:szCs w:val="28"/>
        </w:rPr>
        <w:t xml:space="preserve"> FOR the FUTURE</w:t>
      </w:r>
    </w:p>
    <w:p w:rsidR="00BB5904" w:rsidRPr="006133F3" w:rsidRDefault="00BB5904" w:rsidP="00BB5904">
      <w:r w:rsidRPr="006133F3">
        <w:t xml:space="preserve">The Government’s </w:t>
      </w:r>
      <w:r w:rsidRPr="006133F3">
        <w:rPr>
          <w:i/>
        </w:rPr>
        <w:t>2018-19 Budget</w:t>
      </w:r>
      <w:r w:rsidRPr="006133F3">
        <w:t xml:space="preserve"> consolidated its demonstrated track record of responsible financial management.</w:t>
      </w:r>
    </w:p>
    <w:p w:rsidR="00BB5904" w:rsidRPr="006133F3" w:rsidRDefault="00BB5904" w:rsidP="00BB5904">
      <w:r>
        <w:t>T</w:t>
      </w:r>
      <w:r w:rsidRPr="006133F3">
        <w:t>he general government operating surplus (net result from transactions) is forecast to be $2.</w:t>
      </w:r>
      <w:r>
        <w:t xml:space="preserve">2 </w:t>
      </w:r>
      <w:r w:rsidRPr="006133F3">
        <w:t>billion in 2018</w:t>
      </w:r>
      <w:r w:rsidRPr="006133F3">
        <w:noBreakHyphen/>
        <w:t>19, and average $2.5 billion a year across the forward estimates. Over the next four years, revenue is expected to grow by an average of 4.1 per cent a year, which is greater than average annual expense growth of 4.0 per cent. Net deb</w:t>
      </w:r>
      <w:r>
        <w:t>t as a percentage of GSP was 4.6</w:t>
      </w:r>
      <w:r w:rsidRPr="006133F3">
        <w:t xml:space="preserve"> per cent at June 2018 and is </w:t>
      </w:r>
      <w:r>
        <w:t xml:space="preserve">currently </w:t>
      </w:r>
      <w:r w:rsidRPr="006133F3">
        <w:t xml:space="preserve">projected to be </w:t>
      </w:r>
      <w:r>
        <w:t>6.0</w:t>
      </w:r>
      <w:r w:rsidRPr="006133F3">
        <w:t xml:space="preserve"> per cent </w:t>
      </w:r>
      <w:r>
        <w:t>by 30 June 2022, lower than the level published by the previous government in its final year in office.</w:t>
      </w:r>
    </w:p>
    <w:p w:rsidR="00BB5904" w:rsidRPr="006133F3" w:rsidRDefault="00BB5904" w:rsidP="00BB5904">
      <w:pPr>
        <w:keepNext/>
        <w:tabs>
          <w:tab w:val="left" w:pos="1134"/>
          <w:tab w:val="right" w:pos="9639"/>
          <w:tab w:val="right" w:pos="14742"/>
        </w:tabs>
        <w:spacing w:before="240" w:after="60"/>
        <w:ind w:left="1134" w:hanging="1134"/>
        <w:rPr>
          <w:rFonts w:asciiTheme="majorHAnsi" w:hAnsiTheme="majorHAnsi" w:cstheme="majorHAnsi"/>
          <w:b/>
          <w:bCs/>
          <w:sz w:val="16"/>
          <w:szCs w:val="16"/>
          <w:lang w:val="en-US"/>
        </w:rPr>
      </w:pPr>
      <w:r w:rsidRPr="00303015">
        <w:rPr>
          <w:rFonts w:asciiTheme="majorHAnsi" w:hAnsiTheme="majorHAnsi" w:cstheme="majorHAnsi"/>
          <w:b/>
          <w:sz w:val="20"/>
          <w:szCs w:val="20"/>
        </w:rPr>
        <w:t xml:space="preserve">Table 1.1: </w:t>
      </w:r>
      <w:r w:rsidRPr="00303015">
        <w:rPr>
          <w:rFonts w:asciiTheme="majorHAnsi" w:hAnsiTheme="majorHAnsi" w:cstheme="majorHAnsi"/>
          <w:b/>
          <w:sz w:val="20"/>
          <w:szCs w:val="20"/>
        </w:rPr>
        <w:tab/>
        <w:t>General government fiscal aggregates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3517"/>
        <w:gridCol w:w="850"/>
        <w:gridCol w:w="850"/>
        <w:gridCol w:w="850"/>
        <w:gridCol w:w="850"/>
        <w:gridCol w:w="850"/>
      </w:tblGrid>
      <w:tr w:rsidR="00EB3AE5" w:rsidRPr="00C34C81" w:rsidTr="000333DB">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517" w:type="dxa"/>
            <w:tcBorders>
              <w:top w:val="nil"/>
              <w:left w:val="nil"/>
              <w:right w:val="nil"/>
            </w:tcBorders>
            <w:shd w:val="solid" w:color="000000" w:fill="FFFFFF"/>
          </w:tcPr>
          <w:p w:rsidR="00EB3AE5" w:rsidRPr="00C34C81" w:rsidRDefault="00EB3AE5" w:rsidP="00D73159">
            <w:pPr>
              <w:autoSpaceDE w:val="0"/>
              <w:autoSpaceDN w:val="0"/>
              <w:adjustRightInd w:val="0"/>
              <w:rPr>
                <w:rFonts w:eastAsiaTheme="minorEastAsia" w:cstheme="majorHAnsi"/>
                <w:color w:val="000000"/>
                <w:lang w:eastAsia="en-AU"/>
              </w:rPr>
            </w:pPr>
            <w:r w:rsidRPr="00C34C81">
              <w:rPr>
                <w:rFonts w:eastAsiaTheme="minorEastAsia" w:cstheme="majorHAnsi"/>
                <w:color w:val="000000"/>
                <w:lang w:eastAsia="en-AU"/>
              </w:rPr>
              <w:t xml:space="preserve"> </w:t>
            </w:r>
          </w:p>
        </w:tc>
        <w:tc>
          <w:tcPr>
            <w:tcW w:w="850" w:type="dxa"/>
            <w:tcBorders>
              <w:top w:val="nil"/>
              <w:left w:val="nil"/>
              <w:right w:val="nil"/>
            </w:tcBorders>
            <w:shd w:val="solid" w:color="000000" w:fill="FFFFFF"/>
          </w:tcPr>
          <w:p w:rsidR="00EB3AE5" w:rsidRPr="00C34C81" w:rsidRDefault="00EB3AE5" w:rsidP="00EB3AE5">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C34C81">
              <w:rPr>
                <w:rFonts w:eastAsiaTheme="minorEastAsia" w:cstheme="majorHAnsi"/>
                <w:iCs/>
                <w:color w:val="FFFFFF"/>
                <w:szCs w:val="18"/>
                <w:lang w:eastAsia="en-AU"/>
              </w:rPr>
              <w:t>Unit o</w:t>
            </w:r>
            <w:r>
              <w:rPr>
                <w:rFonts w:eastAsiaTheme="minorEastAsia" w:cstheme="majorHAnsi"/>
                <w:iCs/>
                <w:color w:val="FFFFFF"/>
                <w:szCs w:val="18"/>
                <w:lang w:eastAsia="en-AU"/>
              </w:rPr>
              <w:t>f</w:t>
            </w:r>
            <w:r>
              <w:rPr>
                <w:rFonts w:eastAsiaTheme="minorEastAsia" w:cstheme="majorHAnsi"/>
                <w:iCs/>
                <w:color w:val="FFFFFF"/>
                <w:szCs w:val="18"/>
                <w:lang w:eastAsia="en-AU"/>
              </w:rPr>
              <w:br/>
            </w:r>
            <w:r w:rsidRPr="00C34C81">
              <w:rPr>
                <w:rFonts w:eastAsiaTheme="minorEastAsia" w:cstheme="majorHAnsi"/>
                <w:iCs/>
                <w:color w:val="FFFFFF"/>
                <w:szCs w:val="18"/>
                <w:lang w:eastAsia="en-AU"/>
              </w:rPr>
              <w:t>measure</w:t>
            </w:r>
          </w:p>
        </w:tc>
        <w:tc>
          <w:tcPr>
            <w:tcW w:w="850" w:type="dxa"/>
            <w:tcBorders>
              <w:top w:val="nil"/>
              <w:left w:val="nil"/>
              <w:right w:val="nil"/>
            </w:tcBorders>
            <w:shd w:val="solid" w:color="000000" w:fill="FFFFFF"/>
          </w:tcPr>
          <w:p w:rsidR="00EB3AE5" w:rsidRPr="00C34C81" w:rsidRDefault="00EB3AE5" w:rsidP="00EB3AE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C34C81">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C34C81">
              <w:rPr>
                <w:rFonts w:eastAsiaTheme="minorEastAsia" w:cstheme="majorHAnsi"/>
                <w:iCs/>
                <w:color w:val="FFFFFF"/>
                <w:szCs w:val="18"/>
                <w:lang w:eastAsia="en-AU"/>
              </w:rPr>
              <w:t>revised</w:t>
            </w:r>
          </w:p>
        </w:tc>
        <w:tc>
          <w:tcPr>
            <w:tcW w:w="850" w:type="dxa"/>
            <w:tcBorders>
              <w:top w:val="nil"/>
              <w:left w:val="nil"/>
              <w:right w:val="nil"/>
            </w:tcBorders>
            <w:shd w:val="solid" w:color="000000" w:fill="FFFFFF"/>
          </w:tcPr>
          <w:p w:rsidR="00EB3AE5" w:rsidRPr="00C34C81" w:rsidRDefault="00EB3AE5" w:rsidP="00EB3AE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C34C81">
              <w:rPr>
                <w:rFonts w:eastAsiaTheme="minorEastAsia" w:cstheme="majorHAnsi"/>
                <w:iCs/>
                <w:color w:val="FFFFFF"/>
                <w:szCs w:val="18"/>
                <w:lang w:eastAsia="en-AU"/>
              </w:rPr>
              <w:t>2019-20</w:t>
            </w:r>
            <w:r>
              <w:rPr>
                <w:rFonts w:eastAsiaTheme="minorEastAsia" w:cstheme="majorHAnsi"/>
                <w:iCs/>
                <w:color w:val="FFFFFF"/>
                <w:szCs w:val="18"/>
                <w:lang w:eastAsia="en-AU"/>
              </w:rPr>
              <w:br/>
            </w:r>
            <w:r w:rsidRPr="00C34C81">
              <w:rPr>
                <w:rFonts w:eastAsiaTheme="minorEastAsia" w:cstheme="majorHAnsi"/>
                <w:iCs/>
                <w:color w:val="FFFFFF"/>
                <w:szCs w:val="18"/>
                <w:lang w:eastAsia="en-AU"/>
              </w:rPr>
              <w:t>estimate</w:t>
            </w:r>
          </w:p>
        </w:tc>
        <w:tc>
          <w:tcPr>
            <w:tcW w:w="850" w:type="dxa"/>
            <w:tcBorders>
              <w:top w:val="nil"/>
              <w:left w:val="nil"/>
              <w:right w:val="nil"/>
            </w:tcBorders>
            <w:shd w:val="solid" w:color="000000" w:fill="FFFFFF"/>
          </w:tcPr>
          <w:p w:rsidR="00EB3AE5" w:rsidRPr="00C34C81" w:rsidRDefault="00EB3AE5" w:rsidP="00EB3AE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C34C81">
              <w:rPr>
                <w:rFonts w:eastAsiaTheme="minorEastAsia" w:cstheme="majorHAnsi"/>
                <w:iCs/>
                <w:color w:val="FFFFFF"/>
                <w:szCs w:val="18"/>
                <w:lang w:eastAsia="en-AU"/>
              </w:rPr>
              <w:t>2020-21</w:t>
            </w:r>
            <w:r>
              <w:rPr>
                <w:rFonts w:eastAsiaTheme="minorEastAsia" w:cstheme="majorHAnsi"/>
                <w:iCs/>
                <w:color w:val="FFFFFF"/>
                <w:szCs w:val="18"/>
                <w:lang w:eastAsia="en-AU"/>
              </w:rPr>
              <w:br/>
            </w:r>
            <w:r w:rsidRPr="00C34C81">
              <w:rPr>
                <w:rFonts w:eastAsiaTheme="minorEastAsia" w:cstheme="majorHAnsi"/>
                <w:iCs/>
                <w:color w:val="FFFFFF"/>
                <w:szCs w:val="18"/>
                <w:lang w:eastAsia="en-AU"/>
              </w:rPr>
              <w:t>estimate</w:t>
            </w:r>
          </w:p>
        </w:tc>
        <w:tc>
          <w:tcPr>
            <w:tcW w:w="850" w:type="dxa"/>
            <w:tcBorders>
              <w:top w:val="nil"/>
              <w:left w:val="nil"/>
              <w:right w:val="nil"/>
            </w:tcBorders>
            <w:shd w:val="solid" w:color="000000" w:fill="FFFFFF"/>
          </w:tcPr>
          <w:p w:rsidR="00EB3AE5" w:rsidRPr="00C34C81" w:rsidRDefault="00EB3AE5" w:rsidP="00EB3AE5">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C34C81">
              <w:rPr>
                <w:rFonts w:eastAsiaTheme="minorEastAsia" w:cstheme="majorHAnsi"/>
                <w:iCs/>
                <w:color w:val="FFFFFF"/>
                <w:szCs w:val="18"/>
                <w:lang w:eastAsia="en-AU"/>
              </w:rPr>
              <w:t>2021-22</w:t>
            </w:r>
            <w:r>
              <w:rPr>
                <w:rFonts w:eastAsiaTheme="minorEastAsia" w:cstheme="majorHAnsi"/>
                <w:iCs/>
                <w:color w:val="FFFFFF"/>
                <w:szCs w:val="18"/>
                <w:lang w:eastAsia="en-AU"/>
              </w:rPr>
              <w:br/>
            </w:r>
            <w:r w:rsidRPr="00C34C81">
              <w:rPr>
                <w:rFonts w:eastAsiaTheme="minorEastAsia" w:cstheme="majorHAnsi"/>
                <w:iCs/>
                <w:color w:val="FFFFFF"/>
                <w:szCs w:val="18"/>
                <w:lang w:eastAsia="en-AU"/>
              </w:rPr>
              <w:t>estimate</w:t>
            </w:r>
          </w:p>
        </w:tc>
      </w:tr>
      <w:tr w:rsidR="00BB5904" w:rsidRPr="00C34C81" w:rsidTr="00EB3AE5">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BB5904" w:rsidRPr="00C34C81" w:rsidRDefault="00BB5904" w:rsidP="00D73159">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Net result from transactions</w:t>
            </w:r>
          </w:p>
        </w:tc>
        <w:tc>
          <w:tcPr>
            <w:tcW w:w="850" w:type="dxa"/>
            <w:tcBorders>
              <w:top w:val="nil"/>
              <w:left w:val="nil"/>
              <w:bottom w:val="nil"/>
              <w:right w:val="nil"/>
            </w:tcBorders>
          </w:tcPr>
          <w:p w:rsidR="00BB5904" w:rsidRPr="00C34C81" w:rsidRDefault="00BB5904" w:rsidP="00D73159">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 billion</w:t>
            </w:r>
          </w:p>
        </w:tc>
        <w:tc>
          <w:tcPr>
            <w:tcW w:w="850" w:type="dxa"/>
            <w:tcBorders>
              <w:top w:val="nil"/>
              <w:left w:val="nil"/>
              <w:bottom w:val="nil"/>
              <w:right w:val="nil"/>
            </w:tcBorders>
          </w:tcPr>
          <w:p w:rsidR="00BB5904" w:rsidRPr="00C34C81" w:rsidRDefault="00BB5904" w:rsidP="00D73159">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2.</w:t>
            </w:r>
            <w:r>
              <w:rPr>
                <w:rFonts w:eastAsiaTheme="minorEastAsia" w:cstheme="majorHAnsi"/>
                <w:color w:val="000000"/>
                <w:szCs w:val="18"/>
                <w:lang w:eastAsia="en-AU"/>
              </w:rPr>
              <w:t>2</w:t>
            </w:r>
            <w:r w:rsidRPr="00C34C81">
              <w:rPr>
                <w:rFonts w:eastAsiaTheme="minorEastAsia" w:cstheme="majorHAnsi"/>
                <w:color w:val="000000"/>
                <w:szCs w:val="18"/>
                <w:lang w:eastAsia="en-AU"/>
              </w:rPr>
              <w:t xml:space="preserve"> </w:t>
            </w:r>
          </w:p>
        </w:tc>
        <w:tc>
          <w:tcPr>
            <w:tcW w:w="850" w:type="dxa"/>
            <w:tcBorders>
              <w:top w:val="nil"/>
              <w:left w:val="nil"/>
              <w:bottom w:val="nil"/>
              <w:right w:val="nil"/>
            </w:tcBorders>
          </w:tcPr>
          <w:p w:rsidR="00BB5904" w:rsidRPr="00C34C81" w:rsidRDefault="00BB5904" w:rsidP="00D73159">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1.7 </w:t>
            </w:r>
          </w:p>
        </w:tc>
        <w:tc>
          <w:tcPr>
            <w:tcW w:w="850" w:type="dxa"/>
            <w:tcBorders>
              <w:top w:val="nil"/>
              <w:left w:val="nil"/>
              <w:bottom w:val="nil"/>
              <w:right w:val="nil"/>
            </w:tcBorders>
          </w:tcPr>
          <w:p w:rsidR="00BB5904" w:rsidRPr="00C34C81" w:rsidRDefault="00BB5904" w:rsidP="00D73159">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2.7 </w:t>
            </w:r>
          </w:p>
        </w:tc>
        <w:tc>
          <w:tcPr>
            <w:tcW w:w="850" w:type="dxa"/>
            <w:tcBorders>
              <w:top w:val="nil"/>
              <w:left w:val="nil"/>
              <w:bottom w:val="nil"/>
              <w:right w:val="nil"/>
            </w:tcBorders>
          </w:tcPr>
          <w:p w:rsidR="00BB5904" w:rsidRPr="00C34C81" w:rsidRDefault="00BB5904" w:rsidP="00D73159">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3.0 </w:t>
            </w:r>
          </w:p>
        </w:tc>
      </w:tr>
      <w:tr w:rsidR="00BB5904" w:rsidRPr="00C34C81" w:rsidTr="00EB3AE5">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BB5904" w:rsidRPr="00C34C81" w:rsidRDefault="00BB5904" w:rsidP="00D73159">
            <w:pPr>
              <w:keepLines w:val="0"/>
              <w:autoSpaceDE w:val="0"/>
              <w:autoSpaceDN w:val="0"/>
              <w:adjustRightInd w:val="0"/>
              <w:rPr>
                <w:rFonts w:eastAsiaTheme="minorEastAsia" w:cstheme="majorHAnsi"/>
                <w:color w:val="000000"/>
                <w:szCs w:val="18"/>
                <w:vertAlign w:val="superscript"/>
                <w:lang w:eastAsia="en-AU"/>
              </w:rPr>
            </w:pPr>
            <w:r w:rsidRPr="00C34C81">
              <w:rPr>
                <w:rFonts w:eastAsiaTheme="minorEastAsia" w:cstheme="majorHAnsi"/>
                <w:color w:val="000000"/>
                <w:szCs w:val="18"/>
                <w:lang w:eastAsia="en-AU"/>
              </w:rPr>
              <w:t xml:space="preserve">Government infrastructure investment </w:t>
            </w:r>
            <w:r w:rsidRPr="00C34C81">
              <w:rPr>
                <w:rFonts w:eastAsiaTheme="minorEastAsia" w:cstheme="majorHAnsi"/>
                <w:color w:val="000000"/>
                <w:szCs w:val="18"/>
                <w:vertAlign w:val="superscript"/>
                <w:lang w:eastAsia="en-AU"/>
              </w:rPr>
              <w:t>(a)</w:t>
            </w:r>
          </w:p>
        </w:tc>
        <w:tc>
          <w:tcPr>
            <w:tcW w:w="850" w:type="dxa"/>
            <w:tcBorders>
              <w:top w:val="nil"/>
              <w:left w:val="nil"/>
              <w:bottom w:val="nil"/>
              <w:right w:val="nil"/>
            </w:tcBorders>
          </w:tcPr>
          <w:p w:rsidR="00BB5904" w:rsidRPr="00C34C81" w:rsidRDefault="00BB5904" w:rsidP="00D73159">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 billion</w:t>
            </w:r>
          </w:p>
        </w:tc>
        <w:tc>
          <w:tcPr>
            <w:tcW w:w="850" w:type="dxa"/>
            <w:tcBorders>
              <w:top w:val="nil"/>
              <w:left w:val="nil"/>
              <w:bottom w:val="nil"/>
              <w:right w:val="nil"/>
            </w:tcBorders>
          </w:tcPr>
          <w:p w:rsidR="00BB5904" w:rsidRPr="00C34C81" w:rsidRDefault="00BB5904" w:rsidP="00D73159">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13.4 </w:t>
            </w:r>
          </w:p>
        </w:tc>
        <w:tc>
          <w:tcPr>
            <w:tcW w:w="850" w:type="dxa"/>
            <w:tcBorders>
              <w:top w:val="nil"/>
              <w:left w:val="nil"/>
              <w:bottom w:val="nil"/>
              <w:right w:val="nil"/>
            </w:tcBorders>
          </w:tcPr>
          <w:p w:rsidR="00BB5904" w:rsidRPr="00C34C81" w:rsidRDefault="00BB5904" w:rsidP="00D73159">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11.4 </w:t>
            </w:r>
          </w:p>
        </w:tc>
        <w:tc>
          <w:tcPr>
            <w:tcW w:w="850" w:type="dxa"/>
            <w:tcBorders>
              <w:top w:val="nil"/>
              <w:left w:val="nil"/>
              <w:bottom w:val="nil"/>
              <w:right w:val="nil"/>
            </w:tcBorders>
          </w:tcPr>
          <w:p w:rsidR="00BB5904" w:rsidRPr="00C34C81" w:rsidRDefault="00BB5904" w:rsidP="00D73159">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9.7 </w:t>
            </w:r>
          </w:p>
        </w:tc>
        <w:tc>
          <w:tcPr>
            <w:tcW w:w="850" w:type="dxa"/>
            <w:tcBorders>
              <w:top w:val="nil"/>
              <w:left w:val="nil"/>
              <w:bottom w:val="nil"/>
              <w:right w:val="nil"/>
            </w:tcBorders>
          </w:tcPr>
          <w:p w:rsidR="00BB5904" w:rsidRPr="00C34C81" w:rsidRDefault="00BB5904" w:rsidP="00D73159">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8.0 </w:t>
            </w:r>
          </w:p>
        </w:tc>
      </w:tr>
      <w:tr w:rsidR="00BB5904" w:rsidRPr="00C34C81" w:rsidTr="00EB3AE5">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BB5904" w:rsidRPr="00C34C81" w:rsidRDefault="00BB5904" w:rsidP="00D73159">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Net debt</w:t>
            </w:r>
          </w:p>
        </w:tc>
        <w:tc>
          <w:tcPr>
            <w:tcW w:w="850" w:type="dxa"/>
            <w:tcBorders>
              <w:top w:val="nil"/>
              <w:left w:val="nil"/>
              <w:bottom w:val="nil"/>
              <w:right w:val="nil"/>
            </w:tcBorders>
          </w:tcPr>
          <w:p w:rsidR="00BB5904" w:rsidRPr="00C34C81" w:rsidRDefault="00BB5904" w:rsidP="00D73159">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 billion</w:t>
            </w:r>
          </w:p>
        </w:tc>
        <w:tc>
          <w:tcPr>
            <w:tcW w:w="850" w:type="dxa"/>
            <w:tcBorders>
              <w:top w:val="nil"/>
              <w:left w:val="nil"/>
              <w:bottom w:val="nil"/>
              <w:right w:val="nil"/>
            </w:tcBorders>
          </w:tcPr>
          <w:p w:rsidR="00BB5904" w:rsidRPr="00C34C81" w:rsidRDefault="00BB5904" w:rsidP="00D73159">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22.5 </w:t>
            </w:r>
          </w:p>
        </w:tc>
        <w:tc>
          <w:tcPr>
            <w:tcW w:w="850" w:type="dxa"/>
            <w:tcBorders>
              <w:top w:val="nil"/>
              <w:left w:val="nil"/>
              <w:bottom w:val="nil"/>
              <w:right w:val="nil"/>
            </w:tcBorders>
          </w:tcPr>
          <w:p w:rsidR="00BB5904" w:rsidRPr="00C34C81" w:rsidRDefault="00BB5904" w:rsidP="00D73159">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27.8 </w:t>
            </w:r>
          </w:p>
        </w:tc>
        <w:tc>
          <w:tcPr>
            <w:tcW w:w="850" w:type="dxa"/>
            <w:tcBorders>
              <w:top w:val="nil"/>
              <w:left w:val="nil"/>
              <w:bottom w:val="nil"/>
              <w:right w:val="nil"/>
            </w:tcBorders>
          </w:tcPr>
          <w:p w:rsidR="00BB5904" w:rsidRPr="00C34C81" w:rsidRDefault="00BB5904" w:rsidP="00D73159">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30.3 </w:t>
            </w:r>
          </w:p>
        </w:tc>
        <w:tc>
          <w:tcPr>
            <w:tcW w:w="850" w:type="dxa"/>
            <w:tcBorders>
              <w:top w:val="nil"/>
              <w:left w:val="nil"/>
              <w:bottom w:val="nil"/>
              <w:right w:val="nil"/>
            </w:tcBorders>
          </w:tcPr>
          <w:p w:rsidR="00BB5904" w:rsidRPr="00C34C81" w:rsidRDefault="00BB5904" w:rsidP="00D73159">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31.8 </w:t>
            </w:r>
          </w:p>
        </w:tc>
      </w:tr>
      <w:tr w:rsidR="00BB5904" w:rsidRPr="00C34C81" w:rsidTr="00EB3AE5">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single" w:sz="12" w:space="0" w:color="auto"/>
              <w:right w:val="nil"/>
            </w:tcBorders>
          </w:tcPr>
          <w:p w:rsidR="00BB5904" w:rsidRPr="00C34C81" w:rsidRDefault="00BB5904" w:rsidP="00D73159">
            <w:pPr>
              <w:keepLines w:val="0"/>
              <w:autoSpaceDE w:val="0"/>
              <w:autoSpaceDN w:val="0"/>
              <w:adjustRightInd w:val="0"/>
            </w:pPr>
            <w:r w:rsidRPr="00C34C81">
              <w:rPr>
                <w:rFonts w:eastAsiaTheme="minorEastAsia" w:cstheme="majorHAnsi"/>
                <w:color w:val="000000"/>
                <w:szCs w:val="18"/>
                <w:lang w:eastAsia="en-AU"/>
              </w:rPr>
              <w:t>Net debt to GSP</w:t>
            </w:r>
            <w:r w:rsidRPr="00C34C81">
              <w:rPr>
                <w:rFonts w:eastAsiaTheme="minorEastAsia" w:cstheme="majorHAnsi"/>
                <w:color w:val="000000"/>
                <w:szCs w:val="18"/>
                <w:vertAlign w:val="superscript"/>
                <w:lang w:eastAsia="en-AU"/>
              </w:rPr>
              <w:t xml:space="preserve"> (b)</w:t>
            </w:r>
          </w:p>
        </w:tc>
        <w:tc>
          <w:tcPr>
            <w:tcW w:w="850" w:type="dxa"/>
            <w:tcBorders>
              <w:top w:val="nil"/>
              <w:left w:val="nil"/>
              <w:bottom w:val="single" w:sz="12" w:space="0" w:color="auto"/>
              <w:right w:val="nil"/>
            </w:tcBorders>
          </w:tcPr>
          <w:p w:rsidR="00BB5904" w:rsidRPr="00C34C81" w:rsidRDefault="00BB5904" w:rsidP="00D73159">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per cent</w:t>
            </w:r>
          </w:p>
        </w:tc>
        <w:tc>
          <w:tcPr>
            <w:tcW w:w="850" w:type="dxa"/>
            <w:tcBorders>
              <w:top w:val="nil"/>
              <w:left w:val="nil"/>
              <w:bottom w:val="single" w:sz="12" w:space="0" w:color="auto"/>
              <w:right w:val="nil"/>
            </w:tcBorders>
          </w:tcPr>
          <w:p w:rsidR="00BB5904" w:rsidRPr="00C34C81" w:rsidRDefault="00BB5904" w:rsidP="00D73159">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5.0 </w:t>
            </w:r>
          </w:p>
        </w:tc>
        <w:tc>
          <w:tcPr>
            <w:tcW w:w="850" w:type="dxa"/>
            <w:tcBorders>
              <w:top w:val="nil"/>
              <w:left w:val="nil"/>
              <w:bottom w:val="single" w:sz="12" w:space="0" w:color="auto"/>
              <w:right w:val="nil"/>
            </w:tcBorders>
          </w:tcPr>
          <w:p w:rsidR="00BB5904" w:rsidRPr="00C34C81" w:rsidRDefault="00BB5904" w:rsidP="00D73159">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5.8 </w:t>
            </w:r>
          </w:p>
        </w:tc>
        <w:tc>
          <w:tcPr>
            <w:tcW w:w="850" w:type="dxa"/>
            <w:tcBorders>
              <w:top w:val="nil"/>
              <w:left w:val="nil"/>
              <w:bottom w:val="single" w:sz="12" w:space="0" w:color="auto"/>
              <w:right w:val="nil"/>
            </w:tcBorders>
          </w:tcPr>
          <w:p w:rsidR="00BB5904" w:rsidRPr="00C34C81" w:rsidRDefault="00BB5904" w:rsidP="00D73159">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6.0 </w:t>
            </w:r>
          </w:p>
        </w:tc>
        <w:tc>
          <w:tcPr>
            <w:tcW w:w="850" w:type="dxa"/>
            <w:tcBorders>
              <w:top w:val="nil"/>
              <w:left w:val="nil"/>
              <w:bottom w:val="single" w:sz="12" w:space="0" w:color="auto"/>
              <w:right w:val="nil"/>
            </w:tcBorders>
          </w:tcPr>
          <w:p w:rsidR="00BB5904" w:rsidRPr="00C34C81" w:rsidRDefault="00BB5904" w:rsidP="00D73159">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6.0 </w:t>
            </w:r>
          </w:p>
        </w:tc>
      </w:tr>
    </w:tbl>
    <w:p w:rsidR="00BB5904" w:rsidRPr="006133F3" w:rsidRDefault="00BB5904" w:rsidP="00BB5904">
      <w:pPr>
        <w:spacing w:before="20" w:after="60"/>
        <w:rPr>
          <w:rFonts w:asciiTheme="majorHAnsi" w:hAnsiTheme="majorHAnsi" w:cstheme="majorHAnsi"/>
          <w:i/>
          <w:spacing w:val="-2"/>
          <w:sz w:val="14"/>
          <w:szCs w:val="14"/>
        </w:rPr>
      </w:pPr>
      <w:r w:rsidRPr="006133F3">
        <w:rPr>
          <w:rFonts w:asciiTheme="majorHAnsi" w:hAnsiTheme="majorHAnsi" w:cstheme="majorHAnsi"/>
          <w:i/>
          <w:spacing w:val="-2"/>
          <w:sz w:val="14"/>
          <w:szCs w:val="14"/>
        </w:rPr>
        <w:t>Source: Department of Treasury and Finance</w:t>
      </w:r>
    </w:p>
    <w:p w:rsidR="00BB5904" w:rsidRPr="006133F3" w:rsidRDefault="00BB5904" w:rsidP="00BB5904">
      <w:pPr>
        <w:spacing w:before="0"/>
        <w:ind w:left="284" w:hanging="284"/>
        <w:contextualSpacing/>
        <w:rPr>
          <w:rFonts w:asciiTheme="majorHAnsi" w:hAnsiTheme="majorHAnsi" w:cstheme="majorHAnsi"/>
          <w:i/>
          <w:spacing w:val="-2"/>
          <w:sz w:val="14"/>
          <w:szCs w:val="14"/>
        </w:rPr>
      </w:pPr>
      <w:r w:rsidRPr="006133F3">
        <w:rPr>
          <w:rFonts w:asciiTheme="majorHAnsi" w:hAnsiTheme="majorHAnsi" w:cstheme="majorHAnsi"/>
          <w:i/>
          <w:spacing w:val="-2"/>
          <w:sz w:val="14"/>
          <w:szCs w:val="14"/>
        </w:rPr>
        <w:t>Notes:</w:t>
      </w:r>
    </w:p>
    <w:p w:rsidR="00BB5904" w:rsidRPr="006133F3" w:rsidRDefault="00BB5904" w:rsidP="00BB5904">
      <w:pPr>
        <w:spacing w:before="0"/>
        <w:ind w:left="284" w:hanging="284"/>
        <w:contextualSpacing/>
        <w:rPr>
          <w:rFonts w:asciiTheme="majorHAnsi" w:hAnsiTheme="majorHAnsi" w:cstheme="majorHAnsi"/>
          <w:i/>
          <w:spacing w:val="-2"/>
          <w:sz w:val="14"/>
          <w:szCs w:val="14"/>
        </w:rPr>
      </w:pPr>
      <w:r w:rsidRPr="006133F3">
        <w:rPr>
          <w:rFonts w:asciiTheme="majorHAnsi" w:hAnsiTheme="majorHAnsi" w:cstheme="majorHAnsi"/>
          <w:i/>
          <w:spacing w:val="-2"/>
          <w:sz w:val="14"/>
          <w:szCs w:val="14"/>
        </w:rPr>
        <w:t>(a)</w:t>
      </w:r>
      <w:r w:rsidRPr="006133F3">
        <w:rPr>
          <w:rFonts w:asciiTheme="majorHAnsi" w:hAnsiTheme="majorHAnsi" w:cstheme="majorHAnsi"/>
          <w:i/>
          <w:spacing w:val="-2"/>
          <w:sz w:val="14"/>
          <w:szCs w:val="14"/>
        </w:rPr>
        <w:tab/>
        <w:t>Includes general government net infrastructure investment and estimated construction costs for Partnerships Victoria projects.</w:t>
      </w:r>
    </w:p>
    <w:p w:rsidR="00BB5904" w:rsidRPr="00C203E5" w:rsidRDefault="00BB5904" w:rsidP="00BB5904">
      <w:pPr>
        <w:pStyle w:val="Note"/>
      </w:pPr>
      <w:r w:rsidRPr="00C203E5">
        <w:t>(</w:t>
      </w:r>
      <w:r>
        <w:t>b)</w:t>
      </w:r>
      <w:r>
        <w:tab/>
      </w:r>
      <w:r w:rsidRPr="00C203E5">
        <w:t xml:space="preserve">The ratios to GSP may vary from publications year to year due to revisions to the </w:t>
      </w:r>
      <w:r>
        <w:t xml:space="preserve">Australian Bureau of Statistics </w:t>
      </w:r>
      <w:r w:rsidRPr="00C203E5">
        <w:t>GSP data.</w:t>
      </w:r>
    </w:p>
    <w:p w:rsidR="00BB5904" w:rsidRDefault="00BB5904" w:rsidP="00BB5904">
      <w:pPr>
        <w:keepLines w:val="0"/>
      </w:pPr>
      <w:r>
        <w:br w:type="page"/>
      </w:r>
    </w:p>
    <w:p w:rsidR="00BB5904" w:rsidRPr="006133F3" w:rsidRDefault="00BB5904" w:rsidP="00BB5904">
      <w:r>
        <w:lastRenderedPageBreak/>
        <w:t>G</w:t>
      </w:r>
      <w:r w:rsidRPr="006133F3">
        <w:t>overnment infrastructure investment is forecast to average $</w:t>
      </w:r>
      <w:r w:rsidRPr="00B40211">
        <w:t>10.6</w:t>
      </w:r>
      <w:r w:rsidRPr="006133F3">
        <w:t> billion a year over the budget and forw</w:t>
      </w:r>
      <w:r>
        <w:t xml:space="preserve">ard estimates period, more than double the average of $4.9 billion a year from 2005-06 to 2014-15 </w:t>
      </w:r>
      <w:r w:rsidRPr="006133F3">
        <w:t xml:space="preserve">(Chart 1.2). </w:t>
      </w:r>
    </w:p>
    <w:p w:rsidR="00BB5904" w:rsidRPr="009B2F1C" w:rsidRDefault="00BB5904" w:rsidP="00BB5904">
      <w:pPr>
        <w:keepNext/>
        <w:tabs>
          <w:tab w:val="left" w:pos="1134"/>
          <w:tab w:val="right" w:pos="7711"/>
        </w:tabs>
        <w:spacing w:before="200" w:after="60"/>
        <w:rPr>
          <w:rFonts w:asciiTheme="majorHAnsi" w:hAnsiTheme="majorHAnsi"/>
          <w:b/>
          <w:sz w:val="20"/>
          <w:szCs w:val="20"/>
          <w:vertAlign w:val="superscript"/>
        </w:rPr>
      </w:pPr>
      <w:r w:rsidRPr="009B2F1C">
        <w:rPr>
          <w:rFonts w:asciiTheme="majorHAnsi" w:hAnsiTheme="majorHAnsi"/>
          <w:b/>
          <w:sz w:val="20"/>
          <w:szCs w:val="20"/>
        </w:rPr>
        <w:t xml:space="preserve">Chart </w:t>
      </w:r>
      <w:r>
        <w:rPr>
          <w:rFonts w:asciiTheme="majorHAnsi" w:hAnsiTheme="majorHAnsi"/>
          <w:b/>
          <w:sz w:val="20"/>
          <w:szCs w:val="20"/>
        </w:rPr>
        <w:t>1.2</w:t>
      </w:r>
      <w:r w:rsidRPr="009B2F1C">
        <w:rPr>
          <w:rFonts w:asciiTheme="majorHAnsi" w:hAnsiTheme="majorHAnsi"/>
          <w:b/>
          <w:sz w:val="20"/>
          <w:szCs w:val="20"/>
        </w:rPr>
        <w:t>:</w:t>
      </w:r>
      <w:r w:rsidRPr="009B2F1C">
        <w:rPr>
          <w:rFonts w:asciiTheme="majorHAnsi" w:hAnsiTheme="majorHAnsi"/>
          <w:b/>
          <w:sz w:val="20"/>
          <w:szCs w:val="20"/>
        </w:rPr>
        <w:tab/>
        <w:t xml:space="preserve">Government infrastructure investment </w:t>
      </w:r>
      <w:r w:rsidRPr="009B2F1C">
        <w:rPr>
          <w:rFonts w:asciiTheme="majorHAnsi" w:hAnsiTheme="majorHAnsi"/>
          <w:b/>
          <w:sz w:val="20"/>
          <w:szCs w:val="20"/>
          <w:vertAlign w:val="superscript"/>
        </w:rPr>
        <w:t>(a)(b)</w:t>
      </w:r>
    </w:p>
    <w:p w:rsidR="00BB5904" w:rsidRPr="009B2F1C" w:rsidRDefault="00BB5904" w:rsidP="00BB5904">
      <w:pPr>
        <w:rPr>
          <w:noProof/>
        </w:rPr>
      </w:pPr>
      <w:r w:rsidRPr="009B2F1C">
        <w:rPr>
          <w:noProof/>
        </w:rPr>
        <w:drawing>
          <wp:inline distT="0" distB="0" distL="0" distR="0" wp14:anchorId="007EDC7F" wp14:editId="1DDDA79D">
            <wp:extent cx="4764253" cy="32775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3641" cy="3297781"/>
                    </a:xfrm>
                    <a:prstGeom prst="rect">
                      <a:avLst/>
                    </a:prstGeom>
                    <a:noFill/>
                  </pic:spPr>
                </pic:pic>
              </a:graphicData>
            </a:graphic>
          </wp:inline>
        </w:drawing>
      </w:r>
    </w:p>
    <w:p w:rsidR="00BB5904" w:rsidRPr="009B2F1C" w:rsidRDefault="00BB5904" w:rsidP="00BB5904">
      <w:pPr>
        <w:spacing w:before="20" w:after="60"/>
        <w:rPr>
          <w:rFonts w:asciiTheme="majorHAnsi" w:hAnsiTheme="majorHAnsi"/>
          <w:i/>
          <w:spacing w:val="-2"/>
          <w:sz w:val="14"/>
        </w:rPr>
      </w:pPr>
      <w:r w:rsidRPr="009B2F1C">
        <w:rPr>
          <w:rFonts w:asciiTheme="majorHAnsi" w:hAnsiTheme="majorHAnsi"/>
          <w:i/>
          <w:spacing w:val="-2"/>
          <w:sz w:val="14"/>
        </w:rPr>
        <w:t>Source: Department of Treasury and Finance</w:t>
      </w:r>
    </w:p>
    <w:p w:rsidR="00BB5904" w:rsidRPr="009B2F1C" w:rsidRDefault="00BB5904" w:rsidP="00BB5904">
      <w:pPr>
        <w:spacing w:before="20"/>
        <w:ind w:left="284" w:hanging="284"/>
        <w:contextualSpacing/>
        <w:rPr>
          <w:rFonts w:asciiTheme="majorHAnsi" w:hAnsiTheme="majorHAnsi"/>
          <w:i/>
          <w:spacing w:val="-2"/>
          <w:sz w:val="14"/>
        </w:rPr>
      </w:pPr>
      <w:r w:rsidRPr="009B2F1C">
        <w:rPr>
          <w:rFonts w:asciiTheme="majorHAnsi" w:hAnsiTheme="majorHAnsi"/>
          <w:i/>
          <w:spacing w:val="-2"/>
          <w:sz w:val="14"/>
        </w:rPr>
        <w:t>Notes:</w:t>
      </w:r>
    </w:p>
    <w:p w:rsidR="00BB5904" w:rsidRPr="009B2F1C" w:rsidRDefault="00BB5904" w:rsidP="00BB5904">
      <w:pPr>
        <w:spacing w:before="20"/>
        <w:ind w:left="284" w:hanging="284"/>
        <w:contextualSpacing/>
        <w:rPr>
          <w:rFonts w:asciiTheme="majorHAnsi" w:hAnsiTheme="majorHAnsi"/>
          <w:i/>
          <w:spacing w:val="-2"/>
          <w:sz w:val="14"/>
        </w:rPr>
      </w:pPr>
      <w:r w:rsidRPr="009B2F1C">
        <w:rPr>
          <w:rFonts w:asciiTheme="majorHAnsi" w:hAnsiTheme="majorHAnsi"/>
          <w:i/>
          <w:spacing w:val="-2"/>
          <w:sz w:val="14"/>
        </w:rPr>
        <w:t>(a)</w:t>
      </w:r>
      <w:r w:rsidRPr="009B2F1C">
        <w:rPr>
          <w:rFonts w:asciiTheme="majorHAnsi" w:hAnsiTheme="majorHAnsi"/>
          <w:i/>
          <w:spacing w:val="-2"/>
          <w:sz w:val="14"/>
        </w:rPr>
        <w:tab/>
        <w:t>Includes general government net infrastructure investment and estimated construction costs for Partnerships Victoria projects.</w:t>
      </w:r>
    </w:p>
    <w:p w:rsidR="00BB5904" w:rsidRPr="009B2F1C" w:rsidRDefault="00BB5904" w:rsidP="00BB5904">
      <w:pPr>
        <w:spacing w:before="20"/>
        <w:ind w:left="284" w:hanging="284"/>
        <w:contextualSpacing/>
        <w:rPr>
          <w:rFonts w:asciiTheme="majorHAnsi" w:hAnsiTheme="majorHAnsi"/>
          <w:i/>
          <w:spacing w:val="-2"/>
          <w:sz w:val="14"/>
        </w:rPr>
      </w:pPr>
      <w:r w:rsidRPr="009B2F1C">
        <w:rPr>
          <w:rFonts w:asciiTheme="majorHAnsi" w:hAnsiTheme="majorHAnsi"/>
          <w:i/>
          <w:spacing w:val="-2"/>
          <w:sz w:val="14"/>
        </w:rPr>
        <w:t>(b)</w:t>
      </w:r>
      <w:r w:rsidRPr="009B2F1C">
        <w:rPr>
          <w:rFonts w:asciiTheme="majorHAnsi" w:hAnsiTheme="majorHAnsi"/>
          <w:i/>
          <w:spacing w:val="-2"/>
          <w:sz w:val="14"/>
        </w:rPr>
        <w:tab/>
        <w:t>Excludes the impact of the medium</w:t>
      </w:r>
      <w:r w:rsidRPr="009B2F1C">
        <w:rPr>
          <w:rFonts w:asciiTheme="majorHAnsi" w:hAnsiTheme="majorHAnsi"/>
          <w:i/>
          <w:spacing w:val="-2"/>
          <w:sz w:val="14"/>
        </w:rPr>
        <w:noBreakHyphen/>
        <w:t>term lease over the operations of the Port of Melbourne and the divestment of Victoria’s share of Snowy Hydro Limited.</w:t>
      </w:r>
    </w:p>
    <w:p w:rsidR="00BB5904" w:rsidRDefault="00BB5904" w:rsidP="00BB5904">
      <w:pPr>
        <w:keepLines w:val="0"/>
      </w:pPr>
      <w:r>
        <w:t>During the 2018 election the Government committed to increasing borrowings to 12 per cent of GSP (including accounting standards</w:t>
      </w:r>
      <w:r w:rsidRPr="00603CAD">
        <w:t xml:space="preserve"> change</w:t>
      </w:r>
      <w:r>
        <w:t xml:space="preserve">s) over the medium term to fund three visionary capital projects: the North-East Road Link; the Melbourne Airport Rail Link; and an additional 25 level crossings to be removed by 2025. </w:t>
      </w:r>
    </w:p>
    <w:p w:rsidR="00BB5904" w:rsidRDefault="00BB5904" w:rsidP="00BB5904">
      <w:pPr>
        <w:keepLines w:val="0"/>
      </w:pPr>
      <w:r>
        <w:t>In its credit opinion released on 26 November 2018, Moody’s noted that the ‘State Government expects total net debt to GSP to increase to approximately 12 per cent over the medium term, a level that we consider to be manageable within Victoria’s current triple-A rating and stable outlook’.</w:t>
      </w:r>
    </w:p>
    <w:p w:rsidR="00BB5904" w:rsidRPr="006133F3" w:rsidRDefault="00BB5904" w:rsidP="00BB5904">
      <w:pPr>
        <w:keepLines w:val="0"/>
      </w:pPr>
      <w:r w:rsidRPr="006133F3">
        <w:br w:type="page"/>
      </w:r>
    </w:p>
    <w:p w:rsidR="00BB5904" w:rsidRDefault="00BB5904" w:rsidP="00BB5904">
      <w:r w:rsidRPr="006133F3">
        <w:lastRenderedPageBreak/>
        <w:t xml:space="preserve">The </w:t>
      </w:r>
      <w:r w:rsidRPr="006133F3">
        <w:rPr>
          <w:i/>
        </w:rPr>
        <w:t xml:space="preserve">2018-19 Budget </w:t>
      </w:r>
      <w:r w:rsidRPr="006133F3">
        <w:t>reflected the Government’s commitment to its long</w:t>
      </w:r>
      <w:r w:rsidRPr="006133F3">
        <w:noBreakHyphen/>
        <w:t>term financial management</w:t>
      </w:r>
      <w:r>
        <w:t xml:space="preserve"> objectives set out in Table 1.</w:t>
      </w:r>
      <w:r w:rsidR="00EB3AE5">
        <w:t>2</w:t>
      </w:r>
      <w:r w:rsidRPr="006133F3">
        <w:t>.</w:t>
      </w:r>
    </w:p>
    <w:p w:rsidR="00BB5904" w:rsidRPr="006133F3" w:rsidRDefault="00BB5904" w:rsidP="00BB5904">
      <w:pPr>
        <w:keepNext/>
        <w:tabs>
          <w:tab w:val="left" w:pos="1134"/>
          <w:tab w:val="right" w:pos="9639"/>
          <w:tab w:val="right" w:pos="14742"/>
        </w:tabs>
        <w:spacing w:before="240" w:after="60"/>
        <w:ind w:left="1134" w:hanging="1134"/>
        <w:rPr>
          <w:rFonts w:asciiTheme="majorHAnsi" w:hAnsiTheme="majorHAnsi" w:cstheme="majorHAnsi"/>
          <w:b/>
          <w:sz w:val="20"/>
          <w:szCs w:val="20"/>
        </w:rPr>
      </w:pPr>
      <w:r>
        <w:rPr>
          <w:rFonts w:asciiTheme="majorHAnsi" w:hAnsiTheme="majorHAnsi" w:cstheme="majorHAnsi"/>
          <w:b/>
          <w:sz w:val="20"/>
          <w:szCs w:val="20"/>
        </w:rPr>
        <w:t>Table 1.</w:t>
      </w:r>
      <w:r w:rsidR="00EB3AE5">
        <w:rPr>
          <w:rFonts w:asciiTheme="majorHAnsi" w:hAnsiTheme="majorHAnsi" w:cstheme="majorHAnsi"/>
          <w:b/>
          <w:sz w:val="20"/>
          <w:szCs w:val="20"/>
        </w:rPr>
        <w:t>2</w:t>
      </w:r>
      <w:r w:rsidRPr="006133F3">
        <w:rPr>
          <w:rFonts w:asciiTheme="majorHAnsi" w:hAnsiTheme="majorHAnsi" w:cstheme="majorHAnsi"/>
          <w:b/>
          <w:sz w:val="20"/>
          <w:szCs w:val="20"/>
        </w:rPr>
        <w:t xml:space="preserve">: </w:t>
      </w:r>
      <w:r w:rsidRPr="006133F3">
        <w:rPr>
          <w:rFonts w:asciiTheme="majorHAnsi" w:hAnsiTheme="majorHAnsi" w:cstheme="majorHAnsi"/>
          <w:b/>
          <w:sz w:val="20"/>
          <w:szCs w:val="20"/>
        </w:rPr>
        <w:tab/>
        <w:t>Long</w:t>
      </w:r>
      <w:r w:rsidRPr="006133F3">
        <w:rPr>
          <w:rFonts w:asciiTheme="majorHAnsi" w:hAnsiTheme="majorHAnsi" w:cstheme="majorHAnsi"/>
          <w:b/>
          <w:sz w:val="20"/>
          <w:szCs w:val="20"/>
        </w:rPr>
        <w:noBreakHyphen/>
        <w:t>term financial management objectives</w:t>
      </w:r>
    </w:p>
    <w:tbl>
      <w:tblPr>
        <w:tblStyle w:val="DTFTextTable1"/>
        <w:tblW w:w="7767" w:type="dxa"/>
        <w:tblLayout w:type="fixed"/>
        <w:tblLook w:val="0620" w:firstRow="1" w:lastRow="0" w:firstColumn="0" w:lastColumn="0" w:noHBand="1" w:noVBand="1"/>
      </w:tblPr>
      <w:tblGrid>
        <w:gridCol w:w="2340"/>
        <w:gridCol w:w="5427"/>
      </w:tblGrid>
      <w:tr w:rsidR="00BB5904" w:rsidRPr="006133F3" w:rsidTr="00D73159">
        <w:trPr>
          <w:cnfStyle w:val="100000000000" w:firstRow="1" w:lastRow="0" w:firstColumn="0" w:lastColumn="0" w:oddVBand="0" w:evenVBand="0" w:oddHBand="0" w:evenHBand="0" w:firstRowFirstColumn="0" w:firstRowLastColumn="0" w:lastRowFirstColumn="0" w:lastRowLastColumn="0"/>
        </w:trPr>
        <w:tc>
          <w:tcPr>
            <w:tcW w:w="2340" w:type="dxa"/>
          </w:tcPr>
          <w:p w:rsidR="00BB5904" w:rsidRPr="006133F3" w:rsidRDefault="00BB5904" w:rsidP="00D73159">
            <w:pPr>
              <w:keepLines w:val="0"/>
              <w:autoSpaceDE w:val="0"/>
              <w:autoSpaceDN w:val="0"/>
              <w:adjustRightInd w:val="0"/>
              <w:spacing w:before="120" w:after="0" w:line="240" w:lineRule="auto"/>
              <w:rPr>
                <w:rFonts w:eastAsiaTheme="minorEastAsia" w:cstheme="majorHAnsi"/>
                <w:i w:val="0"/>
                <w:iCs/>
                <w:color w:val="FFFFFF"/>
                <w:szCs w:val="20"/>
                <w:lang w:eastAsia="en-AU"/>
              </w:rPr>
            </w:pPr>
            <w:r w:rsidRPr="006133F3">
              <w:rPr>
                <w:rFonts w:eastAsiaTheme="minorEastAsia" w:cstheme="majorHAnsi"/>
                <w:i w:val="0"/>
                <w:iCs/>
                <w:color w:val="FFFFFF"/>
                <w:szCs w:val="20"/>
                <w:lang w:eastAsia="en-AU"/>
              </w:rPr>
              <w:t>Priority</w:t>
            </w:r>
          </w:p>
        </w:tc>
        <w:tc>
          <w:tcPr>
            <w:tcW w:w="5427" w:type="dxa"/>
          </w:tcPr>
          <w:p w:rsidR="00BB5904" w:rsidRPr="006133F3" w:rsidRDefault="00BB5904" w:rsidP="00D73159">
            <w:pPr>
              <w:keepLines w:val="0"/>
              <w:autoSpaceDE w:val="0"/>
              <w:autoSpaceDN w:val="0"/>
              <w:adjustRightInd w:val="0"/>
              <w:spacing w:before="120" w:after="0" w:line="240" w:lineRule="auto"/>
              <w:rPr>
                <w:rFonts w:eastAsiaTheme="minorEastAsia" w:cstheme="majorHAnsi"/>
                <w:i w:val="0"/>
                <w:iCs/>
                <w:color w:val="FFFFFF"/>
                <w:szCs w:val="20"/>
                <w:lang w:eastAsia="en-AU"/>
              </w:rPr>
            </w:pPr>
            <w:r w:rsidRPr="006133F3">
              <w:rPr>
                <w:rFonts w:eastAsiaTheme="minorEastAsia" w:cstheme="majorHAnsi"/>
                <w:i w:val="0"/>
                <w:iCs/>
                <w:color w:val="FFFFFF"/>
                <w:szCs w:val="20"/>
                <w:lang w:eastAsia="en-AU"/>
              </w:rPr>
              <w:t>Objective</w:t>
            </w:r>
          </w:p>
        </w:tc>
      </w:tr>
      <w:tr w:rsidR="00BB5904" w:rsidRPr="006133F3" w:rsidTr="00D73159">
        <w:tc>
          <w:tcPr>
            <w:tcW w:w="2340" w:type="dxa"/>
          </w:tcPr>
          <w:p w:rsidR="00BB5904" w:rsidRPr="006133F3" w:rsidRDefault="00BB5904" w:rsidP="00D73159">
            <w:pPr>
              <w:keepLines w:val="0"/>
              <w:autoSpaceDE w:val="0"/>
              <w:autoSpaceDN w:val="0"/>
              <w:adjustRightInd w:val="0"/>
              <w:spacing w:before="120" w:after="0" w:line="240" w:lineRule="auto"/>
              <w:rPr>
                <w:rFonts w:eastAsiaTheme="minorEastAsia" w:cstheme="majorHAnsi"/>
                <w:color w:val="000000"/>
                <w:szCs w:val="20"/>
                <w:lang w:eastAsia="en-AU"/>
              </w:rPr>
            </w:pPr>
            <w:r w:rsidRPr="006133F3">
              <w:rPr>
                <w:rFonts w:eastAsiaTheme="minorEastAsia" w:cstheme="majorHAnsi"/>
                <w:color w:val="000000"/>
                <w:szCs w:val="20"/>
                <w:lang w:eastAsia="en-AU"/>
              </w:rPr>
              <w:t>Sound financial management</w:t>
            </w:r>
          </w:p>
        </w:tc>
        <w:tc>
          <w:tcPr>
            <w:tcW w:w="5427" w:type="dxa"/>
          </w:tcPr>
          <w:p w:rsidR="00BB5904" w:rsidRPr="006133F3" w:rsidRDefault="00BB5904" w:rsidP="00D73159">
            <w:pPr>
              <w:keepLines w:val="0"/>
              <w:autoSpaceDE w:val="0"/>
              <w:autoSpaceDN w:val="0"/>
              <w:adjustRightInd w:val="0"/>
              <w:spacing w:before="120" w:after="0" w:line="240" w:lineRule="auto"/>
              <w:rPr>
                <w:rFonts w:eastAsiaTheme="minorEastAsia" w:cstheme="majorHAnsi"/>
                <w:color w:val="000000"/>
                <w:szCs w:val="20"/>
                <w:lang w:eastAsia="en-AU"/>
              </w:rPr>
            </w:pPr>
            <w:r w:rsidRPr="006133F3">
              <w:rPr>
                <w:rFonts w:eastAsiaTheme="minorEastAsia" w:cstheme="majorHAnsi"/>
                <w:color w:val="000000"/>
                <w:szCs w:val="20"/>
                <w:lang w:eastAsia="en-AU"/>
              </w:rPr>
              <w:t>Victoria’s finances will be managed in a responsible manner to provide capacity to fund services and infrastructure at levels consistent with maintaining a triple</w:t>
            </w:r>
            <w:r w:rsidRPr="006133F3">
              <w:rPr>
                <w:rFonts w:eastAsiaTheme="minorEastAsia" w:cstheme="majorHAnsi"/>
                <w:color w:val="000000"/>
                <w:szCs w:val="20"/>
                <w:lang w:eastAsia="en-AU"/>
              </w:rPr>
              <w:noBreakHyphen/>
              <w:t>A credit rating.</w:t>
            </w:r>
          </w:p>
        </w:tc>
      </w:tr>
      <w:tr w:rsidR="00BB5904" w:rsidRPr="006133F3" w:rsidTr="00D73159">
        <w:tc>
          <w:tcPr>
            <w:tcW w:w="2340" w:type="dxa"/>
          </w:tcPr>
          <w:p w:rsidR="00BB5904" w:rsidRPr="006133F3" w:rsidRDefault="00BB5904" w:rsidP="00D73159">
            <w:pPr>
              <w:keepLines w:val="0"/>
              <w:autoSpaceDE w:val="0"/>
              <w:autoSpaceDN w:val="0"/>
              <w:adjustRightInd w:val="0"/>
              <w:spacing w:before="120" w:after="0" w:line="240" w:lineRule="auto"/>
              <w:rPr>
                <w:rFonts w:eastAsiaTheme="minorEastAsia" w:cstheme="majorHAnsi"/>
                <w:color w:val="000000"/>
                <w:szCs w:val="20"/>
                <w:lang w:eastAsia="en-AU"/>
              </w:rPr>
            </w:pPr>
            <w:r w:rsidRPr="006133F3">
              <w:rPr>
                <w:rFonts w:eastAsiaTheme="minorEastAsia" w:cstheme="majorHAnsi"/>
                <w:color w:val="000000"/>
                <w:szCs w:val="20"/>
                <w:lang w:eastAsia="en-AU"/>
              </w:rPr>
              <w:t>Improved services</w:t>
            </w:r>
          </w:p>
        </w:tc>
        <w:tc>
          <w:tcPr>
            <w:tcW w:w="5427" w:type="dxa"/>
          </w:tcPr>
          <w:p w:rsidR="00BB5904" w:rsidRPr="006133F3" w:rsidRDefault="00BB5904" w:rsidP="00D73159">
            <w:pPr>
              <w:keepLines w:val="0"/>
              <w:autoSpaceDE w:val="0"/>
              <w:autoSpaceDN w:val="0"/>
              <w:adjustRightInd w:val="0"/>
              <w:spacing w:before="120" w:after="0" w:line="240" w:lineRule="auto"/>
              <w:rPr>
                <w:rFonts w:eastAsiaTheme="minorEastAsia" w:cstheme="majorHAnsi"/>
                <w:color w:val="000000"/>
                <w:szCs w:val="20"/>
                <w:lang w:eastAsia="en-AU"/>
              </w:rPr>
            </w:pPr>
            <w:r w:rsidRPr="006133F3">
              <w:rPr>
                <w:rFonts w:eastAsiaTheme="minorEastAsia" w:cstheme="majorHAnsi"/>
                <w:color w:val="000000"/>
                <w:szCs w:val="20"/>
                <w:lang w:eastAsia="en-AU"/>
              </w:rPr>
              <w:t>Public services will improve over time.</w:t>
            </w:r>
          </w:p>
        </w:tc>
      </w:tr>
      <w:tr w:rsidR="00BB5904" w:rsidRPr="006133F3" w:rsidTr="00D73159">
        <w:tc>
          <w:tcPr>
            <w:tcW w:w="2340" w:type="dxa"/>
          </w:tcPr>
          <w:p w:rsidR="00BB5904" w:rsidRPr="006133F3" w:rsidRDefault="00BB5904" w:rsidP="00D73159">
            <w:pPr>
              <w:keepLines w:val="0"/>
              <w:autoSpaceDE w:val="0"/>
              <w:autoSpaceDN w:val="0"/>
              <w:adjustRightInd w:val="0"/>
              <w:spacing w:before="120" w:after="0" w:line="240" w:lineRule="auto"/>
              <w:rPr>
                <w:rFonts w:eastAsiaTheme="minorEastAsia" w:cstheme="majorHAnsi"/>
                <w:color w:val="000000"/>
                <w:szCs w:val="20"/>
                <w:lang w:eastAsia="en-AU"/>
              </w:rPr>
            </w:pPr>
            <w:r w:rsidRPr="006133F3">
              <w:rPr>
                <w:rFonts w:eastAsiaTheme="minorEastAsia" w:cstheme="majorHAnsi"/>
                <w:color w:val="000000"/>
                <w:szCs w:val="20"/>
                <w:lang w:eastAsia="en-AU"/>
              </w:rPr>
              <w:t>Building infrastructure</w:t>
            </w:r>
          </w:p>
        </w:tc>
        <w:tc>
          <w:tcPr>
            <w:tcW w:w="5427" w:type="dxa"/>
          </w:tcPr>
          <w:p w:rsidR="00BB5904" w:rsidRPr="006133F3" w:rsidRDefault="00BB5904" w:rsidP="00D73159">
            <w:pPr>
              <w:keepLines w:val="0"/>
              <w:autoSpaceDE w:val="0"/>
              <w:autoSpaceDN w:val="0"/>
              <w:adjustRightInd w:val="0"/>
              <w:spacing w:before="120" w:after="0" w:line="240" w:lineRule="auto"/>
              <w:rPr>
                <w:rFonts w:eastAsiaTheme="minorEastAsia" w:cstheme="majorHAnsi"/>
                <w:color w:val="000000"/>
                <w:szCs w:val="20"/>
                <w:lang w:eastAsia="en-AU"/>
              </w:rPr>
            </w:pPr>
            <w:r w:rsidRPr="006133F3">
              <w:rPr>
                <w:rFonts w:eastAsiaTheme="minorEastAsia" w:cstheme="majorHAnsi"/>
                <w:color w:val="000000"/>
                <w:szCs w:val="20"/>
                <w:lang w:eastAsia="en-AU"/>
              </w:rPr>
              <w:t>Public infrastructure will grow steadily over time to meet the needs of a growing population.</w:t>
            </w:r>
          </w:p>
        </w:tc>
      </w:tr>
      <w:tr w:rsidR="00BB5904" w:rsidRPr="006133F3" w:rsidTr="00D73159">
        <w:tc>
          <w:tcPr>
            <w:tcW w:w="2340" w:type="dxa"/>
          </w:tcPr>
          <w:p w:rsidR="00BB5904" w:rsidRPr="00603CAD" w:rsidRDefault="00BB5904" w:rsidP="00D73159">
            <w:pPr>
              <w:keepLines w:val="0"/>
              <w:autoSpaceDE w:val="0"/>
              <w:autoSpaceDN w:val="0"/>
              <w:adjustRightInd w:val="0"/>
              <w:spacing w:before="120" w:after="0" w:line="240" w:lineRule="auto"/>
              <w:rPr>
                <w:rFonts w:eastAsiaTheme="minorEastAsia" w:cstheme="majorHAnsi"/>
                <w:color w:val="000000"/>
                <w:szCs w:val="20"/>
                <w:lang w:eastAsia="en-AU"/>
              </w:rPr>
            </w:pPr>
            <w:r w:rsidRPr="00603CAD">
              <w:rPr>
                <w:rFonts w:eastAsiaTheme="minorEastAsia" w:cstheme="majorHAnsi"/>
                <w:color w:val="000000"/>
                <w:szCs w:val="20"/>
                <w:lang w:eastAsia="en-AU"/>
              </w:rPr>
              <w:t>Efficient use of public resources</w:t>
            </w:r>
          </w:p>
        </w:tc>
        <w:tc>
          <w:tcPr>
            <w:tcW w:w="5427" w:type="dxa"/>
          </w:tcPr>
          <w:p w:rsidR="00BB5904" w:rsidRPr="00603CAD" w:rsidRDefault="00BB5904" w:rsidP="00D73159">
            <w:pPr>
              <w:keepLines w:val="0"/>
              <w:autoSpaceDE w:val="0"/>
              <w:autoSpaceDN w:val="0"/>
              <w:adjustRightInd w:val="0"/>
              <w:spacing w:before="120" w:after="0" w:line="240" w:lineRule="auto"/>
              <w:rPr>
                <w:rFonts w:eastAsiaTheme="minorEastAsia" w:cstheme="majorHAnsi"/>
                <w:color w:val="000000"/>
                <w:szCs w:val="20"/>
                <w:lang w:eastAsia="en-AU"/>
              </w:rPr>
            </w:pPr>
            <w:r w:rsidRPr="00603CAD">
              <w:rPr>
                <w:rFonts w:eastAsiaTheme="minorEastAsia" w:cstheme="majorHAnsi"/>
                <w:color w:val="000000"/>
                <w:szCs w:val="20"/>
                <w:lang w:eastAsia="en-AU"/>
              </w:rPr>
              <w:t>Public sector resources will be invested in services and infrastructure to maximise the economic, social and environmental benefits.</w:t>
            </w:r>
          </w:p>
        </w:tc>
      </w:tr>
    </w:tbl>
    <w:p w:rsidR="00BB5904" w:rsidRDefault="00BB5904" w:rsidP="00BB5904"/>
    <w:p w:rsidR="00BB5904" w:rsidRDefault="00BB5904" w:rsidP="00BB5904">
      <w:r w:rsidRPr="006133F3">
        <w:t>Progress towards these objectives is measured against th</w:t>
      </w:r>
      <w:r w:rsidR="00EB3AE5">
        <w:t>e targets described in Table 1.3</w:t>
      </w:r>
      <w:r w:rsidRPr="006133F3">
        <w:t>.</w:t>
      </w:r>
    </w:p>
    <w:p w:rsidR="00BB5904" w:rsidRPr="00303015" w:rsidRDefault="00BB5904" w:rsidP="00BB5904">
      <w:pPr>
        <w:keepNext/>
        <w:tabs>
          <w:tab w:val="left" w:pos="1134"/>
          <w:tab w:val="right" w:pos="9639"/>
          <w:tab w:val="right" w:pos="14742"/>
        </w:tabs>
        <w:spacing w:before="240" w:after="60"/>
        <w:ind w:left="1134" w:hanging="1134"/>
        <w:rPr>
          <w:rFonts w:asciiTheme="majorHAnsi" w:hAnsiTheme="majorHAnsi" w:cstheme="majorHAnsi"/>
          <w:b/>
          <w:sz w:val="20"/>
          <w:szCs w:val="20"/>
        </w:rPr>
      </w:pPr>
      <w:r>
        <w:rPr>
          <w:rFonts w:asciiTheme="majorHAnsi" w:hAnsiTheme="majorHAnsi" w:cstheme="majorHAnsi"/>
          <w:b/>
          <w:sz w:val="20"/>
          <w:szCs w:val="20"/>
        </w:rPr>
        <w:t>Table 1.</w:t>
      </w:r>
      <w:r w:rsidR="00EB3AE5">
        <w:rPr>
          <w:rFonts w:asciiTheme="majorHAnsi" w:hAnsiTheme="majorHAnsi" w:cstheme="majorHAnsi"/>
          <w:b/>
          <w:sz w:val="20"/>
          <w:szCs w:val="20"/>
        </w:rPr>
        <w:t>3</w:t>
      </w:r>
      <w:r w:rsidRPr="006133F3">
        <w:rPr>
          <w:rFonts w:asciiTheme="majorHAnsi" w:hAnsiTheme="majorHAnsi" w:cstheme="majorHAnsi"/>
          <w:b/>
          <w:sz w:val="20"/>
          <w:szCs w:val="20"/>
        </w:rPr>
        <w:t xml:space="preserve">: </w:t>
      </w:r>
      <w:r w:rsidRPr="006133F3">
        <w:rPr>
          <w:rFonts w:asciiTheme="majorHAnsi" w:hAnsiTheme="majorHAnsi" w:cstheme="majorHAnsi"/>
          <w:b/>
          <w:sz w:val="20"/>
          <w:szCs w:val="20"/>
        </w:rPr>
        <w:tab/>
        <w:t xml:space="preserve">Medium-term financial measures and targets </w:t>
      </w:r>
    </w:p>
    <w:tbl>
      <w:tblPr>
        <w:tblStyle w:val="DTFTextTable1"/>
        <w:tblW w:w="7767" w:type="dxa"/>
        <w:tblLayout w:type="fixed"/>
        <w:tblLook w:val="0620" w:firstRow="1" w:lastRow="0" w:firstColumn="0" w:lastColumn="0" w:noHBand="1" w:noVBand="1"/>
      </w:tblPr>
      <w:tblGrid>
        <w:gridCol w:w="2341"/>
        <w:gridCol w:w="5426"/>
      </w:tblGrid>
      <w:tr w:rsidR="00BB5904" w:rsidRPr="00303015" w:rsidTr="00D73159">
        <w:trPr>
          <w:cnfStyle w:val="100000000000" w:firstRow="1" w:lastRow="0" w:firstColumn="0" w:lastColumn="0" w:oddVBand="0" w:evenVBand="0" w:oddHBand="0" w:evenHBand="0" w:firstRowFirstColumn="0" w:firstRowLastColumn="0" w:lastRowFirstColumn="0" w:lastRowLastColumn="0"/>
          <w:trHeight w:val="341"/>
        </w:trPr>
        <w:tc>
          <w:tcPr>
            <w:tcW w:w="2341" w:type="dxa"/>
          </w:tcPr>
          <w:p w:rsidR="00BB5904" w:rsidRPr="00E96DB2" w:rsidRDefault="00BB5904" w:rsidP="00D73159">
            <w:pPr>
              <w:keepLines w:val="0"/>
              <w:autoSpaceDE w:val="0"/>
              <w:autoSpaceDN w:val="0"/>
              <w:adjustRightInd w:val="0"/>
              <w:spacing w:before="120" w:after="0" w:line="240" w:lineRule="auto"/>
              <w:rPr>
                <w:rFonts w:cstheme="majorHAnsi"/>
                <w:szCs w:val="20"/>
              </w:rPr>
            </w:pPr>
            <w:r w:rsidRPr="00E96DB2">
              <w:rPr>
                <w:rFonts w:eastAsiaTheme="minorEastAsia" w:cstheme="majorHAnsi"/>
                <w:i w:val="0"/>
                <w:iCs/>
                <w:color w:val="FFFFFF"/>
                <w:szCs w:val="20"/>
                <w:lang w:eastAsia="en-AU"/>
              </w:rPr>
              <w:t>Financial measures</w:t>
            </w:r>
          </w:p>
        </w:tc>
        <w:tc>
          <w:tcPr>
            <w:tcW w:w="5426" w:type="dxa"/>
          </w:tcPr>
          <w:p w:rsidR="00BB5904" w:rsidRPr="00E96DB2" w:rsidRDefault="00BB5904" w:rsidP="00D73159">
            <w:pPr>
              <w:spacing w:before="120" w:after="0" w:line="240" w:lineRule="auto"/>
              <w:rPr>
                <w:rFonts w:cstheme="majorHAnsi"/>
                <w:szCs w:val="20"/>
              </w:rPr>
            </w:pPr>
            <w:r w:rsidRPr="00E96DB2">
              <w:rPr>
                <w:rFonts w:cstheme="majorHAnsi"/>
                <w:i w:val="0"/>
                <w:szCs w:val="20"/>
              </w:rPr>
              <w:t>Target</w:t>
            </w:r>
          </w:p>
        </w:tc>
      </w:tr>
      <w:tr w:rsidR="00BB5904" w:rsidRPr="006133F3" w:rsidTr="00D73159">
        <w:tc>
          <w:tcPr>
            <w:tcW w:w="2341" w:type="dxa"/>
          </w:tcPr>
          <w:p w:rsidR="00BB5904" w:rsidRPr="006133F3" w:rsidRDefault="00BB5904" w:rsidP="00D73159">
            <w:pPr>
              <w:keepLines w:val="0"/>
              <w:autoSpaceDE w:val="0"/>
              <w:autoSpaceDN w:val="0"/>
              <w:adjustRightInd w:val="0"/>
              <w:spacing w:before="120" w:after="0" w:line="240" w:lineRule="auto"/>
              <w:rPr>
                <w:rFonts w:eastAsiaTheme="minorEastAsia" w:cstheme="majorHAnsi"/>
                <w:color w:val="000000"/>
                <w:szCs w:val="20"/>
                <w:lang w:eastAsia="en-AU"/>
              </w:rPr>
            </w:pPr>
            <w:r w:rsidRPr="006133F3">
              <w:rPr>
                <w:rFonts w:eastAsiaTheme="minorEastAsia" w:cstheme="majorHAnsi"/>
                <w:color w:val="000000"/>
                <w:szCs w:val="20"/>
                <w:lang w:eastAsia="en-AU"/>
              </w:rPr>
              <w:t>Net debt</w:t>
            </w:r>
          </w:p>
        </w:tc>
        <w:tc>
          <w:tcPr>
            <w:tcW w:w="5426" w:type="dxa"/>
          </w:tcPr>
          <w:p w:rsidR="00BB5904" w:rsidRPr="006133F3" w:rsidRDefault="00BB5904" w:rsidP="00D73159">
            <w:pPr>
              <w:keepLines w:val="0"/>
              <w:autoSpaceDE w:val="0"/>
              <w:autoSpaceDN w:val="0"/>
              <w:adjustRightInd w:val="0"/>
              <w:spacing w:before="120" w:after="0" w:line="240" w:lineRule="auto"/>
              <w:rPr>
                <w:rFonts w:eastAsiaTheme="minorEastAsia" w:cstheme="majorHAnsi"/>
                <w:color w:val="000000"/>
                <w:szCs w:val="20"/>
                <w:lang w:eastAsia="en-AU"/>
              </w:rPr>
            </w:pPr>
            <w:r w:rsidRPr="006133F3">
              <w:rPr>
                <w:rFonts w:eastAsiaTheme="minorEastAsia" w:cstheme="majorHAnsi"/>
                <w:color w:val="000000"/>
                <w:szCs w:val="20"/>
                <w:lang w:eastAsia="en-AU"/>
              </w:rPr>
              <w:t>General government net debt as a percentage of GSP to be maintained at a sustainable level over the medium term.</w:t>
            </w:r>
          </w:p>
        </w:tc>
      </w:tr>
      <w:tr w:rsidR="00BB5904" w:rsidRPr="006133F3" w:rsidTr="00D73159">
        <w:tc>
          <w:tcPr>
            <w:tcW w:w="2341" w:type="dxa"/>
          </w:tcPr>
          <w:p w:rsidR="00BB5904" w:rsidRPr="006133F3" w:rsidRDefault="00BB5904" w:rsidP="00D73159">
            <w:pPr>
              <w:keepLines w:val="0"/>
              <w:autoSpaceDE w:val="0"/>
              <w:autoSpaceDN w:val="0"/>
              <w:adjustRightInd w:val="0"/>
              <w:spacing w:before="120" w:after="0" w:line="240" w:lineRule="auto"/>
              <w:rPr>
                <w:rFonts w:eastAsiaTheme="minorEastAsia" w:cstheme="majorHAnsi"/>
                <w:color w:val="000000"/>
                <w:szCs w:val="20"/>
                <w:lang w:eastAsia="en-AU"/>
              </w:rPr>
            </w:pPr>
            <w:r w:rsidRPr="006133F3">
              <w:rPr>
                <w:rFonts w:eastAsiaTheme="minorEastAsia" w:cstheme="majorHAnsi"/>
                <w:color w:val="000000"/>
                <w:szCs w:val="20"/>
                <w:lang w:eastAsia="en-AU"/>
              </w:rPr>
              <w:t xml:space="preserve">Superannuation liabilities </w:t>
            </w:r>
          </w:p>
        </w:tc>
        <w:tc>
          <w:tcPr>
            <w:tcW w:w="5426" w:type="dxa"/>
          </w:tcPr>
          <w:p w:rsidR="00BB5904" w:rsidRPr="006133F3" w:rsidRDefault="00BB5904" w:rsidP="00D73159">
            <w:pPr>
              <w:keepLines w:val="0"/>
              <w:autoSpaceDE w:val="0"/>
              <w:autoSpaceDN w:val="0"/>
              <w:adjustRightInd w:val="0"/>
              <w:spacing w:before="120" w:after="0" w:line="240" w:lineRule="auto"/>
              <w:rPr>
                <w:rFonts w:eastAsiaTheme="minorEastAsia" w:cstheme="majorHAnsi"/>
                <w:color w:val="000000"/>
                <w:szCs w:val="20"/>
                <w:lang w:eastAsia="en-AU"/>
              </w:rPr>
            </w:pPr>
            <w:r w:rsidRPr="006133F3">
              <w:rPr>
                <w:rFonts w:eastAsiaTheme="minorEastAsia" w:cstheme="majorHAnsi"/>
                <w:color w:val="000000"/>
                <w:szCs w:val="20"/>
                <w:lang w:eastAsia="en-AU"/>
              </w:rPr>
              <w:t>Fully fund the unfunded superannuation liability by 2035.</w:t>
            </w:r>
          </w:p>
        </w:tc>
      </w:tr>
      <w:tr w:rsidR="00BB5904" w:rsidRPr="006133F3" w:rsidTr="00D73159">
        <w:tc>
          <w:tcPr>
            <w:tcW w:w="2341" w:type="dxa"/>
          </w:tcPr>
          <w:p w:rsidR="00BB5904" w:rsidRPr="006133F3" w:rsidRDefault="00BB5904" w:rsidP="00D73159">
            <w:pPr>
              <w:keepLines w:val="0"/>
              <w:autoSpaceDE w:val="0"/>
              <w:autoSpaceDN w:val="0"/>
              <w:adjustRightInd w:val="0"/>
              <w:spacing w:before="120" w:after="0" w:line="240" w:lineRule="auto"/>
              <w:rPr>
                <w:rFonts w:eastAsiaTheme="minorEastAsia" w:cstheme="majorHAnsi"/>
                <w:color w:val="000000"/>
                <w:szCs w:val="20"/>
                <w:lang w:eastAsia="en-AU"/>
              </w:rPr>
            </w:pPr>
            <w:r w:rsidRPr="006133F3">
              <w:rPr>
                <w:rFonts w:eastAsiaTheme="minorEastAsia" w:cstheme="majorHAnsi"/>
                <w:color w:val="000000"/>
                <w:szCs w:val="20"/>
                <w:lang w:eastAsia="en-AU"/>
              </w:rPr>
              <w:t>Operating surplus</w:t>
            </w:r>
          </w:p>
        </w:tc>
        <w:tc>
          <w:tcPr>
            <w:tcW w:w="5426" w:type="dxa"/>
          </w:tcPr>
          <w:p w:rsidR="00BB5904" w:rsidRPr="006133F3" w:rsidRDefault="00BB5904" w:rsidP="00D73159">
            <w:pPr>
              <w:keepLines w:val="0"/>
              <w:autoSpaceDE w:val="0"/>
              <w:autoSpaceDN w:val="0"/>
              <w:adjustRightInd w:val="0"/>
              <w:spacing w:before="120" w:after="0" w:line="240" w:lineRule="auto"/>
              <w:rPr>
                <w:rFonts w:eastAsiaTheme="minorEastAsia" w:cstheme="majorHAnsi"/>
                <w:color w:val="000000"/>
                <w:szCs w:val="20"/>
                <w:lang w:eastAsia="en-AU"/>
              </w:rPr>
            </w:pPr>
            <w:r w:rsidRPr="006133F3">
              <w:rPr>
                <w:rFonts w:eastAsiaTheme="minorEastAsia" w:cstheme="majorHAnsi"/>
                <w:color w:val="000000"/>
                <w:szCs w:val="20"/>
                <w:lang w:eastAsia="en-AU"/>
              </w:rPr>
              <w:t>A net operating surplus consistent with maintaining general government net debt at a sustainable level over the medium term.</w:t>
            </w:r>
          </w:p>
        </w:tc>
      </w:tr>
    </w:tbl>
    <w:p w:rsidR="00BB5904" w:rsidRPr="006133F3" w:rsidRDefault="00BB5904" w:rsidP="00BB5904">
      <w:r w:rsidRPr="006133F3">
        <w:t xml:space="preserve">The healthy financial outcomes </w:t>
      </w:r>
      <w:r>
        <w:t>and projections in this Budget U</w:t>
      </w:r>
      <w:r w:rsidRPr="006133F3">
        <w:t xml:space="preserve">pdate validate the fiscal strategy </w:t>
      </w:r>
      <w:r>
        <w:t xml:space="preserve">successfully </w:t>
      </w:r>
      <w:r w:rsidRPr="006133F3">
        <w:t>implemented by the Government and underpin</w:t>
      </w:r>
      <w:r>
        <w:t>s</w:t>
      </w:r>
      <w:r w:rsidRPr="006133F3">
        <w:t xml:space="preserve"> Victoria’s triple</w:t>
      </w:r>
      <w:r w:rsidRPr="006133F3">
        <w:noBreakHyphen/>
        <w:t xml:space="preserve">A credit rating. </w:t>
      </w:r>
    </w:p>
    <w:p w:rsidR="00BB5904" w:rsidRDefault="00BB5904" w:rsidP="00BB5904">
      <w:r w:rsidRPr="006133F3">
        <w:t>The Government’s responsible financial management and its prudent use of public resources has created the capacity to keep improving public services, reduce costs to business, and continue a record infrastructure program that will boost productivity, increase export capacity and create jobs.</w:t>
      </w:r>
    </w:p>
    <w:p w:rsidR="00BB5904" w:rsidRPr="006133F3" w:rsidRDefault="00BB5904" w:rsidP="00BB5904">
      <w:r>
        <w:t xml:space="preserve">The Government will review and publish its financial objectives and measures, consistent with requirements under the </w:t>
      </w:r>
      <w:r w:rsidRPr="00743B4A">
        <w:rPr>
          <w:i/>
        </w:rPr>
        <w:t>Financial Management Act 1994</w:t>
      </w:r>
      <w:r>
        <w:t xml:space="preserve">, as part of the </w:t>
      </w:r>
      <w:r w:rsidRPr="00B972AB">
        <w:rPr>
          <w:i/>
        </w:rPr>
        <w:t>2019-20 Budget</w:t>
      </w:r>
      <w:r>
        <w:t>.</w:t>
      </w:r>
    </w:p>
    <w:p w:rsidR="00BB5904" w:rsidRPr="006133F3" w:rsidRDefault="00BB5904" w:rsidP="00BB5904">
      <w:pPr>
        <w:keepNext/>
        <w:numPr>
          <w:ilvl w:val="1"/>
          <w:numId w:val="0"/>
        </w:numPr>
        <w:tabs>
          <w:tab w:val="right" w:pos="9582"/>
        </w:tabs>
        <w:spacing w:before="240"/>
        <w:outlineLvl w:val="1"/>
        <w:rPr>
          <w:rFonts w:asciiTheme="majorHAnsi" w:eastAsiaTheme="majorEastAsia" w:hAnsiTheme="majorHAnsi" w:cstheme="majorBidi"/>
          <w:b/>
          <w:spacing w:val="-2"/>
          <w:sz w:val="26"/>
          <w:szCs w:val="26"/>
        </w:rPr>
      </w:pPr>
      <w:r w:rsidRPr="006133F3">
        <w:rPr>
          <w:rFonts w:asciiTheme="majorHAnsi" w:eastAsiaTheme="majorEastAsia" w:hAnsiTheme="majorHAnsi" w:cstheme="majorBidi"/>
          <w:b/>
          <w:spacing w:val="-2"/>
          <w:sz w:val="26"/>
          <w:szCs w:val="26"/>
        </w:rPr>
        <w:t xml:space="preserve">Key new initiatives since the </w:t>
      </w:r>
      <w:r w:rsidRPr="006133F3">
        <w:rPr>
          <w:rFonts w:asciiTheme="majorHAnsi" w:eastAsiaTheme="majorEastAsia" w:hAnsiTheme="majorHAnsi" w:cstheme="majorBidi"/>
          <w:b/>
          <w:i/>
          <w:spacing w:val="-2"/>
          <w:sz w:val="26"/>
          <w:szCs w:val="26"/>
        </w:rPr>
        <w:t>2018-19 Budget</w:t>
      </w:r>
    </w:p>
    <w:p w:rsidR="00BB5904" w:rsidRDefault="00BB5904" w:rsidP="00BB5904">
      <w:r>
        <w:t xml:space="preserve">Appendix A of the </w:t>
      </w:r>
      <w:r w:rsidRPr="007852EB">
        <w:rPr>
          <w:i/>
        </w:rPr>
        <w:t>2018 Pre-Election Budget Update</w:t>
      </w:r>
      <w:r>
        <w:t xml:space="preserve"> outlines specific policy initiatives that affect outputs and assets, including Treasurer’s Advances, agreed by the Government since the </w:t>
      </w:r>
      <w:r>
        <w:rPr>
          <w:i/>
        </w:rPr>
        <w:t xml:space="preserve">2018-19 Budget </w:t>
      </w:r>
      <w:r>
        <w:t>and before the issue of the election writs on 30 October 2018.</w:t>
      </w:r>
    </w:p>
    <w:p w:rsidR="00CB1847" w:rsidRDefault="00CB1847">
      <w:pPr>
        <w:keepLines w:val="0"/>
        <w:rPr>
          <w:b/>
        </w:rPr>
      </w:pPr>
      <w:r>
        <w:rPr>
          <w:b/>
        </w:rPr>
        <w:br w:type="page"/>
      </w:r>
    </w:p>
    <w:p w:rsidR="004B6846" w:rsidRDefault="004B6846" w:rsidP="004419CD"/>
    <w:p w:rsidR="004B6846" w:rsidRDefault="004B6846" w:rsidP="004B6846">
      <w:pPr>
        <w:pStyle w:val="Heading10"/>
        <w:sectPr w:rsidR="004B6846" w:rsidSect="00BD5AE7">
          <w:footerReference w:type="even" r:id="rId15"/>
          <w:footerReference w:type="default" r:id="rId16"/>
          <w:footerReference w:type="first" r:id="rId17"/>
          <w:type w:val="oddPage"/>
          <w:pgSz w:w="9979" w:h="14175" w:code="9"/>
          <w:pgMar w:top="851" w:right="1134" w:bottom="851" w:left="1134" w:header="624" w:footer="567" w:gutter="0"/>
          <w:pgNumType w:start="1"/>
          <w:cols w:sep="1" w:space="567"/>
          <w:docGrid w:linePitch="360"/>
        </w:sectPr>
      </w:pPr>
    </w:p>
    <w:p w:rsidR="004B6846" w:rsidRDefault="004B6846" w:rsidP="003C6991">
      <w:pPr>
        <w:pStyle w:val="Chapterheading"/>
      </w:pPr>
      <w:bookmarkStart w:id="6" w:name="_Toc531884943"/>
      <w:r>
        <w:lastRenderedPageBreak/>
        <w:t xml:space="preserve">Chapter 2 – Economic </w:t>
      </w:r>
      <w:r w:rsidR="00A97443">
        <w:t>context</w:t>
      </w:r>
      <w:bookmarkEnd w:id="6"/>
    </w:p>
    <w:p w:rsidR="004B6846" w:rsidRDefault="004B6846" w:rsidP="00B353C6">
      <w:pPr>
        <w:pStyle w:val="HighlightBoxBullet"/>
      </w:pPr>
      <w:r>
        <w:t>Victoria’s economy is expanding at an above-trend pace, and growth in 2017</w:t>
      </w:r>
      <w:r>
        <w:noBreakHyphen/>
        <w:t xml:space="preserve">18 was slightly stronger than forecast in the </w:t>
      </w:r>
      <w:r w:rsidRPr="009C0E1E">
        <w:rPr>
          <w:i/>
        </w:rPr>
        <w:t>2018 Pre-Election Budget Update</w:t>
      </w:r>
      <w:r>
        <w:t xml:space="preserve">. </w:t>
      </w:r>
    </w:p>
    <w:p w:rsidR="004B6846" w:rsidRDefault="004B6846" w:rsidP="00B353C6">
      <w:pPr>
        <w:pStyle w:val="HighlightBoxBullet"/>
      </w:pPr>
      <w:r w:rsidRPr="000757F1">
        <w:t xml:space="preserve">Labour market conditions are positive, with further solid </w:t>
      </w:r>
      <w:r>
        <w:t xml:space="preserve">growth </w:t>
      </w:r>
      <w:r w:rsidRPr="000757F1">
        <w:t xml:space="preserve">in employment </w:t>
      </w:r>
      <w:r>
        <w:t>expected</w:t>
      </w:r>
      <w:r w:rsidRPr="000757F1">
        <w:t xml:space="preserve"> </w:t>
      </w:r>
      <w:r>
        <w:t>in</w:t>
      </w:r>
      <w:r w:rsidRPr="000757F1">
        <w:t xml:space="preserve"> 2018</w:t>
      </w:r>
      <w:r w:rsidRPr="000757F1">
        <w:noBreakHyphen/>
        <w:t xml:space="preserve">19. </w:t>
      </w:r>
    </w:p>
    <w:p w:rsidR="004B6846" w:rsidRDefault="004B6846" w:rsidP="00B353C6">
      <w:pPr>
        <w:pStyle w:val="HighlightBoxBullet"/>
      </w:pPr>
      <w:r>
        <w:t xml:space="preserve">Population growth is forecast to moderate after a prolonged period of strength. </w:t>
      </w:r>
    </w:p>
    <w:p w:rsidR="004B6846" w:rsidRPr="000757F1" w:rsidRDefault="004B6846" w:rsidP="00B353C6">
      <w:pPr>
        <w:pStyle w:val="HighlightBoxBullet"/>
      </w:pPr>
      <w:r>
        <w:t xml:space="preserve">Price pressures remain subdued, and inflation in 2018-19 is now expected to be slightly below the </w:t>
      </w:r>
      <w:r w:rsidRPr="009C0E1E">
        <w:rPr>
          <w:i/>
        </w:rPr>
        <w:t>2018 Pre-Election Budget Update</w:t>
      </w:r>
      <w:r w:rsidRPr="009C0E1E">
        <w:t xml:space="preserve"> estimate</w:t>
      </w:r>
      <w:r>
        <w:rPr>
          <w:i/>
        </w:rPr>
        <w:t xml:space="preserve">. </w:t>
      </w:r>
    </w:p>
    <w:p w:rsidR="004B6846" w:rsidRDefault="004B6846" w:rsidP="00B353C6">
      <w:pPr>
        <w:pStyle w:val="HighlightBoxBullet"/>
      </w:pPr>
      <w:r>
        <w:t>N</w:t>
      </w:r>
      <w:r w:rsidRPr="00DE6DD2">
        <w:t>ational and global economi</w:t>
      </w:r>
      <w:r>
        <w:t>c c</w:t>
      </w:r>
      <w:r w:rsidRPr="00DE6DD2">
        <w:t>onditions are supportive of Victoria’s economic outlook</w:t>
      </w:r>
      <w:r>
        <w:t xml:space="preserve"> as the economic cycle matures. </w:t>
      </w:r>
    </w:p>
    <w:p w:rsidR="004B6846" w:rsidRPr="000A2F03" w:rsidRDefault="004B6846" w:rsidP="00B353C6">
      <w:pPr>
        <w:pStyle w:val="HighlightBoxBullet"/>
      </w:pPr>
      <w:r>
        <w:t>U</w:t>
      </w:r>
      <w:r w:rsidRPr="00DE6DD2">
        <w:t xml:space="preserve">ncertainty surrounding the outlook for </w:t>
      </w:r>
      <w:r>
        <w:t xml:space="preserve">the residential property market and </w:t>
      </w:r>
      <w:r w:rsidRPr="00DE6DD2">
        <w:t>global trade policy is elevated</w:t>
      </w:r>
      <w:r>
        <w:t>, but risks to Victoria’s outlook are balanced.</w:t>
      </w:r>
    </w:p>
    <w:p w:rsidR="004B6846" w:rsidRPr="00A97443" w:rsidRDefault="00A97443" w:rsidP="00A97443">
      <w:pPr>
        <w:pStyle w:val="Heading10"/>
      </w:pPr>
      <w:bookmarkStart w:id="7" w:name="_Toc531884944"/>
      <w:r w:rsidRPr="00A97443">
        <w:t>Victorian economic conditions and outlook</w:t>
      </w:r>
      <w:bookmarkEnd w:id="7"/>
    </w:p>
    <w:p w:rsidR="004B6846" w:rsidRDefault="004B6846" w:rsidP="00F055E2">
      <w:r w:rsidRPr="002B0727">
        <w:t xml:space="preserve">The </w:t>
      </w:r>
      <w:r>
        <w:t xml:space="preserve">economy is evolving broadly as expected at the </w:t>
      </w:r>
      <w:r w:rsidRPr="002B127D">
        <w:rPr>
          <w:i/>
        </w:rPr>
        <w:t>2018 Pre</w:t>
      </w:r>
      <w:r w:rsidRPr="002B127D">
        <w:rPr>
          <w:i/>
        </w:rPr>
        <w:noBreakHyphen/>
        <w:t>Election Budget Update</w:t>
      </w:r>
      <w:r>
        <w:t>, with economic growth to ease gradually from recent above trend rates, to around trend of 2.75 per cent from 2019</w:t>
      </w:r>
      <w:r>
        <w:noBreakHyphen/>
        <w:t>20.</w:t>
      </w:r>
    </w:p>
    <w:p w:rsidR="004B6846" w:rsidRDefault="004B6846" w:rsidP="00F055E2">
      <w:r>
        <w:t>Victoria’s economy has recorded above-trend growth in recent years. Economic output, as measured by real gross state product (GSP), was stronger than expected in 2017</w:t>
      </w:r>
      <w:r>
        <w:noBreakHyphen/>
        <w:t>18, and the growth rate for 2016</w:t>
      </w:r>
      <w:r>
        <w:noBreakHyphen/>
        <w:t xml:space="preserve">17 was revised higher. Economic activity has been supported by an extended period of low interest rates and strong population growth, which has underpinned higher levels of consumer spending and dwelling investment. The contribution to growth from public demand has increased, while business conditions have improved and investment is rising. Exports, particularly in services, have continued to expand, </w:t>
      </w:r>
      <w:r w:rsidRPr="00A676A2">
        <w:t>aided by the weaker Australian dollar.</w:t>
      </w:r>
      <w:r>
        <w:t xml:space="preserve"> </w:t>
      </w:r>
    </w:p>
    <w:p w:rsidR="004B6846" w:rsidRDefault="004B6846" w:rsidP="00F055E2">
      <w:r>
        <w:t xml:space="preserve">Conditions have also improved at the national level, with growth in gross domestic product (GDP) accelerating over the past year. In part, this reflects a further reduction in the drag from mining investment. Domestic demand has firmed, and resource exports are growing strongly, helped by the stronger global economy. Reflecting this, economic conditions in the mining states are improving. </w:t>
      </w:r>
    </w:p>
    <w:p w:rsidR="004B6846" w:rsidRDefault="004B6846" w:rsidP="00F055E2">
      <w:r>
        <w:t xml:space="preserve">The global backdrop remains generally positive, with many advanced economies growing at </w:t>
      </w:r>
      <w:r w:rsidRPr="00636344">
        <w:t>above</w:t>
      </w:r>
      <w:r w:rsidRPr="00636344">
        <w:noBreakHyphen/>
        <w:t>trend rates, supported by</w:t>
      </w:r>
      <w:r>
        <w:t xml:space="preserve"> still </w:t>
      </w:r>
      <w:r w:rsidRPr="00636344">
        <w:t xml:space="preserve">accommodative monetary and/or fiscal policy settings. However, </w:t>
      </w:r>
      <w:r>
        <w:t xml:space="preserve">there is growing uncertainty around the medium-term outlook, reflecting risks from rising interest rates in the United States and the direction of global trade policy. </w:t>
      </w:r>
    </w:p>
    <w:p w:rsidR="004B6846" w:rsidRDefault="004B6846" w:rsidP="00F055E2">
      <w:r>
        <w:lastRenderedPageBreak/>
        <w:t>Table 2.1</w:t>
      </w:r>
      <w:r w:rsidRPr="00033BEB">
        <w:t xml:space="preserve"> </w:t>
      </w:r>
      <w:r>
        <w:t xml:space="preserve">sets out the economic forecasts, with the </w:t>
      </w:r>
      <w:r w:rsidRPr="003D6D07">
        <w:rPr>
          <w:i/>
        </w:rPr>
        <w:t>2018</w:t>
      </w:r>
      <w:r>
        <w:rPr>
          <w:i/>
        </w:rPr>
        <w:t xml:space="preserve"> Pre-Election Budget Updat</w:t>
      </w:r>
      <w:r w:rsidRPr="002B127D">
        <w:t>e</w:t>
      </w:r>
      <w:r w:rsidRPr="00BB686D">
        <w:t xml:space="preserve"> </w:t>
      </w:r>
      <w:r>
        <w:t>forecasts in italics where different.</w:t>
      </w:r>
    </w:p>
    <w:p w:rsidR="004B6846" w:rsidRPr="000E2794" w:rsidRDefault="004B6846" w:rsidP="00945629">
      <w:pPr>
        <w:pStyle w:val="TableHeading"/>
        <w:tabs>
          <w:tab w:val="left" w:pos="6804"/>
        </w:tabs>
      </w:pPr>
      <w:r w:rsidRPr="000E2794">
        <w:t>Table</w:t>
      </w:r>
      <w:r>
        <w:t xml:space="preserve"> 2</w:t>
      </w:r>
      <w:r w:rsidRPr="000E2794">
        <w:t>.1:</w:t>
      </w:r>
      <w:r w:rsidRPr="000E2794">
        <w:tab/>
        <w:t>Victorian economic forecasts</w:t>
      </w:r>
      <w:r>
        <w:t xml:space="preserve"> </w:t>
      </w:r>
      <w:r w:rsidRPr="000E2794">
        <w:rPr>
          <w:vertAlign w:val="superscript"/>
        </w:rPr>
        <w:t>(a)</w:t>
      </w:r>
      <w:r w:rsidRPr="000E2794">
        <w:tab/>
        <w:t>(per cent)</w:t>
      </w:r>
    </w:p>
    <w:tbl>
      <w:tblPr>
        <w:tblStyle w:val="DTFTable"/>
        <w:tblW w:w="7684" w:type="dxa"/>
        <w:tblLayout w:type="fixed"/>
        <w:tblLook w:val="06A0" w:firstRow="1" w:lastRow="0" w:firstColumn="1" w:lastColumn="0" w:noHBand="1" w:noVBand="1"/>
      </w:tblPr>
      <w:tblGrid>
        <w:gridCol w:w="2552"/>
        <w:gridCol w:w="1026"/>
        <w:gridCol w:w="1027"/>
        <w:gridCol w:w="1026"/>
        <w:gridCol w:w="1027"/>
        <w:gridCol w:w="1026"/>
      </w:tblGrid>
      <w:tr w:rsidR="004B6846" w:rsidRPr="00B955D8" w:rsidTr="007A3D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4B6846" w:rsidRPr="00B955D8" w:rsidRDefault="004B6846" w:rsidP="007A3D87">
            <w:pPr>
              <w:rPr>
                <w:i w:val="0"/>
                <w:lang w:eastAsia="en-AU"/>
              </w:rPr>
            </w:pPr>
            <w:r w:rsidRPr="00B955D8">
              <w:rPr>
                <w:lang w:eastAsia="en-AU"/>
              </w:rPr>
              <w:t xml:space="preserve"> </w:t>
            </w:r>
          </w:p>
        </w:tc>
        <w:tc>
          <w:tcPr>
            <w:tcW w:w="1026" w:type="dxa"/>
          </w:tcPr>
          <w:p w:rsidR="004B6846" w:rsidRPr="000E2794" w:rsidRDefault="004B6846" w:rsidP="00F108B2">
            <w:pPr>
              <w:ind w:right="88"/>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0E2794">
              <w:rPr>
                <w:rFonts w:cs="Calibri"/>
                <w:color w:val="FFFFFF"/>
                <w:szCs w:val="20"/>
                <w:lang w:eastAsia="en-AU"/>
              </w:rPr>
              <w:t>2017-18</w:t>
            </w:r>
            <w:r>
              <w:rPr>
                <w:rFonts w:cs="Calibri"/>
                <w:color w:val="FFFFFF"/>
                <w:szCs w:val="20"/>
                <w:lang w:eastAsia="en-AU"/>
              </w:rPr>
              <w:br/>
              <w:t>a</w:t>
            </w:r>
            <w:r w:rsidRPr="000E2794">
              <w:rPr>
                <w:rFonts w:cs="Calibri"/>
                <w:color w:val="FFFFFF"/>
                <w:szCs w:val="20"/>
                <w:lang w:eastAsia="en-AU"/>
              </w:rPr>
              <w:t>ctual</w:t>
            </w:r>
          </w:p>
        </w:tc>
        <w:tc>
          <w:tcPr>
            <w:tcW w:w="1027" w:type="dxa"/>
          </w:tcPr>
          <w:p w:rsidR="004B6846" w:rsidRPr="000E2794" w:rsidRDefault="004B6846" w:rsidP="007A3D87">
            <w:pPr>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0E2794">
              <w:rPr>
                <w:rFonts w:cs="Calibri"/>
                <w:color w:val="FFFFFF"/>
                <w:szCs w:val="20"/>
                <w:lang w:eastAsia="en-AU"/>
              </w:rPr>
              <w:t>2018-19</w:t>
            </w:r>
            <w:r>
              <w:rPr>
                <w:rFonts w:cs="Calibri"/>
                <w:color w:val="FFFFFF"/>
                <w:szCs w:val="20"/>
                <w:lang w:eastAsia="en-AU"/>
              </w:rPr>
              <w:br/>
              <w:t>f</w:t>
            </w:r>
            <w:r w:rsidRPr="000E2794">
              <w:rPr>
                <w:rFonts w:cs="Calibri"/>
                <w:color w:val="FFFFFF"/>
                <w:szCs w:val="20"/>
                <w:lang w:eastAsia="en-AU"/>
              </w:rPr>
              <w:t>orecast</w:t>
            </w:r>
          </w:p>
        </w:tc>
        <w:tc>
          <w:tcPr>
            <w:tcW w:w="1026" w:type="dxa"/>
          </w:tcPr>
          <w:p w:rsidR="004B6846" w:rsidRPr="000E2794" w:rsidRDefault="004B6846" w:rsidP="007A3D87">
            <w:pPr>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0E2794">
              <w:rPr>
                <w:rFonts w:cs="Calibri"/>
                <w:color w:val="FFFFFF"/>
                <w:szCs w:val="20"/>
                <w:lang w:eastAsia="en-AU"/>
              </w:rPr>
              <w:t>2019-20</w:t>
            </w:r>
            <w:r>
              <w:rPr>
                <w:rFonts w:cs="Calibri"/>
                <w:color w:val="FFFFFF"/>
                <w:szCs w:val="20"/>
                <w:lang w:eastAsia="en-AU"/>
              </w:rPr>
              <w:br/>
              <w:t>f</w:t>
            </w:r>
            <w:r w:rsidRPr="000E2794">
              <w:rPr>
                <w:rFonts w:cs="Calibri"/>
                <w:color w:val="FFFFFF"/>
                <w:szCs w:val="20"/>
                <w:lang w:eastAsia="en-AU"/>
              </w:rPr>
              <w:t>orecast</w:t>
            </w:r>
          </w:p>
        </w:tc>
        <w:tc>
          <w:tcPr>
            <w:tcW w:w="1027" w:type="dxa"/>
          </w:tcPr>
          <w:p w:rsidR="004B6846" w:rsidRPr="000E2794" w:rsidRDefault="004B6846" w:rsidP="007A3D87">
            <w:pPr>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0E2794">
              <w:rPr>
                <w:rFonts w:cs="Calibri"/>
                <w:color w:val="FFFFFF"/>
                <w:szCs w:val="20"/>
                <w:lang w:eastAsia="en-AU"/>
              </w:rPr>
              <w:t>2020-21</w:t>
            </w:r>
            <w:r>
              <w:rPr>
                <w:rFonts w:cs="Calibri"/>
                <w:color w:val="FFFFFF"/>
                <w:szCs w:val="20"/>
                <w:lang w:eastAsia="en-AU"/>
              </w:rPr>
              <w:br/>
              <w:t>p</w:t>
            </w:r>
            <w:r w:rsidRPr="000E2794">
              <w:rPr>
                <w:rFonts w:cs="Calibri"/>
                <w:color w:val="FFFFFF"/>
                <w:szCs w:val="20"/>
                <w:lang w:eastAsia="en-AU"/>
              </w:rPr>
              <w:t>rojection</w:t>
            </w:r>
          </w:p>
        </w:tc>
        <w:tc>
          <w:tcPr>
            <w:tcW w:w="1026" w:type="dxa"/>
          </w:tcPr>
          <w:p w:rsidR="004B6846" w:rsidRPr="000E2794" w:rsidRDefault="004B6846" w:rsidP="007A3D87">
            <w:pPr>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0E2794">
              <w:rPr>
                <w:rFonts w:cs="Calibri"/>
                <w:color w:val="FFFFFF"/>
                <w:szCs w:val="20"/>
                <w:lang w:eastAsia="en-AU"/>
              </w:rPr>
              <w:t>2021-22</w:t>
            </w:r>
            <w:r>
              <w:rPr>
                <w:rFonts w:cs="Calibri"/>
                <w:color w:val="FFFFFF"/>
                <w:szCs w:val="20"/>
                <w:lang w:eastAsia="en-AU"/>
              </w:rPr>
              <w:br/>
              <w:t>p</w:t>
            </w:r>
            <w:r w:rsidRPr="000E2794">
              <w:rPr>
                <w:rFonts w:cs="Calibri"/>
                <w:color w:val="FFFFFF"/>
                <w:szCs w:val="20"/>
                <w:lang w:eastAsia="en-AU"/>
              </w:rPr>
              <w:t>rojection</w:t>
            </w:r>
          </w:p>
        </w:tc>
      </w:tr>
      <w:tr w:rsidR="004B6846" w:rsidRPr="00B955D8" w:rsidTr="007A3D87">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4B6846" w:rsidRPr="000E2794" w:rsidRDefault="004B6846" w:rsidP="007A3D87">
            <w:pPr>
              <w:rPr>
                <w:rFonts w:cs="Calibri"/>
                <w:szCs w:val="20"/>
                <w:lang w:eastAsia="en-AU"/>
              </w:rPr>
            </w:pPr>
            <w:r w:rsidRPr="000E2794">
              <w:rPr>
                <w:rFonts w:cs="Calibri"/>
                <w:szCs w:val="20"/>
                <w:lang w:eastAsia="en-AU"/>
              </w:rPr>
              <w:t>Real gross state product</w:t>
            </w:r>
          </w:p>
        </w:tc>
        <w:tc>
          <w:tcPr>
            <w:tcW w:w="1026" w:type="dxa"/>
          </w:tcPr>
          <w:p w:rsidR="004B6846" w:rsidRPr="000E2794" w:rsidRDefault="004B6846" w:rsidP="00CC0EB7">
            <w:pPr>
              <w:ind w:right="88"/>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3.5</w:t>
            </w:r>
          </w:p>
        </w:tc>
        <w:tc>
          <w:tcPr>
            <w:tcW w:w="1027" w:type="dxa"/>
          </w:tcPr>
          <w:p w:rsidR="004B6846" w:rsidRPr="000E2794"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3.00</w:t>
            </w:r>
          </w:p>
        </w:tc>
        <w:tc>
          <w:tcPr>
            <w:tcW w:w="1026" w:type="dxa"/>
          </w:tcPr>
          <w:p w:rsidR="004B6846" w:rsidRPr="000E2794"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2.75</w:t>
            </w:r>
          </w:p>
        </w:tc>
        <w:tc>
          <w:tcPr>
            <w:tcW w:w="1027" w:type="dxa"/>
          </w:tcPr>
          <w:p w:rsidR="004B6846" w:rsidRPr="000E2794"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2.75</w:t>
            </w:r>
          </w:p>
        </w:tc>
        <w:tc>
          <w:tcPr>
            <w:tcW w:w="1026" w:type="dxa"/>
          </w:tcPr>
          <w:p w:rsidR="004B6846" w:rsidRPr="000E2794"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2.75</w:t>
            </w:r>
          </w:p>
        </w:tc>
      </w:tr>
      <w:tr w:rsidR="004B6846" w:rsidRPr="00A1348E" w:rsidTr="007A3D87">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4B6846" w:rsidRPr="00A1348E" w:rsidRDefault="004B6846" w:rsidP="007A3D87">
            <w:pPr>
              <w:rPr>
                <w:rFonts w:cs="Calibri"/>
                <w:i/>
                <w:szCs w:val="20"/>
                <w:lang w:eastAsia="en-AU"/>
              </w:rPr>
            </w:pPr>
          </w:p>
        </w:tc>
        <w:tc>
          <w:tcPr>
            <w:tcW w:w="1026" w:type="dxa"/>
          </w:tcPr>
          <w:p w:rsidR="004B6846" w:rsidRPr="00A1348E" w:rsidRDefault="004B6846" w:rsidP="00F108B2">
            <w:pPr>
              <w:ind w:right="88"/>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3.</w:t>
            </w:r>
            <w:r>
              <w:rPr>
                <w:rFonts w:cs="Calibri"/>
                <w:i/>
                <w:szCs w:val="20"/>
                <w:lang w:eastAsia="en-AU"/>
              </w:rPr>
              <w:t>25</w:t>
            </w:r>
          </w:p>
        </w:tc>
        <w:tc>
          <w:tcPr>
            <w:tcW w:w="1027" w:type="dxa"/>
          </w:tcPr>
          <w:p w:rsidR="004B6846" w:rsidRPr="00A1348E" w:rsidRDefault="004B6846" w:rsidP="007A3D8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6" w:type="dxa"/>
          </w:tcPr>
          <w:p w:rsidR="004B6846" w:rsidRPr="00A1348E" w:rsidRDefault="004B6846" w:rsidP="007A3D8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7" w:type="dxa"/>
          </w:tcPr>
          <w:p w:rsidR="004B6846" w:rsidRPr="00A1348E" w:rsidRDefault="004B6846" w:rsidP="007A3D8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6" w:type="dxa"/>
          </w:tcPr>
          <w:p w:rsidR="004B6846" w:rsidRPr="00A1348E" w:rsidRDefault="004B6846" w:rsidP="007A3D8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r>
      <w:tr w:rsidR="004B6846" w:rsidRPr="00B955D8" w:rsidTr="007A3D87">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4B6846" w:rsidRPr="00D334A1" w:rsidRDefault="004B6846" w:rsidP="007A3D87">
            <w:pPr>
              <w:rPr>
                <w:rFonts w:cs="Calibri"/>
                <w:szCs w:val="20"/>
                <w:lang w:eastAsia="en-AU"/>
              </w:rPr>
            </w:pPr>
            <w:r w:rsidRPr="00D334A1">
              <w:rPr>
                <w:rFonts w:cs="Calibri"/>
                <w:szCs w:val="20"/>
                <w:lang w:eastAsia="en-AU"/>
              </w:rPr>
              <w:t>Employment</w:t>
            </w:r>
          </w:p>
        </w:tc>
        <w:tc>
          <w:tcPr>
            <w:tcW w:w="1026" w:type="dxa"/>
          </w:tcPr>
          <w:p w:rsidR="004B6846" w:rsidRPr="00D334A1" w:rsidRDefault="004B6846" w:rsidP="00F108B2">
            <w:pPr>
              <w:ind w:right="88"/>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D334A1">
              <w:rPr>
                <w:rFonts w:cs="Calibri"/>
                <w:szCs w:val="20"/>
                <w:lang w:eastAsia="en-AU"/>
              </w:rPr>
              <w:t>2.7</w:t>
            </w:r>
          </w:p>
        </w:tc>
        <w:tc>
          <w:tcPr>
            <w:tcW w:w="1027" w:type="dxa"/>
          </w:tcPr>
          <w:p w:rsidR="004B6846" w:rsidRPr="00D334A1"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D334A1">
              <w:rPr>
                <w:rFonts w:cs="Calibri"/>
                <w:szCs w:val="20"/>
                <w:lang w:eastAsia="en-AU"/>
              </w:rPr>
              <w:t>2.50</w:t>
            </w:r>
          </w:p>
        </w:tc>
        <w:tc>
          <w:tcPr>
            <w:tcW w:w="1026" w:type="dxa"/>
          </w:tcPr>
          <w:p w:rsidR="004B6846" w:rsidRPr="00D334A1"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D334A1">
              <w:rPr>
                <w:rFonts w:cs="Calibri"/>
                <w:szCs w:val="20"/>
                <w:lang w:eastAsia="en-AU"/>
              </w:rPr>
              <w:t>2.00</w:t>
            </w:r>
          </w:p>
        </w:tc>
        <w:tc>
          <w:tcPr>
            <w:tcW w:w="1027" w:type="dxa"/>
          </w:tcPr>
          <w:p w:rsidR="004B6846" w:rsidRPr="00D334A1"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D334A1">
              <w:rPr>
                <w:rFonts w:cs="Calibri"/>
                <w:szCs w:val="20"/>
                <w:lang w:eastAsia="en-AU"/>
              </w:rPr>
              <w:t>1.75</w:t>
            </w:r>
          </w:p>
        </w:tc>
        <w:tc>
          <w:tcPr>
            <w:tcW w:w="1026" w:type="dxa"/>
          </w:tcPr>
          <w:p w:rsidR="004B6846" w:rsidRPr="000E2794"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1.75</w:t>
            </w:r>
          </w:p>
        </w:tc>
      </w:tr>
      <w:tr w:rsidR="004B6846" w:rsidRPr="00B955D8" w:rsidTr="007A3D87">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4B6846" w:rsidRPr="00D334A1" w:rsidRDefault="004B6846" w:rsidP="007A3D87">
            <w:pPr>
              <w:rPr>
                <w:rFonts w:cs="Calibri"/>
                <w:szCs w:val="20"/>
                <w:lang w:eastAsia="en-AU"/>
              </w:rPr>
            </w:pPr>
            <w:r w:rsidRPr="00D334A1">
              <w:rPr>
                <w:rFonts w:cs="Calibri"/>
                <w:szCs w:val="20"/>
                <w:lang w:eastAsia="en-AU"/>
              </w:rPr>
              <w:t xml:space="preserve">Unemployment rate </w:t>
            </w:r>
            <w:r w:rsidRPr="00D334A1">
              <w:rPr>
                <w:rFonts w:cs="Calibri"/>
                <w:szCs w:val="20"/>
                <w:vertAlign w:val="superscript"/>
                <w:lang w:eastAsia="en-AU"/>
              </w:rPr>
              <w:t>(</w:t>
            </w:r>
            <w:r>
              <w:rPr>
                <w:rFonts w:cs="Calibri"/>
                <w:szCs w:val="20"/>
                <w:vertAlign w:val="superscript"/>
                <w:lang w:eastAsia="en-AU"/>
              </w:rPr>
              <w:t>b</w:t>
            </w:r>
            <w:r w:rsidRPr="00D334A1">
              <w:rPr>
                <w:rFonts w:cs="Calibri"/>
                <w:szCs w:val="20"/>
                <w:vertAlign w:val="superscript"/>
                <w:lang w:eastAsia="en-AU"/>
              </w:rPr>
              <w:t>)</w:t>
            </w:r>
          </w:p>
        </w:tc>
        <w:tc>
          <w:tcPr>
            <w:tcW w:w="1026" w:type="dxa"/>
          </w:tcPr>
          <w:p w:rsidR="004B6846" w:rsidRPr="00D334A1" w:rsidRDefault="004B6846" w:rsidP="00F108B2">
            <w:pPr>
              <w:ind w:right="88"/>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D334A1">
              <w:rPr>
                <w:rFonts w:cs="Calibri"/>
                <w:szCs w:val="20"/>
                <w:lang w:eastAsia="en-AU"/>
              </w:rPr>
              <w:t>5.6</w:t>
            </w:r>
          </w:p>
        </w:tc>
        <w:tc>
          <w:tcPr>
            <w:tcW w:w="1027" w:type="dxa"/>
          </w:tcPr>
          <w:p w:rsidR="004B6846" w:rsidRPr="00D334A1"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D334A1">
              <w:rPr>
                <w:rFonts w:cs="Calibri"/>
                <w:szCs w:val="20"/>
                <w:lang w:eastAsia="en-AU"/>
              </w:rPr>
              <w:t>4.75</w:t>
            </w:r>
          </w:p>
        </w:tc>
        <w:tc>
          <w:tcPr>
            <w:tcW w:w="1026" w:type="dxa"/>
          </w:tcPr>
          <w:p w:rsidR="004B6846" w:rsidRPr="00D334A1"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D334A1">
              <w:rPr>
                <w:rFonts w:cs="Calibri"/>
                <w:szCs w:val="20"/>
                <w:lang w:eastAsia="en-AU"/>
              </w:rPr>
              <w:t>5.00</w:t>
            </w:r>
          </w:p>
        </w:tc>
        <w:tc>
          <w:tcPr>
            <w:tcW w:w="1027" w:type="dxa"/>
          </w:tcPr>
          <w:p w:rsidR="004B6846" w:rsidRPr="00D334A1"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D334A1">
              <w:rPr>
                <w:rFonts w:cs="Calibri"/>
                <w:szCs w:val="20"/>
                <w:lang w:eastAsia="en-AU"/>
              </w:rPr>
              <w:t>5.25</w:t>
            </w:r>
          </w:p>
        </w:tc>
        <w:tc>
          <w:tcPr>
            <w:tcW w:w="1026" w:type="dxa"/>
          </w:tcPr>
          <w:p w:rsidR="004B6846" w:rsidRPr="000E2794"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5.50</w:t>
            </w:r>
          </w:p>
        </w:tc>
      </w:tr>
      <w:tr w:rsidR="004B6846" w:rsidRPr="00B955D8" w:rsidTr="007A3D87">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4B6846" w:rsidRPr="000E2794" w:rsidRDefault="004B6846" w:rsidP="007A3D87">
            <w:pPr>
              <w:rPr>
                <w:rFonts w:cs="Calibri"/>
                <w:szCs w:val="20"/>
                <w:lang w:eastAsia="en-AU"/>
              </w:rPr>
            </w:pPr>
            <w:r w:rsidRPr="000E2794">
              <w:rPr>
                <w:rFonts w:cs="Calibri"/>
                <w:szCs w:val="20"/>
                <w:lang w:eastAsia="en-AU"/>
              </w:rPr>
              <w:t xml:space="preserve">Consumer price index </w:t>
            </w:r>
            <w:r w:rsidRPr="000E2794">
              <w:rPr>
                <w:rFonts w:cs="Calibri"/>
                <w:szCs w:val="20"/>
                <w:vertAlign w:val="superscript"/>
                <w:lang w:eastAsia="en-AU"/>
              </w:rPr>
              <w:t>(</w:t>
            </w:r>
            <w:r>
              <w:rPr>
                <w:rFonts w:cs="Calibri"/>
                <w:szCs w:val="20"/>
                <w:vertAlign w:val="superscript"/>
                <w:lang w:eastAsia="en-AU"/>
              </w:rPr>
              <w:t>c</w:t>
            </w:r>
            <w:r w:rsidRPr="000E2794">
              <w:rPr>
                <w:rFonts w:cs="Calibri"/>
                <w:szCs w:val="20"/>
                <w:vertAlign w:val="superscript"/>
                <w:lang w:eastAsia="en-AU"/>
              </w:rPr>
              <w:t>)</w:t>
            </w:r>
          </w:p>
        </w:tc>
        <w:tc>
          <w:tcPr>
            <w:tcW w:w="1026" w:type="dxa"/>
          </w:tcPr>
          <w:p w:rsidR="004B6846" w:rsidRPr="000E2794" w:rsidRDefault="004B6846" w:rsidP="00F108B2">
            <w:pPr>
              <w:ind w:right="88"/>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2.3</w:t>
            </w:r>
          </w:p>
        </w:tc>
        <w:tc>
          <w:tcPr>
            <w:tcW w:w="1027" w:type="dxa"/>
          </w:tcPr>
          <w:p w:rsidR="004B6846" w:rsidRPr="000E2794"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Pr>
                <w:rFonts w:cs="Calibri"/>
                <w:szCs w:val="20"/>
                <w:lang w:eastAsia="en-AU"/>
              </w:rPr>
              <w:t>2.25</w:t>
            </w:r>
          </w:p>
        </w:tc>
        <w:tc>
          <w:tcPr>
            <w:tcW w:w="1026" w:type="dxa"/>
          </w:tcPr>
          <w:p w:rsidR="004B6846" w:rsidRPr="000E2794"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2.50</w:t>
            </w:r>
          </w:p>
        </w:tc>
        <w:tc>
          <w:tcPr>
            <w:tcW w:w="1027" w:type="dxa"/>
          </w:tcPr>
          <w:p w:rsidR="004B6846" w:rsidRPr="000E2794"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2.50</w:t>
            </w:r>
          </w:p>
        </w:tc>
        <w:tc>
          <w:tcPr>
            <w:tcW w:w="1026" w:type="dxa"/>
          </w:tcPr>
          <w:p w:rsidR="004B6846" w:rsidRPr="000E2794"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2.50</w:t>
            </w:r>
          </w:p>
        </w:tc>
      </w:tr>
      <w:tr w:rsidR="004B6846" w:rsidRPr="00A1348E" w:rsidTr="007A3D87">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4B6846" w:rsidRPr="00A1348E" w:rsidRDefault="004B6846" w:rsidP="007A3D87">
            <w:pPr>
              <w:rPr>
                <w:rFonts w:cs="Calibri"/>
                <w:i/>
                <w:szCs w:val="20"/>
                <w:lang w:eastAsia="en-AU"/>
              </w:rPr>
            </w:pPr>
          </w:p>
        </w:tc>
        <w:tc>
          <w:tcPr>
            <w:tcW w:w="1026" w:type="dxa"/>
          </w:tcPr>
          <w:p w:rsidR="004B6846" w:rsidRPr="00A1348E" w:rsidRDefault="004B6846" w:rsidP="00F108B2">
            <w:pPr>
              <w:ind w:right="88"/>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7" w:type="dxa"/>
          </w:tcPr>
          <w:p w:rsidR="004B6846" w:rsidRPr="00A1348E" w:rsidRDefault="004B6846" w:rsidP="007A3D8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2.</w:t>
            </w:r>
            <w:r>
              <w:rPr>
                <w:rFonts w:cs="Calibri"/>
                <w:i/>
                <w:szCs w:val="20"/>
                <w:lang w:eastAsia="en-AU"/>
              </w:rPr>
              <w:t>50</w:t>
            </w:r>
          </w:p>
        </w:tc>
        <w:tc>
          <w:tcPr>
            <w:tcW w:w="1026" w:type="dxa"/>
          </w:tcPr>
          <w:p w:rsidR="004B6846" w:rsidRPr="00A1348E" w:rsidRDefault="004B6846" w:rsidP="007A3D8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7" w:type="dxa"/>
          </w:tcPr>
          <w:p w:rsidR="004B6846" w:rsidRPr="00A1348E" w:rsidRDefault="004B6846" w:rsidP="007A3D8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6" w:type="dxa"/>
          </w:tcPr>
          <w:p w:rsidR="004B6846" w:rsidRPr="00A1348E" w:rsidRDefault="004B6846" w:rsidP="007A3D87">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r>
      <w:tr w:rsidR="004B6846" w:rsidRPr="00B955D8" w:rsidTr="007A3D87">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4B6846" w:rsidRPr="000E2794" w:rsidRDefault="004B6846" w:rsidP="007A3D87">
            <w:pPr>
              <w:rPr>
                <w:rFonts w:cs="Calibri"/>
                <w:szCs w:val="20"/>
                <w:lang w:eastAsia="en-AU"/>
              </w:rPr>
            </w:pPr>
            <w:r w:rsidRPr="000E2794">
              <w:rPr>
                <w:rFonts w:cs="Calibri"/>
                <w:szCs w:val="20"/>
                <w:lang w:eastAsia="en-AU"/>
              </w:rPr>
              <w:t xml:space="preserve">Wage price index </w:t>
            </w:r>
            <w:r w:rsidRPr="000E2794">
              <w:rPr>
                <w:rFonts w:cs="Calibri"/>
                <w:szCs w:val="20"/>
                <w:vertAlign w:val="superscript"/>
                <w:lang w:eastAsia="en-AU"/>
              </w:rPr>
              <w:t>(</w:t>
            </w:r>
            <w:r>
              <w:rPr>
                <w:rFonts w:cs="Calibri"/>
                <w:szCs w:val="20"/>
                <w:vertAlign w:val="superscript"/>
                <w:lang w:eastAsia="en-AU"/>
              </w:rPr>
              <w:t>d</w:t>
            </w:r>
            <w:r w:rsidRPr="000E2794">
              <w:rPr>
                <w:rFonts w:cs="Calibri"/>
                <w:szCs w:val="20"/>
                <w:vertAlign w:val="superscript"/>
                <w:lang w:eastAsia="en-AU"/>
              </w:rPr>
              <w:t>)</w:t>
            </w:r>
          </w:p>
        </w:tc>
        <w:tc>
          <w:tcPr>
            <w:tcW w:w="1026" w:type="dxa"/>
          </w:tcPr>
          <w:p w:rsidR="004B6846" w:rsidRPr="000E2794" w:rsidRDefault="004B6846" w:rsidP="00F108B2">
            <w:pPr>
              <w:ind w:right="88"/>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2.3</w:t>
            </w:r>
          </w:p>
        </w:tc>
        <w:tc>
          <w:tcPr>
            <w:tcW w:w="1027" w:type="dxa"/>
          </w:tcPr>
          <w:p w:rsidR="004B6846" w:rsidRPr="000E2794"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2.75</w:t>
            </w:r>
          </w:p>
        </w:tc>
        <w:tc>
          <w:tcPr>
            <w:tcW w:w="1026" w:type="dxa"/>
          </w:tcPr>
          <w:p w:rsidR="004B6846" w:rsidRPr="000E2794"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3.00</w:t>
            </w:r>
          </w:p>
        </w:tc>
        <w:tc>
          <w:tcPr>
            <w:tcW w:w="1027" w:type="dxa"/>
          </w:tcPr>
          <w:p w:rsidR="004B6846" w:rsidRPr="000E2794"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3.25</w:t>
            </w:r>
          </w:p>
        </w:tc>
        <w:tc>
          <w:tcPr>
            <w:tcW w:w="1026" w:type="dxa"/>
          </w:tcPr>
          <w:p w:rsidR="004B6846" w:rsidRPr="000E2794"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3.50</w:t>
            </w:r>
          </w:p>
        </w:tc>
      </w:tr>
      <w:tr w:rsidR="004B6846" w:rsidRPr="003D1B65" w:rsidTr="007A3D87">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4B6846" w:rsidRPr="000E2794" w:rsidRDefault="004B6846" w:rsidP="007A3D87">
            <w:pPr>
              <w:rPr>
                <w:rFonts w:cs="Calibri"/>
                <w:szCs w:val="20"/>
                <w:lang w:eastAsia="en-AU"/>
              </w:rPr>
            </w:pPr>
            <w:r w:rsidRPr="000E2794">
              <w:rPr>
                <w:rFonts w:cs="Calibri"/>
                <w:szCs w:val="20"/>
                <w:lang w:eastAsia="en-AU"/>
              </w:rPr>
              <w:t xml:space="preserve">Population </w:t>
            </w:r>
            <w:r w:rsidRPr="000E2794">
              <w:rPr>
                <w:rFonts w:cs="Calibri"/>
                <w:szCs w:val="20"/>
                <w:vertAlign w:val="superscript"/>
                <w:lang w:eastAsia="en-AU"/>
              </w:rPr>
              <w:t>(</w:t>
            </w:r>
            <w:r>
              <w:rPr>
                <w:rFonts w:cs="Calibri"/>
                <w:szCs w:val="20"/>
                <w:vertAlign w:val="superscript"/>
                <w:lang w:eastAsia="en-AU"/>
              </w:rPr>
              <w:t>e</w:t>
            </w:r>
            <w:r w:rsidRPr="000E2794">
              <w:rPr>
                <w:rFonts w:cs="Calibri"/>
                <w:szCs w:val="20"/>
                <w:vertAlign w:val="superscript"/>
                <w:lang w:eastAsia="en-AU"/>
              </w:rPr>
              <w:t>)</w:t>
            </w:r>
          </w:p>
        </w:tc>
        <w:tc>
          <w:tcPr>
            <w:tcW w:w="1026" w:type="dxa"/>
          </w:tcPr>
          <w:p w:rsidR="004B6846" w:rsidRPr="000E2794" w:rsidRDefault="004B6846" w:rsidP="00361F8A">
            <w:pPr>
              <w:ind w:right="-57"/>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w:t>
            </w:r>
            <w:r>
              <w:rPr>
                <w:rFonts w:cs="Calibri"/>
                <w:szCs w:val="20"/>
                <w:lang w:eastAsia="en-AU"/>
              </w:rPr>
              <w:t xml:space="preserve">2 </w:t>
            </w:r>
            <w:r w:rsidRPr="000E2794">
              <w:rPr>
                <w:rFonts w:cs="Calibri"/>
                <w:szCs w:val="20"/>
                <w:vertAlign w:val="superscript"/>
                <w:lang w:eastAsia="en-AU"/>
              </w:rPr>
              <w:t>(</w:t>
            </w:r>
            <w:r>
              <w:rPr>
                <w:rFonts w:cs="Calibri"/>
                <w:szCs w:val="20"/>
                <w:vertAlign w:val="superscript"/>
                <w:lang w:eastAsia="en-AU"/>
              </w:rPr>
              <w:t>f</w:t>
            </w:r>
            <w:r w:rsidRPr="000E2794">
              <w:rPr>
                <w:rFonts w:cs="Calibri"/>
                <w:szCs w:val="20"/>
                <w:vertAlign w:val="superscript"/>
                <w:lang w:eastAsia="en-AU"/>
              </w:rPr>
              <w:t>)</w:t>
            </w:r>
          </w:p>
        </w:tc>
        <w:tc>
          <w:tcPr>
            <w:tcW w:w="1027" w:type="dxa"/>
          </w:tcPr>
          <w:p w:rsidR="004B6846" w:rsidRPr="000E2794"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w:t>
            </w:r>
            <w:r>
              <w:rPr>
                <w:rFonts w:cs="Calibri"/>
                <w:szCs w:val="20"/>
                <w:lang w:eastAsia="en-AU"/>
              </w:rPr>
              <w:t>1</w:t>
            </w:r>
          </w:p>
        </w:tc>
        <w:tc>
          <w:tcPr>
            <w:tcW w:w="1026" w:type="dxa"/>
          </w:tcPr>
          <w:p w:rsidR="004B6846" w:rsidRPr="000E2794"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w:t>
            </w:r>
            <w:r>
              <w:rPr>
                <w:rFonts w:cs="Calibri"/>
                <w:szCs w:val="20"/>
                <w:lang w:eastAsia="en-AU"/>
              </w:rPr>
              <w:t>0</w:t>
            </w:r>
          </w:p>
        </w:tc>
        <w:tc>
          <w:tcPr>
            <w:tcW w:w="1027" w:type="dxa"/>
          </w:tcPr>
          <w:p w:rsidR="004B6846" w:rsidRPr="000E2794"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Pr>
                <w:rFonts w:cs="Calibri"/>
                <w:szCs w:val="20"/>
                <w:lang w:eastAsia="en-AU"/>
              </w:rPr>
              <w:t>1.9</w:t>
            </w:r>
          </w:p>
        </w:tc>
        <w:tc>
          <w:tcPr>
            <w:tcW w:w="1026" w:type="dxa"/>
          </w:tcPr>
          <w:p w:rsidR="004B6846" w:rsidRPr="000E2794" w:rsidRDefault="004B6846" w:rsidP="007A3D87">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Pr>
                <w:rFonts w:cs="Calibri"/>
                <w:szCs w:val="20"/>
                <w:lang w:eastAsia="en-AU"/>
              </w:rPr>
              <w:t>1.9</w:t>
            </w:r>
          </w:p>
        </w:tc>
      </w:tr>
    </w:tbl>
    <w:p w:rsidR="004B6846" w:rsidRPr="00B955D8" w:rsidRDefault="004B6846" w:rsidP="00F055E2">
      <w:pPr>
        <w:pStyle w:val="Source"/>
        <w:rPr>
          <w:rFonts w:asciiTheme="minorHAnsi" w:hAnsiTheme="minorHAnsi" w:cstheme="minorHAnsi"/>
        </w:rPr>
      </w:pPr>
      <w:r w:rsidRPr="000E2794">
        <w:t>Sources: Department of Treasury and Finance; Australian Bureau of Statistics</w:t>
      </w:r>
      <w:r w:rsidRPr="00B955D8">
        <w:rPr>
          <w:rFonts w:asciiTheme="minorHAnsi" w:hAnsiTheme="minorHAnsi" w:cstheme="minorHAnsi"/>
        </w:rPr>
        <w:t>.</w:t>
      </w:r>
    </w:p>
    <w:p w:rsidR="004B6846" w:rsidRPr="000E2794" w:rsidRDefault="004B6846" w:rsidP="00567773">
      <w:pPr>
        <w:pStyle w:val="Note"/>
      </w:pPr>
      <w:r w:rsidRPr="000E2794">
        <w:t xml:space="preserve">Notes: </w:t>
      </w:r>
    </w:p>
    <w:p w:rsidR="004B6846" w:rsidRPr="00D06F45" w:rsidRDefault="004B6846" w:rsidP="00F055E2">
      <w:pPr>
        <w:pStyle w:val="Note"/>
      </w:pPr>
      <w:bookmarkStart w:id="8" w:name="_Hlk531002956"/>
      <w:r w:rsidRPr="00D06F45">
        <w:t>(a)</w:t>
      </w:r>
      <w:r w:rsidRPr="00D06F45">
        <w:tab/>
        <w:t xml:space="preserve">Percentage change in year average </w:t>
      </w:r>
      <w:r>
        <w:t xml:space="preserve">terms </w:t>
      </w:r>
      <w:r w:rsidRPr="00D06F45">
        <w:t xml:space="preserve">compared with previous year, except for the unemployment rate (see note </w:t>
      </w:r>
      <w:r>
        <w:t xml:space="preserve">(b)) and population (see </w:t>
      </w:r>
      <w:r w:rsidRPr="00D06F45">
        <w:t>note (</w:t>
      </w:r>
      <w:r>
        <w:t>e</w:t>
      </w:r>
      <w:r w:rsidRPr="00D06F45">
        <w:t xml:space="preserve">)). Forecasts </w:t>
      </w:r>
      <w:r>
        <w:t>are rounded to the nearest 0.25 </w:t>
      </w:r>
      <w:r w:rsidRPr="00D06F45">
        <w:t>percentage points, except for population (see note (</w:t>
      </w:r>
      <w:r>
        <w:t>e</w:t>
      </w:r>
      <w:r w:rsidRPr="00D06F45">
        <w:t>)).</w:t>
      </w:r>
    </w:p>
    <w:p w:rsidR="004B6846" w:rsidRPr="00D06F45" w:rsidRDefault="004B6846" w:rsidP="00F055E2">
      <w:pPr>
        <w:pStyle w:val="Note"/>
      </w:pPr>
      <w:r w:rsidRPr="00D06F45">
        <w:tab/>
        <w:t>Projections for 20</w:t>
      </w:r>
      <w:r>
        <w:t>20</w:t>
      </w:r>
      <w:r>
        <w:noBreakHyphen/>
      </w:r>
      <w:r w:rsidRPr="00D06F45">
        <w:t>2</w:t>
      </w:r>
      <w:r>
        <w:t>1</w:t>
      </w:r>
      <w:r w:rsidRPr="00D06F45">
        <w:t xml:space="preserve"> and 202</w:t>
      </w:r>
      <w:r>
        <w:t>1</w:t>
      </w:r>
      <w:r>
        <w:noBreakHyphen/>
      </w:r>
      <w:r w:rsidRPr="00D06F45">
        <w:t>2</w:t>
      </w:r>
      <w:r>
        <w:t>2</w:t>
      </w:r>
      <w:r w:rsidRPr="00D06F45">
        <w:t xml:space="preserve"> represent </w:t>
      </w:r>
      <w:r>
        <w:t xml:space="preserve">long-run average growth rates, </w:t>
      </w:r>
      <w:r w:rsidRPr="00D06F45">
        <w:t>except for the wage price index</w:t>
      </w:r>
      <w:r>
        <w:t>,</w:t>
      </w:r>
      <w:r w:rsidRPr="00D06F45">
        <w:t xml:space="preserve"> which </w:t>
      </w:r>
      <w:r>
        <w:t>remains below trend in 2020-21, and population growth, which remains above trend by 2021</w:t>
      </w:r>
      <w:r>
        <w:noBreakHyphen/>
      </w:r>
      <w:r w:rsidRPr="00D06F45">
        <w:t>2</w:t>
      </w:r>
      <w:r>
        <w:t>2</w:t>
      </w:r>
      <w:r w:rsidRPr="00D06F45">
        <w:t>.</w:t>
      </w:r>
    </w:p>
    <w:p w:rsidR="004B6846" w:rsidRPr="00D06F45" w:rsidRDefault="004B6846" w:rsidP="00F055E2">
      <w:pPr>
        <w:pStyle w:val="Note"/>
      </w:pPr>
      <w:r w:rsidRPr="00D06F45">
        <w:tab/>
        <w:t>The key assumptions underlying the economic forecasts include: interest rates</w:t>
      </w:r>
      <w:r>
        <w:t xml:space="preserve"> are reflective of movements in market expectations; an Australian dollar trade-</w:t>
      </w:r>
      <w:r w:rsidRPr="00D06F45">
        <w:t xml:space="preserve">weighted index of </w:t>
      </w:r>
      <w:r w:rsidRPr="00592D41">
        <w:t>62.</w:t>
      </w:r>
      <w:r>
        <w:t>6</w:t>
      </w:r>
      <w:r w:rsidRPr="00592D41">
        <w:t>; a</w:t>
      </w:r>
      <w:r w:rsidRPr="00D06F45">
        <w:t xml:space="preserve">nd oil prices that follow the path suggested by </w:t>
      </w:r>
      <w:r>
        <w:t xml:space="preserve">the </w:t>
      </w:r>
      <w:r w:rsidRPr="00D06F45">
        <w:t>fut</w:t>
      </w:r>
      <w:r>
        <w:t xml:space="preserve">ures market. </w:t>
      </w:r>
    </w:p>
    <w:p w:rsidR="004B6846" w:rsidRDefault="004B6846" w:rsidP="00F055E2">
      <w:pPr>
        <w:pStyle w:val="Note"/>
      </w:pPr>
      <w:r>
        <w:t>(b)</w:t>
      </w:r>
      <w:r>
        <w:tab/>
        <w:t>Year average, per cent.</w:t>
      </w:r>
    </w:p>
    <w:p w:rsidR="004B6846" w:rsidRPr="00D06F45" w:rsidRDefault="004B6846" w:rsidP="00F055E2">
      <w:pPr>
        <w:pStyle w:val="Note"/>
      </w:pPr>
      <w:r w:rsidRPr="00D06F45">
        <w:t>(</w:t>
      </w:r>
      <w:r>
        <w:t>c)</w:t>
      </w:r>
      <w:r>
        <w:tab/>
      </w:r>
      <w:r w:rsidRPr="00D06F45">
        <w:t>Melbourne consumer price index.</w:t>
      </w:r>
    </w:p>
    <w:p w:rsidR="004B6846" w:rsidRPr="00D06F45" w:rsidRDefault="004B6846" w:rsidP="00F055E2">
      <w:pPr>
        <w:pStyle w:val="Note"/>
      </w:pPr>
      <w:r w:rsidRPr="00D06F45">
        <w:t>(</w:t>
      </w:r>
      <w:r>
        <w:t>d</w:t>
      </w:r>
      <w:r w:rsidRPr="00D06F45">
        <w:t>)</w:t>
      </w:r>
      <w:r w:rsidRPr="00D06F45">
        <w:tab/>
        <w:t xml:space="preserve">Wage </w:t>
      </w:r>
      <w:r>
        <w:t>p</w:t>
      </w:r>
      <w:r w:rsidRPr="00D06F45">
        <w:t xml:space="preserve">rice </w:t>
      </w:r>
      <w:r>
        <w:t>i</w:t>
      </w:r>
      <w:r w:rsidRPr="00D06F45">
        <w:t>ndex, Victoria (based on total hourly rates of pay, excluding bonuses).</w:t>
      </w:r>
    </w:p>
    <w:p w:rsidR="004B6846" w:rsidRPr="00D06F45" w:rsidRDefault="004B6846" w:rsidP="00F055E2">
      <w:pPr>
        <w:pStyle w:val="Note"/>
      </w:pPr>
      <w:r w:rsidRPr="00D06F45">
        <w:t>(</w:t>
      </w:r>
      <w:r>
        <w:t>e</w:t>
      </w:r>
      <w:r w:rsidRPr="00D06F45">
        <w:t>)</w:t>
      </w:r>
      <w:r w:rsidRPr="00D06F45">
        <w:tab/>
        <w:t>Percentage change over the year to 30 June. Forecasts are rounded to the nearest 0.1</w:t>
      </w:r>
      <w:r>
        <w:t> </w:t>
      </w:r>
      <w:r w:rsidRPr="00D06F45">
        <w:t>p</w:t>
      </w:r>
      <w:r>
        <w:t>ercentage point.</w:t>
      </w:r>
    </w:p>
    <w:p w:rsidR="004B6846" w:rsidRPr="00D06F45" w:rsidRDefault="004B6846" w:rsidP="00CC0EB7">
      <w:pPr>
        <w:pStyle w:val="Note"/>
      </w:pPr>
      <w:r w:rsidRPr="00D06F45">
        <w:t>(</w:t>
      </w:r>
      <w:r>
        <w:t>f</w:t>
      </w:r>
      <w:r w:rsidRPr="00D06F45">
        <w:t>)</w:t>
      </w:r>
      <w:r w:rsidRPr="00D06F45">
        <w:tab/>
      </w:r>
      <w:r>
        <w:t xml:space="preserve">Estimate, actual not yet available. </w:t>
      </w:r>
    </w:p>
    <w:bookmarkEnd w:id="8"/>
    <w:p w:rsidR="004B6846" w:rsidRDefault="004B6846" w:rsidP="00CC0EB7">
      <w:pPr>
        <w:pStyle w:val="Heading20"/>
      </w:pPr>
      <w:r>
        <w:t>Gross state product</w:t>
      </w:r>
    </w:p>
    <w:p w:rsidR="004B6846" w:rsidRDefault="004B6846" w:rsidP="00CC0EB7">
      <w:r>
        <w:t>Victoria’s economy grew by 3.5 per cent in 2017</w:t>
      </w:r>
      <w:r>
        <w:noBreakHyphen/>
        <w:t xml:space="preserve">18, higher than the 3.25 per cent growth rate forecast in the </w:t>
      </w:r>
      <w:r w:rsidRPr="003D6D07">
        <w:rPr>
          <w:i/>
        </w:rPr>
        <w:t>2018</w:t>
      </w:r>
      <w:r>
        <w:rPr>
          <w:i/>
        </w:rPr>
        <w:t xml:space="preserve"> Pre-Election Budget Update. </w:t>
      </w:r>
      <w:r w:rsidRPr="00B45844">
        <w:t>This</w:t>
      </w:r>
      <w:r>
        <w:t xml:space="preserve"> was the largest increase of all the states and marked the </w:t>
      </w:r>
      <w:r w:rsidRPr="00650555">
        <w:t>26th</w:t>
      </w:r>
      <w:r>
        <w:t xml:space="preserve"> year of uninterrupted growth in Victoria. The GSP growth rate in the prior year, 2016</w:t>
      </w:r>
      <w:r>
        <w:noBreakHyphen/>
        <w:t>17, was also revised higher by the Australian Bureau of Statistics to 4.0 per cent, from 3.3 per cent previously reported. The major contributors to growth in 2017</w:t>
      </w:r>
      <w:r>
        <w:noBreakHyphen/>
        <w:t>18 were c</w:t>
      </w:r>
      <w:r w:rsidRPr="005C735D">
        <w:t xml:space="preserve">onsumer spending, public demand </w:t>
      </w:r>
      <w:r>
        <w:t xml:space="preserve">and </w:t>
      </w:r>
      <w:r w:rsidRPr="005C735D">
        <w:t>business investment</w:t>
      </w:r>
      <w:r>
        <w:t xml:space="preserve">. In 2018-19, GSP growth is forecast to ease to around 3.0 per cent, still above trend. </w:t>
      </w:r>
    </w:p>
    <w:p w:rsidR="004B6846" w:rsidRDefault="004B6846" w:rsidP="00F055E2">
      <w:r>
        <w:t xml:space="preserve">Consumer spending has been a solid contributor to economic growth in recent years, underpinned by population and employment growth, low interest rates and rising household wealth. After expanding by 3.8 per cent in 2017-18, the highest increase in seven years, growth in household consumption is expected to moderate in 2018-19. This reflects the impact of slowing growth in population and household wealth, relatively modest wage growth, and high levels of household debt in a rising interest rate environment. </w:t>
      </w:r>
    </w:p>
    <w:p w:rsidR="004B6846" w:rsidRPr="00A0312E" w:rsidRDefault="004B6846" w:rsidP="00D474A4">
      <w:pPr>
        <w:tabs>
          <w:tab w:val="left" w:pos="1276"/>
        </w:tabs>
      </w:pPr>
      <w:r w:rsidRPr="00A0312E">
        <w:lastRenderedPageBreak/>
        <w:t>Dwelling investment has also risen strongly in recent years and activity in 2018</w:t>
      </w:r>
      <w:r w:rsidRPr="00A0312E">
        <w:noBreakHyphen/>
        <w:t xml:space="preserve">19 is forecast to remain at historically high levels. A large pipeline of residential construction work is expected to continue to support activity in the near term. However, a weakening in building approvals and investor demand, reflecting tighter credit conditions and lower house price expectations, points to a </w:t>
      </w:r>
      <w:r w:rsidRPr="00780DD7">
        <w:t>modest decline in the level of dwelling investment</w:t>
      </w:r>
      <w:r w:rsidRPr="00A0312E">
        <w:t xml:space="preserve"> into 2019. The short-term outlook for the residential property market remains a key source of uncertainty for dwelling investment and household consumption, particularly in light of recent declines in dwelling prices and housing market activity. Nonetheless, solid population growth should help support underlying demand for housing over the medium term. </w:t>
      </w:r>
    </w:p>
    <w:p w:rsidR="004B6846" w:rsidRDefault="004B6846" w:rsidP="00F055E2">
      <w:r w:rsidRPr="00A0312E">
        <w:t>All major</w:t>
      </w:r>
      <w:r>
        <w:t xml:space="preserve"> components of business investment rose in 2017</w:t>
      </w:r>
      <w:r>
        <w:noBreakHyphen/>
        <w:t>18, with overall investment growing by 9.7 per cent. Non-dwelling construction has been strong, especially the construction of office buildings, tourist accommodation and education facilities. The increase in investment is consistent with surveys indicating ongoing positive business conditions in Victoria and nationally.</w:t>
      </w:r>
      <w:r w:rsidRPr="00815BF4">
        <w:t xml:space="preserve"> Growth </w:t>
      </w:r>
      <w:r w:rsidRPr="00CE7782">
        <w:t xml:space="preserve">in business </w:t>
      </w:r>
      <w:r>
        <w:t xml:space="preserve">investment is expected to remain positive over the forecast horizon. </w:t>
      </w:r>
    </w:p>
    <w:p w:rsidR="004B6846" w:rsidRPr="00E27DFF" w:rsidRDefault="004B6846" w:rsidP="00F055E2">
      <w:pPr>
        <w:rPr>
          <w:color w:val="000000" w:themeColor="text1"/>
        </w:rPr>
      </w:pPr>
      <w:r w:rsidRPr="00E27DFF">
        <w:rPr>
          <w:color w:val="000000" w:themeColor="text1"/>
        </w:rPr>
        <w:t xml:space="preserve">The contribution to economic growth from public demand has also been strong, and </w:t>
      </w:r>
      <w:r>
        <w:rPr>
          <w:color w:val="000000" w:themeColor="text1"/>
        </w:rPr>
        <w:t xml:space="preserve">this is expected to continue in </w:t>
      </w:r>
      <w:r w:rsidRPr="00E27DFF">
        <w:rPr>
          <w:color w:val="000000" w:themeColor="text1"/>
        </w:rPr>
        <w:t>2018-19. Public investment is forecast to remain at high levels</w:t>
      </w:r>
      <w:r>
        <w:rPr>
          <w:color w:val="000000" w:themeColor="text1"/>
        </w:rPr>
        <w:t xml:space="preserve">, supported by the Government’s large pipeline of infrastructure spending. </w:t>
      </w:r>
    </w:p>
    <w:p w:rsidR="004B6846" w:rsidRDefault="004B6846" w:rsidP="00F055E2">
      <w:r w:rsidRPr="00E27DFF">
        <w:rPr>
          <w:color w:val="000000" w:themeColor="text1"/>
        </w:rPr>
        <w:t>Exports of goods and services rose</w:t>
      </w:r>
      <w:r>
        <w:rPr>
          <w:color w:val="000000" w:themeColor="text1"/>
        </w:rPr>
        <w:t xml:space="preserve"> </w:t>
      </w:r>
      <w:r>
        <w:t>in 2017</w:t>
      </w:r>
      <w:r>
        <w:noBreakHyphen/>
        <w:t>18, although at a slower pace than imports; growth in merchandise imports was particularly strong, consistent with the strength in consumer spending and business investment. Looking forward, the contribution from net exports is anticipated to improve in 2018</w:t>
      </w:r>
      <w:r>
        <w:noBreakHyphen/>
        <w:t xml:space="preserve">19, as merchandise import growth moderates and exports remain solid. The global economic </w:t>
      </w:r>
      <w:r w:rsidRPr="00F85ED5">
        <w:t xml:space="preserve">backdrop is expected to remain positive </w:t>
      </w:r>
      <w:r>
        <w:t xml:space="preserve">in the near term, while the depreciation of the Australian dollar should also support export growth. </w:t>
      </w:r>
    </w:p>
    <w:p w:rsidR="004B6846" w:rsidRPr="006D488A" w:rsidRDefault="004B6846" w:rsidP="00F055E2">
      <w:r>
        <w:t>Overall, the economic outlook for Victoria remains positive. Following forecast growth of 3.0 per cent in 2018</w:t>
      </w:r>
      <w:r>
        <w:noBreakHyphen/>
        <w:t xml:space="preserve">19, real GSP growth is expected to return to its trend rate of around 2.75 per cent per annum from 2019-20. </w:t>
      </w:r>
    </w:p>
    <w:p w:rsidR="004B6846" w:rsidRDefault="004B6846" w:rsidP="00F055E2">
      <w:pPr>
        <w:pStyle w:val="Heading20"/>
      </w:pPr>
      <w:r>
        <w:t>Labour market</w:t>
      </w:r>
    </w:p>
    <w:p w:rsidR="004B6846" w:rsidRDefault="004B6846" w:rsidP="00567773">
      <w:r>
        <w:t xml:space="preserve">Victoria’s labour market has been strong in recent years, with solid gains in employment, record rates of labour force participation and a declining unemployment rate. Employment rose </w:t>
      </w:r>
      <w:r w:rsidRPr="0041071B">
        <w:t>by 2.7 per cent in 2017</w:t>
      </w:r>
      <w:r w:rsidRPr="0041071B">
        <w:noBreakHyphen/>
        <w:t>18</w:t>
      </w:r>
      <w:r>
        <w:t>, its fourth year of above-trend growth, supporting a decline in the u</w:t>
      </w:r>
      <w:r w:rsidRPr="0041071B">
        <w:t xml:space="preserve">nemployment rate </w:t>
      </w:r>
      <w:r>
        <w:t xml:space="preserve">to </w:t>
      </w:r>
      <w:r w:rsidRPr="0041071B">
        <w:t>5.6 per cent</w:t>
      </w:r>
      <w:r>
        <w:t xml:space="preserve"> on average over the year. </w:t>
      </w:r>
      <w:r w:rsidRPr="00450871">
        <w:t xml:space="preserve">By industry, </w:t>
      </w:r>
      <w:r>
        <w:t>employment growth was particularly strong</w:t>
      </w:r>
      <w:r w:rsidRPr="00450871">
        <w:t xml:space="preserve"> in construction, professional, scientific and technical services, retail trade, and accommodation and food services.</w:t>
      </w:r>
    </w:p>
    <w:p w:rsidR="004B6846" w:rsidRDefault="004B6846" w:rsidP="00D334A1">
      <w:r>
        <w:t>The positive momentum has continued into 2018</w:t>
      </w:r>
      <w:r>
        <w:noBreakHyphen/>
        <w:t xml:space="preserve">19, with the latest data showing employment growth of 2.9 per cent over the year to October 2018 and an unemployment rate of 4.5 per cent. Since the start of 2018, the unemployment rate has declined by 1.6 percentage points. </w:t>
      </w:r>
    </w:p>
    <w:p w:rsidR="004B6846" w:rsidRDefault="004B6846" w:rsidP="00D334A1">
      <w:r>
        <w:t>L</w:t>
      </w:r>
      <w:r w:rsidRPr="00E11F9C">
        <w:t xml:space="preserve">abour market </w:t>
      </w:r>
      <w:r>
        <w:t>c</w:t>
      </w:r>
      <w:r w:rsidRPr="00E11F9C">
        <w:t xml:space="preserve">onditions are </w:t>
      </w:r>
      <w:r>
        <w:t>expected</w:t>
      </w:r>
      <w:r w:rsidRPr="00E11F9C">
        <w:t xml:space="preserve"> to remain solid, consistent with </w:t>
      </w:r>
      <w:r>
        <w:t>leading</w:t>
      </w:r>
      <w:r w:rsidRPr="00E11F9C">
        <w:t xml:space="preserve"> indicators of labour demand. Employment is forecast to rise by 2.5 per cent in 2018</w:t>
      </w:r>
      <w:r w:rsidRPr="00E11F9C">
        <w:noBreakHyphen/>
        <w:t xml:space="preserve">19 and </w:t>
      </w:r>
      <w:r>
        <w:t xml:space="preserve">by </w:t>
      </w:r>
      <w:r w:rsidRPr="00E11F9C">
        <w:t xml:space="preserve">2.0 per cent in 2019-20. The unemployment rate is </w:t>
      </w:r>
      <w:r>
        <w:t>expected</w:t>
      </w:r>
      <w:r w:rsidRPr="00E11F9C">
        <w:t xml:space="preserve"> to average 4.75 per cent in </w:t>
      </w:r>
      <w:r>
        <w:t xml:space="preserve">year-average terms in </w:t>
      </w:r>
      <w:r w:rsidRPr="00E11F9C">
        <w:t>2018</w:t>
      </w:r>
      <w:r w:rsidRPr="00E11F9C">
        <w:noBreakHyphen/>
        <w:t xml:space="preserve">19, </w:t>
      </w:r>
      <w:r>
        <w:t xml:space="preserve">which would represent an 11-year low. </w:t>
      </w:r>
    </w:p>
    <w:p w:rsidR="004B6846" w:rsidRDefault="004B6846" w:rsidP="00F055E2">
      <w:pPr>
        <w:pStyle w:val="Heading20"/>
      </w:pPr>
      <w:r>
        <w:lastRenderedPageBreak/>
        <w:t>Prices and wages</w:t>
      </w:r>
    </w:p>
    <w:p w:rsidR="004B6846" w:rsidRDefault="004B6846" w:rsidP="00F055E2">
      <w:r>
        <w:t>The Melbourne consumer price index increased by 2.3 per cent</w:t>
      </w:r>
      <w:r w:rsidRPr="00D76587">
        <w:t xml:space="preserve"> </w:t>
      </w:r>
      <w:r>
        <w:t>in 2017</w:t>
      </w:r>
      <w:r>
        <w:noBreakHyphen/>
        <w:t>18, and is forecast to remain around 2.25 per </w:t>
      </w:r>
      <w:r w:rsidRPr="00A70349">
        <w:t xml:space="preserve">cent in </w:t>
      </w:r>
      <w:r>
        <w:t>2018</w:t>
      </w:r>
      <w:r>
        <w:noBreakHyphen/>
      </w:r>
      <w:r w:rsidRPr="00A70349">
        <w:t>19</w:t>
      </w:r>
      <w:r>
        <w:t xml:space="preserve">. This is a small downward revision from the </w:t>
      </w:r>
      <w:r w:rsidRPr="003D6D07">
        <w:rPr>
          <w:i/>
        </w:rPr>
        <w:t>2018</w:t>
      </w:r>
      <w:r>
        <w:rPr>
          <w:i/>
        </w:rPr>
        <w:t xml:space="preserve"> Pre-Election Budget Update</w:t>
      </w:r>
      <w:r w:rsidRPr="00E800BC">
        <w:t xml:space="preserve"> </w:t>
      </w:r>
      <w:r>
        <w:t>estimate of 2.5 per cent, reflecting low i</w:t>
      </w:r>
      <w:r w:rsidRPr="00A70349">
        <w:t>nflationary pressures in the first quarter of the financial year. Inf</w:t>
      </w:r>
      <w:r>
        <w:t>lation is forecast to reach 2.5 </w:t>
      </w:r>
      <w:r w:rsidRPr="00A70349">
        <w:t>per</w:t>
      </w:r>
      <w:r>
        <w:t> cent in 2019</w:t>
      </w:r>
      <w:r>
        <w:noBreakHyphen/>
        <w:t>20,</w:t>
      </w:r>
      <w:r w:rsidRPr="00A70349">
        <w:t xml:space="preserve"> the middle of the Reserve Bank of Australia’s 2</w:t>
      </w:r>
      <w:r>
        <w:noBreakHyphen/>
      </w:r>
      <w:r w:rsidRPr="00A70349">
        <w:t>3</w:t>
      </w:r>
      <w:r>
        <w:t> </w:t>
      </w:r>
      <w:r w:rsidRPr="00A70349">
        <w:t>per</w:t>
      </w:r>
      <w:r>
        <w:t> </w:t>
      </w:r>
      <w:r w:rsidRPr="00A70349">
        <w:t xml:space="preserve">cent target band. </w:t>
      </w:r>
    </w:p>
    <w:p w:rsidR="004B6846" w:rsidRDefault="004B6846" w:rsidP="00F055E2">
      <w:r>
        <w:t xml:space="preserve">Wage growth across Australia and in Victoria has remained subdued despite the decline in the unemployment rate over the past few years. In part, this reflects the strong growth in labour supply in Victoria. However, as this growth moderates, and with labour demand anticipated to remain relatively strong, wage growth is expected to increase gradually over the forecast horizon. Overall, wages are forecast to increase </w:t>
      </w:r>
      <w:r w:rsidRPr="00580050">
        <w:t>by 2.75 per cent in</w:t>
      </w:r>
      <w:r>
        <w:t xml:space="preserve"> </w:t>
      </w:r>
      <w:r w:rsidRPr="00580050">
        <w:t>2018</w:t>
      </w:r>
      <w:r>
        <w:noBreakHyphen/>
        <w:t>19, up from 2.3 per cent in 2017</w:t>
      </w:r>
      <w:r>
        <w:noBreakHyphen/>
        <w:t xml:space="preserve">18. </w:t>
      </w:r>
    </w:p>
    <w:p w:rsidR="004B6846" w:rsidRPr="00633A7B" w:rsidRDefault="004B6846" w:rsidP="00497BC3">
      <w:pPr>
        <w:keepNext/>
        <w:numPr>
          <w:ilvl w:val="1"/>
          <w:numId w:val="0"/>
        </w:numPr>
        <w:tabs>
          <w:tab w:val="right" w:pos="9582"/>
        </w:tabs>
        <w:spacing w:before="240"/>
        <w:outlineLvl w:val="1"/>
        <w:rPr>
          <w:rFonts w:asciiTheme="majorHAnsi" w:eastAsiaTheme="majorEastAsia" w:hAnsiTheme="majorHAnsi" w:cstheme="majorBidi"/>
          <w:b/>
          <w:spacing w:val="-2"/>
          <w:sz w:val="26"/>
          <w:szCs w:val="26"/>
        </w:rPr>
      </w:pPr>
      <w:r w:rsidRPr="00633A7B">
        <w:rPr>
          <w:rFonts w:asciiTheme="majorHAnsi" w:eastAsiaTheme="majorEastAsia" w:hAnsiTheme="majorHAnsi" w:cstheme="majorBidi"/>
          <w:b/>
          <w:spacing w:val="-2"/>
          <w:sz w:val="26"/>
          <w:szCs w:val="26"/>
        </w:rPr>
        <w:t>Population</w:t>
      </w:r>
    </w:p>
    <w:p w:rsidR="004B6846" w:rsidRPr="00633A7B" w:rsidRDefault="004B6846" w:rsidP="00497BC3">
      <w:r w:rsidRPr="00633A7B">
        <w:t xml:space="preserve">Victoria’s population growth has been strong in recent years, driven by high levels of both net overseas and interstate migration. In the year to the March quarter 2018, Victoria’s population grew by 2.2 per cent, compared to 1.6 per cent for Australia as a whole. The increased levels of migration – interstate migration in particular – reflect Victoria’s economic performance </w:t>
      </w:r>
      <w:r>
        <w:t>in</w:t>
      </w:r>
      <w:r w:rsidRPr="00633A7B">
        <w:t xml:space="preserve"> recent years. However, with economic conditions continuing to normalise between the mining and non-mining states, migration levels are expected to moderate. Population growth is forecast to be 2.1 per cent in 2018</w:t>
      </w:r>
      <w:r w:rsidRPr="00633A7B">
        <w:noBreakHyphen/>
        <w:t xml:space="preserve">19. </w:t>
      </w:r>
    </w:p>
    <w:p w:rsidR="004B6846" w:rsidRDefault="00CB74DA" w:rsidP="00CB74DA">
      <w:pPr>
        <w:pStyle w:val="Heading10"/>
      </w:pPr>
      <w:bookmarkStart w:id="9" w:name="_Toc531884945"/>
      <w:r>
        <w:t>Australian economic conditions and outlook</w:t>
      </w:r>
      <w:bookmarkEnd w:id="9"/>
    </w:p>
    <w:p w:rsidR="004B6846" w:rsidRPr="00983E52" w:rsidRDefault="004B6846" w:rsidP="00F055E2">
      <w:r w:rsidRPr="00983E52">
        <w:t xml:space="preserve">Australian economic conditions have improved over the past year, supported by low interest rates and </w:t>
      </w:r>
      <w:r>
        <w:t xml:space="preserve">the </w:t>
      </w:r>
      <w:r w:rsidRPr="00983E52">
        <w:t>ongoing strength in the global economy. G</w:t>
      </w:r>
      <w:r>
        <w:t>DP grew by 2.8 per cent in 2017</w:t>
      </w:r>
      <w:r>
        <w:noBreakHyphen/>
      </w:r>
      <w:r w:rsidRPr="00983E52">
        <w:t xml:space="preserve">18 and 3.4 per cent through the year to the June quarter 2018, </w:t>
      </w:r>
      <w:r>
        <w:t>pointing to</w:t>
      </w:r>
      <w:r w:rsidRPr="00983E52">
        <w:t xml:space="preserve"> increased momentum in the first half of 2018. Business conditions are pos</w:t>
      </w:r>
      <w:r>
        <w:t>itive, supporting growth in non</w:t>
      </w:r>
      <w:r>
        <w:noBreakHyphen/>
      </w:r>
      <w:r w:rsidRPr="00983E52">
        <w:t>mining invest</w:t>
      </w:r>
      <w:r>
        <w:t xml:space="preserve">ment, while public demand is also </w:t>
      </w:r>
      <w:r w:rsidRPr="00983E52">
        <w:t>underpinning activity. The</w:t>
      </w:r>
      <w:r>
        <w:t xml:space="preserve"> </w:t>
      </w:r>
      <w:r w:rsidRPr="00983E52">
        <w:t>positive global economic backdrop is boosting exports, with resour</w:t>
      </w:r>
      <w:r>
        <w:t xml:space="preserve">ce exports particularly strong. </w:t>
      </w:r>
    </w:p>
    <w:p w:rsidR="004B6846" w:rsidRDefault="004B6846" w:rsidP="00F055E2">
      <w:r>
        <w:t>S</w:t>
      </w:r>
      <w:r w:rsidRPr="00983E52">
        <w:t xml:space="preserve">olid growth </w:t>
      </w:r>
      <w:r>
        <w:t xml:space="preserve">is </w:t>
      </w:r>
      <w:r w:rsidRPr="00983E52">
        <w:t>expected in non-rural exports, business investment, consumer spending and public infrastructure investment</w:t>
      </w:r>
      <w:r>
        <w:t xml:space="preserve">. In its </w:t>
      </w:r>
      <w:r w:rsidRPr="002522DB">
        <w:rPr>
          <w:i/>
        </w:rPr>
        <w:t>2018</w:t>
      </w:r>
      <w:r>
        <w:rPr>
          <w:i/>
        </w:rPr>
        <w:noBreakHyphen/>
      </w:r>
      <w:r w:rsidRPr="002522DB">
        <w:rPr>
          <w:i/>
        </w:rPr>
        <w:t>19 Budget</w:t>
      </w:r>
      <w:r w:rsidRPr="00983E52">
        <w:t xml:space="preserve">, the Commonwealth Treasury forecast GDP </w:t>
      </w:r>
      <w:r>
        <w:t>growth of 3.0 per cent in 2018</w:t>
      </w:r>
      <w:r>
        <w:noBreakHyphen/>
      </w:r>
      <w:r w:rsidRPr="00983E52">
        <w:t xml:space="preserve">19. This </w:t>
      </w:r>
      <w:r>
        <w:t>underpins</w:t>
      </w:r>
      <w:r w:rsidRPr="00983E52">
        <w:t xml:space="preserve"> a further rise in </w:t>
      </w:r>
      <w:r>
        <w:t xml:space="preserve">the forecast for </w:t>
      </w:r>
      <w:r w:rsidRPr="00983E52">
        <w:t xml:space="preserve">employment, taking the </w:t>
      </w:r>
      <w:r>
        <w:t xml:space="preserve">national </w:t>
      </w:r>
      <w:r w:rsidRPr="00983E52">
        <w:t xml:space="preserve">unemployment rate to a forecast average of 5.25 per cent </w:t>
      </w:r>
      <w:r>
        <w:t>in the June quarter 2019, from 5.5 per cent in 2017</w:t>
      </w:r>
      <w:r>
        <w:noBreakHyphen/>
      </w:r>
      <w:r w:rsidRPr="00983E52">
        <w:t xml:space="preserve">18. </w:t>
      </w:r>
    </w:p>
    <w:p w:rsidR="004B6846" w:rsidRPr="00983E52" w:rsidRDefault="004B6846" w:rsidP="00F055E2">
      <w:r w:rsidRPr="00983E52">
        <w:t>It is anticipated the continued labour market improvement will produce a gradual increase in wage growth and inflation pressures over the next couple of years.</w:t>
      </w:r>
      <w:r>
        <w:t xml:space="preserve"> </w:t>
      </w:r>
    </w:p>
    <w:p w:rsidR="004B6846" w:rsidRPr="00422927" w:rsidRDefault="004B6846" w:rsidP="00F055E2">
      <w:pPr>
        <w:pStyle w:val="Heading10"/>
      </w:pPr>
      <w:bookmarkStart w:id="10" w:name="_Toc531884946"/>
      <w:r w:rsidRPr="00422927">
        <w:lastRenderedPageBreak/>
        <w:t>International economic conditions and outlook</w:t>
      </w:r>
      <w:bookmarkEnd w:id="10"/>
    </w:p>
    <w:p w:rsidR="004B6846" w:rsidRDefault="004B6846" w:rsidP="00F055E2">
      <w:r>
        <w:t xml:space="preserve">The global economy is continuing to expand at a solid pace, with above-trend growth in </w:t>
      </w:r>
      <w:r w:rsidRPr="00621D2E">
        <w:t>key</w:t>
      </w:r>
      <w:r>
        <w:t xml:space="preserve"> advanced economies. According to the International Monetary Fund’s (</w:t>
      </w:r>
      <w:r w:rsidRPr="003443E4">
        <w:t>IMF)</w:t>
      </w:r>
      <w:r>
        <w:t xml:space="preserve"> October 2018 </w:t>
      </w:r>
      <w:r w:rsidRPr="0005673D">
        <w:rPr>
          <w:i/>
        </w:rPr>
        <w:t>World Economic Outlook</w:t>
      </w:r>
      <w:r>
        <w:t xml:space="preserve">, global growth is projected to </w:t>
      </w:r>
      <w:r w:rsidRPr="00D24263">
        <w:t>remain at 3.7 per cent in both 2018 and 2019, the same rate recorded in 2017. This is a small downward revision from the IMF’s previous estimate of 3.9 per cent for both years.</w:t>
      </w:r>
      <w:r>
        <w:t xml:space="preserve"> </w:t>
      </w:r>
    </w:p>
    <w:p w:rsidR="004B6846" w:rsidRPr="00983E52" w:rsidRDefault="004B6846" w:rsidP="00F055E2">
      <w:r w:rsidRPr="00983E52">
        <w:t xml:space="preserve">Economic growth in the United States is strong, supported by a sizeable fiscal stimulus, and the unemployment rate has fallen </w:t>
      </w:r>
      <w:r>
        <w:t>below 4 per cent</w:t>
      </w:r>
      <w:r w:rsidRPr="00983E52">
        <w:t xml:space="preserve">. While near-term momentum remains </w:t>
      </w:r>
      <w:r>
        <w:t>positive</w:t>
      </w:r>
      <w:r w:rsidRPr="00983E52">
        <w:t>, growth is expected to ease as financial</w:t>
      </w:r>
      <w:r>
        <w:t xml:space="preserve"> conditions continue to </w:t>
      </w:r>
      <w:r w:rsidRPr="00A8740E">
        <w:t xml:space="preserve">tighten and as the economy faces increased capacity constraints. </w:t>
      </w:r>
      <w:r>
        <w:t>Economic conditions</w:t>
      </w:r>
      <w:r w:rsidRPr="00983E52">
        <w:t xml:space="preserve"> in Asia </w:t>
      </w:r>
      <w:r>
        <w:t>are</w:t>
      </w:r>
      <w:r w:rsidRPr="00983E52">
        <w:t xml:space="preserve"> strong, notwithstanding some further moderation in</w:t>
      </w:r>
      <w:r>
        <w:t xml:space="preserve"> </w:t>
      </w:r>
      <w:r w:rsidRPr="00983E52">
        <w:t xml:space="preserve">Chinese </w:t>
      </w:r>
      <w:r w:rsidRPr="00917986">
        <w:t>growth</w:t>
      </w:r>
      <w:r w:rsidRPr="00983E52">
        <w:t>, which the IMF forecasts will continue into 2019.</w:t>
      </w:r>
    </w:p>
    <w:p w:rsidR="004B6846" w:rsidRPr="00EA34A2" w:rsidRDefault="004B6846" w:rsidP="00F055E2">
      <w:r w:rsidRPr="00EA34A2">
        <w:t>Despite the current global strength, the IMF cautions that the global expansion is becom</w:t>
      </w:r>
      <w:r>
        <w:t>ing</w:t>
      </w:r>
      <w:r w:rsidRPr="00EA34A2">
        <w:t xml:space="preserve"> less even, and that </w:t>
      </w:r>
      <w:r>
        <w:t xml:space="preserve">downside </w:t>
      </w:r>
      <w:r w:rsidRPr="00EA34A2">
        <w:t xml:space="preserve">risks to the outlook are growing. These risks include growing trade protectionism and rising </w:t>
      </w:r>
      <w:r>
        <w:t xml:space="preserve">United States </w:t>
      </w:r>
      <w:r w:rsidRPr="00EA34A2">
        <w:t xml:space="preserve">interest rates. </w:t>
      </w:r>
    </w:p>
    <w:p w:rsidR="004B6846" w:rsidRPr="00422927" w:rsidRDefault="00385A22" w:rsidP="00F055E2">
      <w:pPr>
        <w:pStyle w:val="Heading10"/>
      </w:pPr>
      <w:bookmarkStart w:id="11" w:name="_Toc531884947"/>
      <w:bookmarkStart w:id="12" w:name="_Hlk528583589"/>
      <w:r>
        <w:t>R</w:t>
      </w:r>
      <w:r w:rsidR="004B6846">
        <w:t>isks to the o</w:t>
      </w:r>
      <w:r w:rsidR="004B6846" w:rsidRPr="00422927">
        <w:t>utlook</w:t>
      </w:r>
      <w:bookmarkEnd w:id="11"/>
    </w:p>
    <w:p w:rsidR="004B6846" w:rsidRDefault="004B6846" w:rsidP="0043401A">
      <w:r w:rsidRPr="00A12467">
        <w:t>The risks to Victoria’s economic outlook are balanced</w:t>
      </w:r>
      <w:r>
        <w:t xml:space="preserve"> and unchanged from </w:t>
      </w:r>
      <w:r w:rsidRPr="002B127D">
        <w:rPr>
          <w:i/>
        </w:rPr>
        <w:t>2018 Pre</w:t>
      </w:r>
      <w:r w:rsidRPr="002B127D">
        <w:rPr>
          <w:i/>
        </w:rPr>
        <w:noBreakHyphen/>
        <w:t>Election Budget Update</w:t>
      </w:r>
      <w:r w:rsidRPr="00A12467">
        <w:t>.</w:t>
      </w:r>
      <w:r>
        <w:t xml:space="preserve"> See Appendix D </w:t>
      </w:r>
      <w:r w:rsidRPr="002B127D">
        <w:rPr>
          <w:i/>
        </w:rPr>
        <w:t>Sensitivity Analysis</w:t>
      </w:r>
      <w:r>
        <w:t xml:space="preserve"> for an assessment of the impact from some of these risks.</w:t>
      </w:r>
      <w:r w:rsidRPr="00A12467">
        <w:t xml:space="preserve"> On the upside, </w:t>
      </w:r>
      <w:r>
        <w:t>while the outlook is for economic growth to moderate to around trend rates as Victoria’s economic cycle matures, the economy retains significant momentum, particularly in the labour market, and may remain stronger for longer than currently envisaged. A</w:t>
      </w:r>
      <w:r w:rsidRPr="00A12467">
        <w:t xml:space="preserve"> faster than expected recovery in wages combined with favourable employment conditions would support consumption growth in the near term. Persistent strength in population growth or a higher participation rate could lead to higher employment and GSP growth. </w:t>
      </w:r>
    </w:p>
    <w:p w:rsidR="004B6846" w:rsidRPr="00A12467" w:rsidRDefault="004B6846" w:rsidP="0043401A">
      <w:r w:rsidRPr="00A12467">
        <w:t xml:space="preserve">On the downside, </w:t>
      </w:r>
      <w:r>
        <w:t xml:space="preserve">the current, orderly adjustment in Victoria’s residential property market could prove deeper than is currently factored into the forecasts. There is a risk that sentiment in the market may weaken more significantly, particularly if domestic credit conditions tighten further, or if accompanied by an external shock, such as higher than anticipated global interest rates (as discussed below). </w:t>
      </w:r>
      <w:r w:rsidRPr="00A12467">
        <w:t xml:space="preserve">A </w:t>
      </w:r>
      <w:r>
        <w:t>weaker</w:t>
      </w:r>
      <w:r w:rsidRPr="00A12467">
        <w:t xml:space="preserve"> housing market could lead to </w:t>
      </w:r>
      <w:r>
        <w:t>softer</w:t>
      </w:r>
      <w:r w:rsidRPr="00A12467">
        <w:t xml:space="preserve"> household sentiment, lower consumption</w:t>
      </w:r>
      <w:r>
        <w:t xml:space="preserve"> and dwelling investment,</w:t>
      </w:r>
      <w:r w:rsidRPr="00A12467">
        <w:t xml:space="preserve"> and slower growth in employment, wages and real GSP. </w:t>
      </w:r>
    </w:p>
    <w:p w:rsidR="004B6846" w:rsidRDefault="004B6846" w:rsidP="0043401A">
      <w:r w:rsidRPr="007721EA">
        <w:t xml:space="preserve">Global risks are tilted to the downside, with key threats relating to </w:t>
      </w:r>
      <w:r w:rsidRPr="009E2561">
        <w:t xml:space="preserve">the risk of </w:t>
      </w:r>
      <w:r>
        <w:t xml:space="preserve">a larger than expected increase in United States interest rates or </w:t>
      </w:r>
      <w:r w:rsidRPr="007721EA">
        <w:t>rising trade protectionist sentiment impact</w:t>
      </w:r>
      <w:r>
        <w:t>ing</w:t>
      </w:r>
      <w:r w:rsidRPr="007721EA">
        <w:t xml:space="preserve"> on global growth</w:t>
      </w:r>
      <w:r w:rsidRPr="00A12467">
        <w:t xml:space="preserve">. </w:t>
      </w:r>
      <w:r>
        <w:t>The heightened sense of uncertainty around these risks has been reflected in volatility in financial markets recently, particularly equity markets, which in itself may impact the Victorian economy.</w:t>
      </w:r>
      <w:r w:rsidRPr="00A12467">
        <w:t xml:space="preserve"> </w:t>
      </w:r>
    </w:p>
    <w:bookmarkEnd w:id="12"/>
    <w:p w:rsidR="004B6846" w:rsidRDefault="004B6846">
      <w:pPr>
        <w:keepLines w:val="0"/>
      </w:pPr>
      <w:r>
        <w:br w:type="page"/>
      </w:r>
    </w:p>
    <w:p w:rsidR="00601784" w:rsidRDefault="00601784">
      <w:pPr>
        <w:keepLines w:val="0"/>
      </w:pPr>
    </w:p>
    <w:p w:rsidR="004B6846" w:rsidRDefault="004B6846" w:rsidP="004B6846">
      <w:pPr>
        <w:pStyle w:val="Heading10"/>
        <w:sectPr w:rsidR="004B6846" w:rsidSect="00CC0EB7">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850" w:right="1134" w:bottom="850" w:left="1134" w:header="624" w:footer="567" w:gutter="0"/>
          <w:cols w:sep="1" w:space="567"/>
          <w:docGrid w:linePitch="360"/>
        </w:sectPr>
      </w:pPr>
    </w:p>
    <w:p w:rsidR="004B6846" w:rsidRDefault="004B6846" w:rsidP="000C43CD">
      <w:pPr>
        <w:pStyle w:val="Chapterheading"/>
      </w:pPr>
      <w:bookmarkStart w:id="13" w:name="_Toc531884948"/>
      <w:r>
        <w:lastRenderedPageBreak/>
        <w:t>Chapter 3 – Budget position and outlook</w:t>
      </w:r>
      <w:bookmarkEnd w:id="13"/>
    </w:p>
    <w:p w:rsidR="004B6846" w:rsidRDefault="004B6846" w:rsidP="00B353C6">
      <w:pPr>
        <w:pStyle w:val="HighlightBoxBullet"/>
      </w:pPr>
      <w:r>
        <w:t>The general government sector operating surplus is estimated to be $2.2</w:t>
      </w:r>
      <w:r w:rsidRPr="006341FF">
        <w:t> billion</w:t>
      </w:r>
      <w:r>
        <w:t xml:space="preserve"> in 2018</w:t>
      </w:r>
      <w:r>
        <w:noBreakHyphen/>
        <w:t>19 and average $2.5</w:t>
      </w:r>
      <w:r w:rsidRPr="006341FF">
        <w:t> billion</w:t>
      </w:r>
      <w:r>
        <w:t xml:space="preserve"> across the forward estimates.</w:t>
      </w:r>
    </w:p>
    <w:p w:rsidR="004B6846" w:rsidRDefault="004B6846" w:rsidP="00B353C6">
      <w:pPr>
        <w:pStyle w:val="HighlightBoxBullet"/>
      </w:pPr>
      <w:r>
        <w:t>Government infrastructure investment is projected to average $10.6</w:t>
      </w:r>
      <w:r w:rsidRPr="006341FF">
        <w:t> billion</w:t>
      </w:r>
      <w:r>
        <w:t xml:space="preserve"> a year over the budget and forward estimates.</w:t>
      </w:r>
    </w:p>
    <w:p w:rsidR="004B6846" w:rsidRDefault="004B6846" w:rsidP="00B353C6">
      <w:pPr>
        <w:pStyle w:val="HighlightBoxBullet"/>
      </w:pPr>
      <w:r>
        <w:t>Net debt is expected to be 6.0</w:t>
      </w:r>
      <w:r w:rsidRPr="006341FF">
        <w:t> per cent</w:t>
      </w:r>
      <w:r>
        <w:t xml:space="preserve"> of gross state product (GSP) by June 2021,</w:t>
      </w:r>
      <w:r w:rsidR="00BA2EEF">
        <w:t xml:space="preserve"> and </w:t>
      </w:r>
      <w:r w:rsidRPr="008252DC">
        <w:t>remain at that level in 2021-22</w:t>
      </w:r>
      <w:r>
        <w:t>.</w:t>
      </w:r>
    </w:p>
    <w:p w:rsidR="004B6846" w:rsidRDefault="004B6846" w:rsidP="00B353C6">
      <w:pPr>
        <w:pStyle w:val="HighlightBoxBullet"/>
      </w:pPr>
      <w:r>
        <w:t>Revenue growth is expected to average 4.1</w:t>
      </w:r>
      <w:r w:rsidRPr="006341FF">
        <w:t> per cent</w:t>
      </w:r>
      <w:r>
        <w:t xml:space="preserve"> a year over the budget and forward estimates, exceeding average expense growth of 4.0</w:t>
      </w:r>
      <w:r w:rsidRPr="006341FF">
        <w:t> per cent</w:t>
      </w:r>
      <w:r>
        <w:t xml:space="preserve"> a year.</w:t>
      </w:r>
    </w:p>
    <w:p w:rsidR="004B6846" w:rsidRDefault="004B6846" w:rsidP="00CC0EB7"/>
    <w:p w:rsidR="004B6846" w:rsidRDefault="004B6846" w:rsidP="00CC0EB7">
      <w:r>
        <w:t>This chapter presents the revised budget position of the Victorian public sector, incorporating the general government sector, the public non-financial corporations (PNFC) sector and the public financial corporations (PFC) sector for the budget year and forward estimates.</w:t>
      </w:r>
    </w:p>
    <w:p w:rsidR="004B6846" w:rsidRDefault="004B6846" w:rsidP="00CC0EB7">
      <w:r>
        <w:t xml:space="preserve">It </w:t>
      </w:r>
      <w:r w:rsidRPr="00C203E5">
        <w:t xml:space="preserve">takes into account the financial impacts as at </w:t>
      </w:r>
      <w:r>
        <w:t>30 November</w:t>
      </w:r>
      <w:r w:rsidRPr="00C203E5">
        <w:t xml:space="preserve"> 2018 of all decisions that affect the financial statements, unless otherwise stated.</w:t>
      </w:r>
    </w:p>
    <w:p w:rsidR="004B6846" w:rsidRDefault="004B6846" w:rsidP="00CC0EB7">
      <w:r>
        <w:t xml:space="preserve">This chapter also reconciles and explains any movements since the </w:t>
      </w:r>
      <w:r w:rsidRPr="00E37FF2">
        <w:rPr>
          <w:i/>
        </w:rPr>
        <w:t>2018 Pre-Election Budget Update</w:t>
      </w:r>
      <w:r>
        <w:t xml:space="preserve"> that affect the estimated net result from transactions.</w:t>
      </w:r>
    </w:p>
    <w:p w:rsidR="004B6846" w:rsidRPr="0055615D" w:rsidRDefault="004B6846" w:rsidP="00CC0EB7">
      <w:r w:rsidRPr="0055615D">
        <w:br w:type="page"/>
      </w:r>
    </w:p>
    <w:p w:rsidR="004B6846" w:rsidRDefault="00CB74DA" w:rsidP="00CB74DA">
      <w:pPr>
        <w:pStyle w:val="Heading10"/>
      </w:pPr>
      <w:bookmarkStart w:id="14" w:name="_Toc531884949"/>
      <w:r>
        <w:lastRenderedPageBreak/>
        <w:t>General government sector</w:t>
      </w:r>
      <w:bookmarkEnd w:id="14"/>
    </w:p>
    <w:p w:rsidR="004B6846" w:rsidRDefault="004B6846" w:rsidP="00CC0EB7">
      <w:pPr>
        <w:pStyle w:val="Heading20"/>
      </w:pPr>
      <w:r>
        <w:t>Overview</w:t>
      </w:r>
    </w:p>
    <w:p w:rsidR="004B6846" w:rsidRDefault="004B6846" w:rsidP="00CC0EB7">
      <w:r>
        <w:t>The operating result (net result from transactions) for the general government sector in 2018</w:t>
      </w:r>
      <w:r>
        <w:noBreakHyphen/>
        <w:t>19 is forecast to be a surplus of $2.2</w:t>
      </w:r>
      <w:r w:rsidRPr="006341FF">
        <w:t> billion</w:t>
      </w:r>
      <w:r>
        <w:t>, with annual operating surpluses averaging $2.5</w:t>
      </w:r>
      <w:r w:rsidRPr="006341FF">
        <w:t> billion</w:t>
      </w:r>
      <w:r>
        <w:t xml:space="preserve"> over the forward estimates (Table 3.1).</w:t>
      </w:r>
    </w:p>
    <w:p w:rsidR="004B6846" w:rsidRPr="006341FF" w:rsidRDefault="004B6846" w:rsidP="00CC0EB7">
      <w:r>
        <w:t>Revenue growth is expected to average 4.1</w:t>
      </w:r>
      <w:r w:rsidRPr="006341FF">
        <w:t> per cent</w:t>
      </w:r>
      <w:r>
        <w:t xml:space="preserve"> a year over the budget and forward estimates, compared to average expense growth of 4.0</w:t>
      </w:r>
      <w:r w:rsidRPr="006341FF">
        <w:t> per cent</w:t>
      </w:r>
      <w:r>
        <w:t xml:space="preserve"> a year.</w:t>
      </w:r>
    </w:p>
    <w:p w:rsidR="004B6846" w:rsidRPr="00C34C81" w:rsidRDefault="004B6846" w:rsidP="00CC0EB7">
      <w:pPr>
        <w:pStyle w:val="TableHeading"/>
        <w:rPr>
          <w:bCs/>
          <w:lang w:val="en-US"/>
        </w:rPr>
      </w:pPr>
      <w:r w:rsidRPr="006341FF">
        <w:t xml:space="preserve">Table </w:t>
      </w:r>
      <w:r>
        <w:t>3</w:t>
      </w:r>
      <w:r w:rsidRPr="006341FF">
        <w:t xml:space="preserve">.1: </w:t>
      </w:r>
      <w:r w:rsidRPr="006341FF">
        <w:tab/>
        <w:t>General government fiscal aggregates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3517"/>
        <w:gridCol w:w="850"/>
        <w:gridCol w:w="850"/>
        <w:gridCol w:w="850"/>
        <w:gridCol w:w="850"/>
        <w:gridCol w:w="850"/>
      </w:tblGrid>
      <w:tr w:rsidR="00CC0EB7" w:rsidRPr="00C34C81" w:rsidTr="00CC0EB7">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517" w:type="dxa"/>
            <w:tcBorders>
              <w:top w:val="nil"/>
              <w:left w:val="nil"/>
              <w:right w:val="nil"/>
            </w:tcBorders>
            <w:shd w:val="solid" w:color="000000" w:fill="FFFFFF"/>
          </w:tcPr>
          <w:p w:rsidR="00CC0EB7" w:rsidRPr="00C34C81" w:rsidRDefault="00CC0EB7" w:rsidP="00CC0EB7">
            <w:pPr>
              <w:autoSpaceDE w:val="0"/>
              <w:autoSpaceDN w:val="0"/>
              <w:adjustRightInd w:val="0"/>
              <w:rPr>
                <w:rFonts w:eastAsiaTheme="minorEastAsia" w:cstheme="majorHAnsi"/>
                <w:color w:val="000000"/>
                <w:lang w:eastAsia="en-AU"/>
              </w:rPr>
            </w:pPr>
            <w:r w:rsidRPr="00C34C81">
              <w:rPr>
                <w:rFonts w:eastAsiaTheme="minorEastAsia" w:cstheme="majorHAnsi"/>
                <w:color w:val="000000"/>
                <w:lang w:eastAsia="en-AU"/>
              </w:rPr>
              <w:t xml:space="preserve">  </w:t>
            </w:r>
          </w:p>
        </w:tc>
        <w:tc>
          <w:tcPr>
            <w:tcW w:w="850" w:type="dxa"/>
            <w:tcBorders>
              <w:top w:val="nil"/>
              <w:left w:val="nil"/>
              <w:right w:val="nil"/>
            </w:tcBorders>
            <w:shd w:val="solid" w:color="000000" w:fill="FFFFFF"/>
          </w:tcPr>
          <w:p w:rsidR="00CC0EB7" w:rsidRPr="00C34C81" w:rsidRDefault="00CC0EB7"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C34C81">
              <w:rPr>
                <w:rFonts w:eastAsiaTheme="minorEastAsia" w:cstheme="majorHAnsi"/>
                <w:iCs/>
                <w:color w:val="FFFFFF"/>
                <w:szCs w:val="18"/>
                <w:lang w:eastAsia="en-AU"/>
              </w:rPr>
              <w:t>Unit of</w:t>
            </w:r>
            <w:r>
              <w:rPr>
                <w:rFonts w:eastAsiaTheme="minorEastAsia" w:cstheme="majorHAnsi"/>
                <w:iCs/>
                <w:color w:val="FFFFFF"/>
                <w:szCs w:val="18"/>
                <w:lang w:eastAsia="en-AU"/>
              </w:rPr>
              <w:br/>
            </w:r>
            <w:r w:rsidRPr="00C34C81">
              <w:rPr>
                <w:rFonts w:eastAsiaTheme="minorEastAsia" w:cstheme="majorHAnsi"/>
                <w:iCs/>
                <w:color w:val="FFFFFF"/>
                <w:szCs w:val="18"/>
                <w:lang w:eastAsia="en-AU"/>
              </w:rPr>
              <w:t>measure</w:t>
            </w:r>
          </w:p>
        </w:tc>
        <w:tc>
          <w:tcPr>
            <w:tcW w:w="850" w:type="dxa"/>
            <w:tcBorders>
              <w:top w:val="nil"/>
              <w:left w:val="nil"/>
              <w:right w:val="nil"/>
            </w:tcBorders>
            <w:shd w:val="solid" w:color="000000" w:fill="FFFFFF"/>
          </w:tcPr>
          <w:p w:rsidR="00CC0EB7" w:rsidRPr="00C34C81"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C34C81">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C34C81">
              <w:rPr>
                <w:rFonts w:eastAsiaTheme="minorEastAsia" w:cstheme="majorHAnsi"/>
                <w:iCs/>
                <w:color w:val="FFFFFF"/>
                <w:szCs w:val="18"/>
                <w:lang w:eastAsia="en-AU"/>
              </w:rPr>
              <w:t>revised</w:t>
            </w:r>
          </w:p>
        </w:tc>
        <w:tc>
          <w:tcPr>
            <w:tcW w:w="850" w:type="dxa"/>
            <w:tcBorders>
              <w:top w:val="nil"/>
              <w:left w:val="nil"/>
              <w:right w:val="nil"/>
            </w:tcBorders>
            <w:shd w:val="solid" w:color="000000" w:fill="FFFFFF"/>
          </w:tcPr>
          <w:p w:rsidR="00CC0EB7" w:rsidRPr="00C34C81"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C34C81">
              <w:rPr>
                <w:rFonts w:eastAsiaTheme="minorEastAsia" w:cstheme="majorHAnsi"/>
                <w:iCs/>
                <w:color w:val="FFFFFF"/>
                <w:szCs w:val="18"/>
                <w:lang w:eastAsia="en-AU"/>
              </w:rPr>
              <w:t>2019-20</w:t>
            </w:r>
            <w:r>
              <w:rPr>
                <w:rFonts w:eastAsiaTheme="minorEastAsia" w:cstheme="majorHAnsi"/>
                <w:iCs/>
                <w:color w:val="FFFFFF"/>
                <w:szCs w:val="18"/>
                <w:lang w:eastAsia="en-AU"/>
              </w:rPr>
              <w:br/>
            </w:r>
            <w:r w:rsidRPr="00C34C81">
              <w:rPr>
                <w:rFonts w:eastAsiaTheme="minorEastAsia" w:cstheme="majorHAnsi"/>
                <w:iCs/>
                <w:color w:val="FFFFFF"/>
                <w:szCs w:val="18"/>
                <w:lang w:eastAsia="en-AU"/>
              </w:rPr>
              <w:t>estimate</w:t>
            </w:r>
          </w:p>
        </w:tc>
        <w:tc>
          <w:tcPr>
            <w:tcW w:w="850" w:type="dxa"/>
            <w:tcBorders>
              <w:top w:val="nil"/>
              <w:left w:val="nil"/>
              <w:right w:val="nil"/>
            </w:tcBorders>
            <w:shd w:val="solid" w:color="000000" w:fill="FFFFFF"/>
          </w:tcPr>
          <w:p w:rsidR="00CC0EB7" w:rsidRPr="00C34C81"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C34C81">
              <w:rPr>
                <w:rFonts w:eastAsiaTheme="minorEastAsia" w:cstheme="majorHAnsi"/>
                <w:iCs/>
                <w:color w:val="FFFFFF"/>
                <w:szCs w:val="18"/>
                <w:lang w:eastAsia="en-AU"/>
              </w:rPr>
              <w:t>2020-21</w:t>
            </w:r>
            <w:r>
              <w:rPr>
                <w:rFonts w:eastAsiaTheme="minorEastAsia" w:cstheme="majorHAnsi"/>
                <w:iCs/>
                <w:color w:val="FFFFFF"/>
                <w:szCs w:val="18"/>
                <w:lang w:eastAsia="en-AU"/>
              </w:rPr>
              <w:br/>
            </w:r>
            <w:r w:rsidRPr="00C34C81">
              <w:rPr>
                <w:rFonts w:eastAsiaTheme="minorEastAsia" w:cstheme="majorHAnsi"/>
                <w:iCs/>
                <w:color w:val="FFFFFF"/>
                <w:szCs w:val="18"/>
                <w:lang w:eastAsia="en-AU"/>
              </w:rPr>
              <w:t>estimate</w:t>
            </w:r>
          </w:p>
        </w:tc>
        <w:tc>
          <w:tcPr>
            <w:tcW w:w="850" w:type="dxa"/>
            <w:tcBorders>
              <w:top w:val="nil"/>
              <w:left w:val="nil"/>
              <w:right w:val="nil"/>
            </w:tcBorders>
            <w:shd w:val="solid" w:color="000000" w:fill="FFFFFF"/>
          </w:tcPr>
          <w:p w:rsidR="00CC0EB7" w:rsidRPr="00C34C81"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C34C81">
              <w:rPr>
                <w:rFonts w:eastAsiaTheme="minorEastAsia" w:cstheme="majorHAnsi"/>
                <w:iCs/>
                <w:color w:val="FFFFFF"/>
                <w:szCs w:val="18"/>
                <w:lang w:eastAsia="en-AU"/>
              </w:rPr>
              <w:t>2021-22</w:t>
            </w:r>
            <w:r>
              <w:rPr>
                <w:rFonts w:eastAsiaTheme="minorEastAsia" w:cstheme="majorHAnsi"/>
                <w:iCs/>
                <w:color w:val="FFFFFF"/>
                <w:szCs w:val="18"/>
                <w:lang w:eastAsia="en-AU"/>
              </w:rPr>
              <w:br/>
            </w:r>
            <w:r w:rsidRPr="00C34C81">
              <w:rPr>
                <w:rFonts w:eastAsiaTheme="minorEastAsia" w:cstheme="majorHAnsi"/>
                <w:iCs/>
                <w:color w:val="FFFFFF"/>
                <w:szCs w:val="18"/>
                <w:lang w:eastAsia="en-AU"/>
              </w:rPr>
              <w:t>estimate</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4B6846" w:rsidRPr="00C34C81" w:rsidRDefault="004B6846" w:rsidP="00CC0EB7">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Net result from transactions</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 billion</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2.</w:t>
            </w:r>
            <w:r>
              <w:rPr>
                <w:rFonts w:eastAsiaTheme="minorEastAsia" w:cstheme="majorHAnsi"/>
                <w:color w:val="000000"/>
                <w:szCs w:val="18"/>
                <w:lang w:eastAsia="en-AU"/>
              </w:rPr>
              <w:t>2</w:t>
            </w:r>
            <w:r w:rsidRPr="00C34C81">
              <w:rPr>
                <w:rFonts w:eastAsiaTheme="minorEastAsia" w:cstheme="majorHAnsi"/>
                <w:color w:val="000000"/>
                <w:szCs w:val="18"/>
                <w:lang w:eastAsia="en-AU"/>
              </w:rPr>
              <w:t xml:space="preserve"> </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1.7 </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2.7 </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3.0 </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4B6846" w:rsidRPr="00C34C81" w:rsidRDefault="004B6846" w:rsidP="00CC0EB7">
            <w:pPr>
              <w:keepLines w:val="0"/>
              <w:autoSpaceDE w:val="0"/>
              <w:autoSpaceDN w:val="0"/>
              <w:adjustRightInd w:val="0"/>
              <w:rPr>
                <w:rFonts w:eastAsiaTheme="minorEastAsia" w:cstheme="majorHAnsi"/>
                <w:color w:val="000000"/>
                <w:szCs w:val="18"/>
                <w:vertAlign w:val="superscript"/>
                <w:lang w:eastAsia="en-AU"/>
              </w:rPr>
            </w:pPr>
            <w:r w:rsidRPr="00C34C81">
              <w:rPr>
                <w:rFonts w:eastAsiaTheme="minorEastAsia" w:cstheme="majorHAnsi"/>
                <w:color w:val="000000"/>
                <w:szCs w:val="18"/>
                <w:lang w:eastAsia="en-AU"/>
              </w:rPr>
              <w:t xml:space="preserve">Government infrastructure investment </w:t>
            </w:r>
            <w:r w:rsidRPr="00C34C81">
              <w:rPr>
                <w:rFonts w:eastAsiaTheme="minorEastAsia" w:cstheme="majorHAnsi"/>
                <w:color w:val="000000"/>
                <w:szCs w:val="18"/>
                <w:vertAlign w:val="superscript"/>
                <w:lang w:eastAsia="en-AU"/>
              </w:rPr>
              <w:t>(a)</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 billion</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13.4 </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11.4 </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9.7 </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8.0 </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4B6846" w:rsidRPr="00C34C81" w:rsidRDefault="004B6846" w:rsidP="00CC0EB7">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Net debt</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 billion</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22.5 </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27.8 </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30.3 </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31.8 </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single" w:sz="12" w:space="0" w:color="auto"/>
              <w:right w:val="nil"/>
            </w:tcBorders>
          </w:tcPr>
          <w:p w:rsidR="004B6846" w:rsidRPr="00C34C81" w:rsidRDefault="004B6846" w:rsidP="00CC0EB7">
            <w:pPr>
              <w:keepLines w:val="0"/>
              <w:autoSpaceDE w:val="0"/>
              <w:autoSpaceDN w:val="0"/>
              <w:adjustRightInd w:val="0"/>
            </w:pPr>
            <w:r w:rsidRPr="00C34C81">
              <w:rPr>
                <w:rFonts w:eastAsiaTheme="minorEastAsia" w:cstheme="majorHAnsi"/>
                <w:color w:val="000000"/>
                <w:szCs w:val="18"/>
                <w:lang w:eastAsia="en-AU"/>
              </w:rPr>
              <w:t>Net debt to GSP</w:t>
            </w:r>
            <w:r w:rsidRPr="00C34C81">
              <w:rPr>
                <w:rFonts w:eastAsiaTheme="minorEastAsia" w:cstheme="majorHAnsi"/>
                <w:color w:val="000000"/>
                <w:szCs w:val="18"/>
                <w:vertAlign w:val="superscript"/>
                <w:lang w:eastAsia="en-AU"/>
              </w:rPr>
              <w:t xml:space="preserve"> (b)</w:t>
            </w:r>
          </w:p>
        </w:tc>
        <w:tc>
          <w:tcPr>
            <w:tcW w:w="850" w:type="dxa"/>
            <w:tcBorders>
              <w:top w:val="nil"/>
              <w:left w:val="nil"/>
              <w:bottom w:val="single" w:sz="12" w:space="0" w:color="auto"/>
              <w:right w:val="nil"/>
            </w:tcBorders>
          </w:tcPr>
          <w:p w:rsidR="004B6846" w:rsidRPr="00C34C8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per cent</w:t>
            </w:r>
          </w:p>
        </w:tc>
        <w:tc>
          <w:tcPr>
            <w:tcW w:w="850" w:type="dxa"/>
            <w:tcBorders>
              <w:top w:val="nil"/>
              <w:left w:val="nil"/>
              <w:bottom w:val="single" w:sz="12" w:space="0" w:color="auto"/>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5.0 </w:t>
            </w:r>
          </w:p>
        </w:tc>
        <w:tc>
          <w:tcPr>
            <w:tcW w:w="850" w:type="dxa"/>
            <w:tcBorders>
              <w:top w:val="nil"/>
              <w:left w:val="nil"/>
              <w:bottom w:val="single" w:sz="12" w:space="0" w:color="auto"/>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5.8 </w:t>
            </w:r>
          </w:p>
        </w:tc>
        <w:tc>
          <w:tcPr>
            <w:tcW w:w="850" w:type="dxa"/>
            <w:tcBorders>
              <w:top w:val="nil"/>
              <w:left w:val="nil"/>
              <w:bottom w:val="single" w:sz="12" w:space="0" w:color="auto"/>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6.0 </w:t>
            </w:r>
          </w:p>
        </w:tc>
        <w:tc>
          <w:tcPr>
            <w:tcW w:w="850" w:type="dxa"/>
            <w:tcBorders>
              <w:top w:val="nil"/>
              <w:left w:val="nil"/>
              <w:bottom w:val="single" w:sz="12" w:space="0" w:color="auto"/>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6.0 </w:t>
            </w:r>
          </w:p>
        </w:tc>
      </w:tr>
    </w:tbl>
    <w:p w:rsidR="004B6846" w:rsidRPr="00C203E5" w:rsidRDefault="004B6846" w:rsidP="00CC0EB7">
      <w:pPr>
        <w:pStyle w:val="Source"/>
      </w:pPr>
      <w:r w:rsidRPr="00C203E5">
        <w:t>Source: Department of Treasury and Finance</w:t>
      </w:r>
    </w:p>
    <w:p w:rsidR="004B6846" w:rsidRPr="00C203E5" w:rsidRDefault="004B6846" w:rsidP="00CC0EB7">
      <w:pPr>
        <w:pStyle w:val="Note"/>
      </w:pPr>
      <w:r w:rsidRPr="00C203E5">
        <w:t>Notes:</w:t>
      </w:r>
    </w:p>
    <w:p w:rsidR="004B6846" w:rsidRPr="00C203E5" w:rsidRDefault="004B6846" w:rsidP="00CC0EB7">
      <w:pPr>
        <w:pStyle w:val="Note"/>
      </w:pPr>
      <w:r w:rsidRPr="00C203E5">
        <w:t>(a)</w:t>
      </w:r>
      <w:r w:rsidRPr="00C203E5">
        <w:tab/>
        <w:t>Includes general government net infrastructure investment and estimated c</w:t>
      </w:r>
      <w:r>
        <w:t>onstruction costs</w:t>
      </w:r>
      <w:r w:rsidRPr="00C203E5">
        <w:t xml:space="preserve"> for Partnerships Victoria projects.</w:t>
      </w:r>
    </w:p>
    <w:p w:rsidR="004B6846" w:rsidRPr="00C203E5" w:rsidRDefault="004B6846" w:rsidP="00CC0EB7">
      <w:pPr>
        <w:pStyle w:val="Note"/>
      </w:pPr>
      <w:r w:rsidRPr="00C203E5">
        <w:t>(</w:t>
      </w:r>
      <w:r>
        <w:t>b</w:t>
      </w:r>
      <w:r w:rsidRPr="00C203E5">
        <w:t>)</w:t>
      </w:r>
      <w:r w:rsidRPr="00C203E5">
        <w:tab/>
        <w:t xml:space="preserve">The ratios to GSP may vary from publications year to year due to revisions to the </w:t>
      </w:r>
      <w:r>
        <w:t xml:space="preserve">Australian Bureau of Statistics </w:t>
      </w:r>
      <w:r w:rsidRPr="00C203E5">
        <w:t>GSP data.</w:t>
      </w:r>
    </w:p>
    <w:p w:rsidR="004B6846" w:rsidRPr="00C203E5" w:rsidRDefault="004B6846" w:rsidP="00CC0EB7"/>
    <w:p w:rsidR="004B6846" w:rsidRDefault="004B6846" w:rsidP="00CC0EB7">
      <w:r w:rsidRPr="00B17076">
        <w:t xml:space="preserve">Government infrastructure investment is </w:t>
      </w:r>
      <w:r w:rsidRPr="00054BD6">
        <w:t>projected to average $</w:t>
      </w:r>
      <w:r>
        <w:t>10.6 billion a year</w:t>
      </w:r>
      <w:r w:rsidRPr="00054BD6">
        <w:t xml:space="preserve"> over the </w:t>
      </w:r>
      <w:r>
        <w:t>next four years,</w:t>
      </w:r>
      <w:r w:rsidRPr="00D10CA7">
        <w:t xml:space="preserve"> </w:t>
      </w:r>
      <w:r>
        <w:t>more than double the average of $4.9 billion a year from 2005-06 to 2014</w:t>
      </w:r>
      <w:r>
        <w:noBreakHyphen/>
        <w:t>15.</w:t>
      </w:r>
    </w:p>
    <w:p w:rsidR="004B6846" w:rsidRPr="002148DF" w:rsidRDefault="004B6846" w:rsidP="00CC0EB7">
      <w:r w:rsidRPr="00C203E5">
        <w:t>Net debt is expected to be $</w:t>
      </w:r>
      <w:r>
        <w:t>31.8 billion</w:t>
      </w:r>
      <w:r w:rsidRPr="00C203E5">
        <w:t xml:space="preserve"> by June 2022. As a proportion of GSP, net debt is projected to increase from its June 201</w:t>
      </w:r>
      <w:r>
        <w:t>9</w:t>
      </w:r>
      <w:r w:rsidRPr="00C203E5">
        <w:t xml:space="preserve"> level of </w:t>
      </w:r>
      <w:r>
        <w:t>5.0</w:t>
      </w:r>
      <w:r w:rsidRPr="00C203E5">
        <w:t xml:space="preserve"> per cent to </w:t>
      </w:r>
      <w:r>
        <w:t>6.0</w:t>
      </w:r>
      <w:r w:rsidRPr="00C203E5">
        <w:t> per cent by June 202</w:t>
      </w:r>
      <w:r>
        <w:t>1,</w:t>
      </w:r>
      <w:r w:rsidRPr="008252DC">
        <w:t xml:space="preserve"> </w:t>
      </w:r>
      <w:r w:rsidRPr="00C203E5">
        <w:t>and remain at that level in 2021-22.</w:t>
      </w:r>
      <w:bookmarkStart w:id="15" w:name="_Toc449123067"/>
    </w:p>
    <w:p w:rsidR="004B6846" w:rsidRDefault="004B6846" w:rsidP="00CC0EB7">
      <w:pPr>
        <w:keepLines w:val="0"/>
        <w:rPr>
          <w:rFonts w:asciiTheme="majorHAnsi" w:hAnsiTheme="majorHAnsi" w:cstheme="majorBidi"/>
          <w:b/>
          <w:bCs/>
          <w:caps/>
          <w:spacing w:val="-2"/>
          <w:sz w:val="26"/>
          <w:szCs w:val="28"/>
        </w:rPr>
      </w:pPr>
      <w:bookmarkStart w:id="16" w:name="_Toc481160573"/>
      <w:bookmarkStart w:id="17" w:name="_Toc481246481"/>
      <w:bookmarkStart w:id="18" w:name="_Toc512629767"/>
      <w:r>
        <w:br w:type="page"/>
      </w:r>
    </w:p>
    <w:p w:rsidR="004B6846" w:rsidRPr="00C203E5" w:rsidRDefault="004B6846" w:rsidP="00CC0EB7">
      <w:pPr>
        <w:pStyle w:val="Heading10"/>
        <w:rPr>
          <w:rFonts w:eastAsiaTheme="minorHAnsi"/>
        </w:rPr>
      </w:pPr>
      <w:bookmarkStart w:id="19" w:name="_Toc531884950"/>
      <w:r w:rsidRPr="00C203E5">
        <w:rPr>
          <w:rFonts w:eastAsiaTheme="minorHAnsi"/>
        </w:rPr>
        <w:lastRenderedPageBreak/>
        <w:t>Budget and forward estimates outlook</w:t>
      </w:r>
      <w:bookmarkEnd w:id="15"/>
      <w:bookmarkEnd w:id="16"/>
      <w:bookmarkEnd w:id="17"/>
      <w:bookmarkEnd w:id="18"/>
      <w:bookmarkEnd w:id="19"/>
    </w:p>
    <w:p w:rsidR="004B6846" w:rsidRPr="00C203E5" w:rsidRDefault="004B6846" w:rsidP="00CC0EB7">
      <w:pPr>
        <w:keepNext/>
      </w:pPr>
      <w:r w:rsidRPr="00C203E5">
        <w:t xml:space="preserve">Table </w:t>
      </w:r>
      <w:r>
        <w:t>3.2</w:t>
      </w:r>
      <w:r w:rsidRPr="00C203E5">
        <w:t xml:space="preserve"> summarises the operating statement for the general government sector. A comprehensive operating statement is presented in </w:t>
      </w:r>
      <w:r w:rsidRPr="004011BF">
        <w:t xml:space="preserve">Chapter </w:t>
      </w:r>
      <w:r>
        <w:t>4</w:t>
      </w:r>
      <w:r w:rsidRPr="004011BF">
        <w:t xml:space="preserve"> </w:t>
      </w:r>
      <w:r w:rsidRPr="004011BF">
        <w:rPr>
          <w:i/>
        </w:rPr>
        <w:t>Estimated financial statements and notes</w:t>
      </w:r>
      <w:r w:rsidRPr="004011BF">
        <w:t>.</w:t>
      </w:r>
    </w:p>
    <w:p w:rsidR="004B6846" w:rsidRPr="00C34C81" w:rsidRDefault="004B6846" w:rsidP="00CC0EB7">
      <w:pPr>
        <w:pStyle w:val="TableHeading"/>
        <w:rPr>
          <w:bCs/>
          <w:lang w:val="en-US"/>
        </w:rPr>
      </w:pPr>
      <w:r w:rsidRPr="00C203E5">
        <w:t xml:space="preserve">Table </w:t>
      </w:r>
      <w:r>
        <w:t>3.2</w:t>
      </w:r>
      <w:r w:rsidRPr="00C203E5">
        <w:t xml:space="preserve">: </w:t>
      </w:r>
      <w:r w:rsidRPr="00C203E5">
        <w:tab/>
        <w:t>Summary operating statement for the general government sector</w:t>
      </w:r>
      <w:r>
        <w:t xml:space="preserve"> </w:t>
      </w:r>
      <w:r w:rsidRPr="00C203E5">
        <w:rPr>
          <w:vertAlign w:val="superscript"/>
        </w:rPr>
        <w:t>(a)</w:t>
      </w:r>
      <w:r w:rsidRPr="00C203E5">
        <w:rPr>
          <w:vertAlign w:val="superscript"/>
        </w:rPr>
        <w:tab/>
      </w:r>
      <w:r w:rsidRPr="00C203E5">
        <w:t>($</w:t>
      </w:r>
      <w:r>
        <w:t> million</w:t>
      </w:r>
      <w:r w:rsidRPr="00C203E5">
        <w:t>)</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CC0EB7" w:rsidRPr="00C34C81" w:rsidTr="00CC0EB7">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FFFFFF"/>
          </w:tcPr>
          <w:p w:rsidR="00CC0EB7" w:rsidRPr="00C34C81" w:rsidRDefault="00CC0EB7" w:rsidP="00CC0EB7">
            <w:pPr>
              <w:autoSpaceDE w:val="0"/>
              <w:autoSpaceDN w:val="0"/>
              <w:adjustRightInd w:val="0"/>
              <w:rPr>
                <w:rFonts w:eastAsiaTheme="minorEastAsia" w:cstheme="majorHAnsi"/>
                <w:color w:val="000000"/>
                <w:lang w:eastAsia="en-AU"/>
              </w:rPr>
            </w:pPr>
            <w:r w:rsidRPr="00C34C81">
              <w:rPr>
                <w:rFonts w:eastAsiaTheme="minorEastAsia" w:cstheme="majorHAnsi"/>
                <w:color w:val="000000"/>
                <w:lang w:eastAsia="en-AU"/>
              </w:rPr>
              <w:t xml:space="preserve">  </w:t>
            </w:r>
          </w:p>
        </w:tc>
        <w:tc>
          <w:tcPr>
            <w:tcW w:w="850" w:type="dxa"/>
            <w:tcBorders>
              <w:top w:val="nil"/>
              <w:left w:val="nil"/>
              <w:right w:val="nil"/>
            </w:tcBorders>
            <w:shd w:val="solid" w:color="000000" w:fill="FFFFFF"/>
          </w:tcPr>
          <w:p w:rsidR="00CC0EB7" w:rsidRPr="00C34C81"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C34C81">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C34C81">
              <w:rPr>
                <w:rFonts w:eastAsiaTheme="minorEastAsia" w:cstheme="majorHAnsi"/>
                <w:iCs/>
                <w:color w:val="FFFFFF"/>
                <w:szCs w:val="18"/>
                <w:lang w:eastAsia="en-AU"/>
              </w:rPr>
              <w:t>revised</w:t>
            </w:r>
          </w:p>
        </w:tc>
        <w:tc>
          <w:tcPr>
            <w:tcW w:w="850" w:type="dxa"/>
            <w:tcBorders>
              <w:top w:val="nil"/>
              <w:left w:val="nil"/>
              <w:right w:val="nil"/>
            </w:tcBorders>
            <w:shd w:val="solid" w:color="000000" w:fill="FFFFFF"/>
          </w:tcPr>
          <w:p w:rsidR="00CC0EB7" w:rsidRPr="00C34C81"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C34C81">
              <w:rPr>
                <w:rFonts w:eastAsiaTheme="minorEastAsia" w:cstheme="majorHAnsi"/>
                <w:iCs/>
                <w:color w:val="FFFFFF"/>
                <w:szCs w:val="18"/>
                <w:lang w:eastAsia="en-AU"/>
              </w:rPr>
              <w:t>2019-20</w:t>
            </w:r>
            <w:r>
              <w:rPr>
                <w:rFonts w:eastAsiaTheme="minorEastAsia" w:cstheme="majorHAnsi"/>
                <w:iCs/>
                <w:color w:val="FFFFFF"/>
                <w:szCs w:val="18"/>
                <w:lang w:eastAsia="en-AU"/>
              </w:rPr>
              <w:br/>
            </w:r>
            <w:r w:rsidRPr="00C34C81">
              <w:rPr>
                <w:rFonts w:eastAsiaTheme="minorEastAsia" w:cstheme="majorHAnsi"/>
                <w:iCs/>
                <w:color w:val="FFFFFF"/>
                <w:szCs w:val="18"/>
                <w:lang w:eastAsia="en-AU"/>
              </w:rPr>
              <w:t>estimate</w:t>
            </w:r>
          </w:p>
        </w:tc>
        <w:tc>
          <w:tcPr>
            <w:tcW w:w="850" w:type="dxa"/>
            <w:tcBorders>
              <w:top w:val="nil"/>
              <w:left w:val="nil"/>
              <w:right w:val="nil"/>
            </w:tcBorders>
            <w:shd w:val="solid" w:color="000000" w:fill="FFFFFF"/>
          </w:tcPr>
          <w:p w:rsidR="00CC0EB7" w:rsidRPr="00C34C81"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C34C81">
              <w:rPr>
                <w:rFonts w:eastAsiaTheme="minorEastAsia" w:cstheme="majorHAnsi"/>
                <w:iCs/>
                <w:color w:val="FFFFFF"/>
                <w:szCs w:val="18"/>
                <w:lang w:eastAsia="en-AU"/>
              </w:rPr>
              <w:t>2020-21</w:t>
            </w:r>
            <w:r>
              <w:rPr>
                <w:rFonts w:eastAsiaTheme="minorEastAsia" w:cstheme="majorHAnsi"/>
                <w:iCs/>
                <w:color w:val="FFFFFF"/>
                <w:szCs w:val="18"/>
                <w:lang w:eastAsia="en-AU"/>
              </w:rPr>
              <w:br/>
            </w:r>
            <w:r w:rsidRPr="00C34C81">
              <w:rPr>
                <w:rFonts w:eastAsiaTheme="minorEastAsia" w:cstheme="majorHAnsi"/>
                <w:iCs/>
                <w:color w:val="FFFFFF"/>
                <w:szCs w:val="18"/>
                <w:lang w:eastAsia="en-AU"/>
              </w:rPr>
              <w:t>estimate</w:t>
            </w:r>
          </w:p>
        </w:tc>
        <w:tc>
          <w:tcPr>
            <w:tcW w:w="850" w:type="dxa"/>
            <w:tcBorders>
              <w:top w:val="nil"/>
              <w:left w:val="nil"/>
              <w:right w:val="nil"/>
            </w:tcBorders>
            <w:shd w:val="solid" w:color="000000" w:fill="FFFFFF"/>
          </w:tcPr>
          <w:p w:rsidR="00CC0EB7" w:rsidRPr="00C34C81"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C34C81">
              <w:rPr>
                <w:rFonts w:eastAsiaTheme="minorEastAsia" w:cstheme="majorHAnsi"/>
                <w:iCs/>
                <w:color w:val="FFFFFF"/>
                <w:szCs w:val="18"/>
                <w:lang w:eastAsia="en-AU"/>
              </w:rPr>
              <w:t>2021-22</w:t>
            </w:r>
            <w:r>
              <w:rPr>
                <w:rFonts w:eastAsiaTheme="minorEastAsia" w:cstheme="majorHAnsi"/>
                <w:iCs/>
                <w:color w:val="FFFFFF"/>
                <w:szCs w:val="18"/>
                <w:lang w:eastAsia="en-AU"/>
              </w:rPr>
              <w:br/>
            </w:r>
            <w:r w:rsidRPr="00C34C81">
              <w:rPr>
                <w:rFonts w:eastAsiaTheme="minorEastAsia" w:cstheme="majorHAnsi"/>
                <w:iCs/>
                <w:color w:val="FFFFFF"/>
                <w:szCs w:val="18"/>
                <w:lang w:eastAsia="en-AU"/>
              </w:rPr>
              <w:t>estimate</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C34C81" w:rsidRDefault="004B6846" w:rsidP="00CC0EB7">
            <w:pPr>
              <w:keepLines w:val="0"/>
              <w:autoSpaceDE w:val="0"/>
              <w:autoSpaceDN w:val="0"/>
              <w:adjustRightInd w:val="0"/>
              <w:rPr>
                <w:rFonts w:eastAsiaTheme="minorEastAsia" w:cstheme="majorHAnsi"/>
                <w:b/>
                <w:bCs/>
                <w:color w:val="000000"/>
                <w:szCs w:val="18"/>
                <w:lang w:eastAsia="en-AU"/>
              </w:rPr>
            </w:pPr>
            <w:r w:rsidRPr="00C34C81">
              <w:rPr>
                <w:rFonts w:eastAsiaTheme="minorEastAsia" w:cstheme="majorHAnsi"/>
                <w:b/>
                <w:bCs/>
                <w:color w:val="000000"/>
                <w:szCs w:val="18"/>
                <w:lang w:eastAsia="en-AU"/>
              </w:rPr>
              <w:t>Revenue</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C34C8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C34C8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C34C8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C34C81">
              <w:rPr>
                <w:rFonts w:eastAsiaTheme="minorEastAsia" w:cstheme="majorHAnsi"/>
                <w:color w:val="000000"/>
                <w:lang w:eastAsia="en-AU"/>
              </w:rPr>
              <w:t xml:space="preserve"> </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C34C81" w:rsidRDefault="004B6846" w:rsidP="00CC0EB7">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Taxation</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24 092</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25 050</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25 836</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27 116</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C34C81" w:rsidRDefault="004B6846" w:rsidP="00CC0EB7">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 xml:space="preserve">Dividends, tax equivalent revenue and interest </w:t>
            </w:r>
            <w:r w:rsidRPr="00C34C81">
              <w:rPr>
                <w:rFonts w:eastAsiaTheme="minorEastAsia" w:cstheme="majorHAnsi"/>
                <w:color w:val="000000"/>
                <w:szCs w:val="18"/>
                <w:vertAlign w:val="superscript"/>
                <w:lang w:eastAsia="en-AU"/>
              </w:rPr>
              <w:t>(b)</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1 921</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1 369</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1 357</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1 319</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C34C81" w:rsidRDefault="004B6846" w:rsidP="00CC0EB7">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Sales of goods and services</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7 594</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8 417</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8 685</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8 726</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C34C81" w:rsidRDefault="004B6846" w:rsidP="00CC0EB7">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Grant revenue</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33 515</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33 697</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34 686</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35 942</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4B6846" w:rsidRPr="00C34C81" w:rsidRDefault="004B6846" w:rsidP="00CC0EB7">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Other current revenue</w:t>
            </w:r>
          </w:p>
        </w:tc>
        <w:tc>
          <w:tcPr>
            <w:tcW w:w="850" w:type="dxa"/>
            <w:tcBorders>
              <w:top w:val="nil"/>
              <w:left w:val="nil"/>
              <w:bottom w:val="single" w:sz="6" w:space="0" w:color="auto"/>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2 636</w:t>
            </w:r>
          </w:p>
        </w:tc>
        <w:tc>
          <w:tcPr>
            <w:tcW w:w="850" w:type="dxa"/>
            <w:tcBorders>
              <w:top w:val="nil"/>
              <w:left w:val="nil"/>
              <w:bottom w:val="single" w:sz="6" w:space="0" w:color="auto"/>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2 594</w:t>
            </w:r>
          </w:p>
        </w:tc>
        <w:tc>
          <w:tcPr>
            <w:tcW w:w="850" w:type="dxa"/>
            <w:tcBorders>
              <w:top w:val="nil"/>
              <w:left w:val="nil"/>
              <w:bottom w:val="single" w:sz="6" w:space="0" w:color="auto"/>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2 656</w:t>
            </w:r>
          </w:p>
        </w:tc>
        <w:tc>
          <w:tcPr>
            <w:tcW w:w="850" w:type="dxa"/>
            <w:tcBorders>
              <w:top w:val="nil"/>
              <w:left w:val="nil"/>
              <w:bottom w:val="single" w:sz="6" w:space="0" w:color="auto"/>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2 714</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C34C81" w:rsidRDefault="004B6846" w:rsidP="00CC0EB7">
            <w:pPr>
              <w:keepLines w:val="0"/>
              <w:autoSpaceDE w:val="0"/>
              <w:autoSpaceDN w:val="0"/>
              <w:adjustRightInd w:val="0"/>
              <w:rPr>
                <w:rFonts w:eastAsiaTheme="minorEastAsia" w:cstheme="majorHAnsi"/>
                <w:b/>
                <w:bCs/>
                <w:color w:val="000000"/>
                <w:szCs w:val="18"/>
                <w:lang w:eastAsia="en-AU"/>
              </w:rPr>
            </w:pPr>
            <w:r w:rsidRPr="00C34C81">
              <w:rPr>
                <w:rFonts w:eastAsiaTheme="minorEastAsia" w:cstheme="majorHAnsi"/>
                <w:b/>
                <w:bCs/>
                <w:color w:val="000000"/>
                <w:szCs w:val="18"/>
                <w:lang w:eastAsia="en-AU"/>
              </w:rPr>
              <w:t>Total revenue</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C34C81">
              <w:rPr>
                <w:rFonts w:eastAsiaTheme="minorEastAsia" w:cstheme="majorHAnsi"/>
                <w:b/>
                <w:bCs/>
                <w:color w:val="000000"/>
                <w:szCs w:val="18"/>
                <w:lang w:eastAsia="en-AU"/>
              </w:rPr>
              <w:t>69 757</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C34C81">
              <w:rPr>
                <w:rFonts w:eastAsiaTheme="minorEastAsia" w:cstheme="majorHAnsi"/>
                <w:b/>
                <w:bCs/>
                <w:color w:val="000000"/>
                <w:szCs w:val="18"/>
                <w:lang w:eastAsia="en-AU"/>
              </w:rPr>
              <w:t>71 128</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C34C81">
              <w:rPr>
                <w:rFonts w:eastAsiaTheme="minorEastAsia" w:cstheme="majorHAnsi"/>
                <w:b/>
                <w:bCs/>
                <w:color w:val="000000"/>
                <w:szCs w:val="18"/>
                <w:lang w:eastAsia="en-AU"/>
              </w:rPr>
              <w:t>73 221</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C34C81">
              <w:rPr>
                <w:rFonts w:eastAsiaTheme="minorEastAsia" w:cstheme="majorHAnsi"/>
                <w:b/>
                <w:bCs/>
                <w:color w:val="000000"/>
                <w:szCs w:val="18"/>
                <w:lang w:eastAsia="en-AU"/>
              </w:rPr>
              <w:t>75 817</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C34C81" w:rsidRDefault="004B6846" w:rsidP="00CC0EB7">
            <w:pPr>
              <w:keepLines w:val="0"/>
              <w:autoSpaceDE w:val="0"/>
              <w:autoSpaceDN w:val="0"/>
              <w:adjustRightInd w:val="0"/>
              <w:rPr>
                <w:rFonts w:eastAsiaTheme="minorEastAsia" w:cstheme="majorHAnsi"/>
                <w:i/>
                <w:iCs/>
                <w:color w:val="000000"/>
                <w:szCs w:val="18"/>
                <w:lang w:eastAsia="en-AU"/>
              </w:rPr>
            </w:pPr>
            <w:r w:rsidRPr="00C34C81">
              <w:rPr>
                <w:rFonts w:eastAsiaTheme="minorEastAsia" w:cstheme="majorHAnsi"/>
                <w:i/>
                <w:iCs/>
                <w:color w:val="000000"/>
                <w:szCs w:val="18"/>
                <w:lang w:eastAsia="en-AU"/>
              </w:rPr>
              <w:t>% change</w:t>
            </w:r>
          </w:p>
        </w:tc>
        <w:tc>
          <w:tcPr>
            <w:tcW w:w="850" w:type="dxa"/>
            <w:tcBorders>
              <w:top w:val="nil"/>
              <w:left w:val="nil"/>
              <w:bottom w:val="nil"/>
              <w:right w:val="nil"/>
            </w:tcBorders>
          </w:tcPr>
          <w:p w:rsidR="004B6846" w:rsidRPr="00C34C81" w:rsidRDefault="005F7313"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i/>
                <w:iCs/>
                <w:color w:val="000000"/>
                <w:szCs w:val="18"/>
                <w:lang w:eastAsia="en-AU"/>
              </w:rPr>
              <w:t>8.0</w:t>
            </w:r>
          </w:p>
        </w:tc>
        <w:tc>
          <w:tcPr>
            <w:tcW w:w="850" w:type="dxa"/>
            <w:tcBorders>
              <w:top w:val="nil"/>
              <w:left w:val="nil"/>
              <w:bottom w:val="nil"/>
              <w:right w:val="nil"/>
            </w:tcBorders>
          </w:tcPr>
          <w:p w:rsidR="004B6846" w:rsidRPr="00C34C81" w:rsidRDefault="005F7313"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i/>
                <w:iCs/>
                <w:color w:val="000000"/>
                <w:szCs w:val="18"/>
                <w:lang w:eastAsia="en-AU"/>
              </w:rPr>
              <w:t>2.0</w:t>
            </w:r>
          </w:p>
        </w:tc>
        <w:tc>
          <w:tcPr>
            <w:tcW w:w="850" w:type="dxa"/>
            <w:tcBorders>
              <w:top w:val="nil"/>
              <w:left w:val="nil"/>
              <w:bottom w:val="nil"/>
              <w:right w:val="nil"/>
            </w:tcBorders>
          </w:tcPr>
          <w:p w:rsidR="004B6846" w:rsidRPr="00C34C81" w:rsidRDefault="005F7313"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i/>
                <w:iCs/>
                <w:color w:val="000000"/>
                <w:szCs w:val="18"/>
                <w:lang w:eastAsia="en-AU"/>
              </w:rPr>
              <w:t>2.9</w:t>
            </w:r>
          </w:p>
        </w:tc>
        <w:tc>
          <w:tcPr>
            <w:tcW w:w="850" w:type="dxa"/>
            <w:tcBorders>
              <w:top w:val="nil"/>
              <w:left w:val="nil"/>
              <w:bottom w:val="nil"/>
              <w:right w:val="nil"/>
            </w:tcBorders>
          </w:tcPr>
          <w:p w:rsidR="004B6846" w:rsidRPr="00C34C81" w:rsidRDefault="005F7313"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i/>
                <w:iCs/>
                <w:color w:val="000000"/>
                <w:szCs w:val="18"/>
                <w:lang w:eastAsia="en-AU"/>
              </w:rPr>
              <w:t>3.5</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C34C81" w:rsidRDefault="004B6846" w:rsidP="00CC0EB7">
            <w:pPr>
              <w:keepLines w:val="0"/>
              <w:autoSpaceDE w:val="0"/>
              <w:autoSpaceDN w:val="0"/>
              <w:adjustRightInd w:val="0"/>
              <w:rPr>
                <w:rFonts w:eastAsiaTheme="minorEastAsia" w:cstheme="majorHAnsi"/>
                <w:b/>
                <w:bCs/>
                <w:color w:val="000000"/>
                <w:szCs w:val="18"/>
                <w:lang w:eastAsia="en-AU"/>
              </w:rPr>
            </w:pPr>
            <w:r w:rsidRPr="00C34C81">
              <w:rPr>
                <w:rFonts w:eastAsiaTheme="minorEastAsia" w:cstheme="majorHAnsi"/>
                <w:b/>
                <w:bCs/>
                <w:color w:val="000000"/>
                <w:szCs w:val="18"/>
                <w:lang w:eastAsia="en-AU"/>
              </w:rPr>
              <w:t>Expenses</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C34C8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C34C8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C34C8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C34C81">
              <w:rPr>
                <w:rFonts w:eastAsiaTheme="minorEastAsia" w:cstheme="majorHAnsi"/>
                <w:color w:val="000000"/>
                <w:lang w:eastAsia="en-AU"/>
              </w:rPr>
              <w:t xml:space="preserve"> </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C34C81" w:rsidRDefault="004B6846" w:rsidP="00CC0EB7">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Employee expenses</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24 986</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26 446</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27 495</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28 565</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C34C81" w:rsidRDefault="004B6846" w:rsidP="00CC0EB7">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 xml:space="preserve">Superannuation </w:t>
            </w:r>
            <w:r w:rsidRPr="00C34C81">
              <w:rPr>
                <w:rFonts w:eastAsiaTheme="minorEastAsia" w:cstheme="majorHAnsi"/>
                <w:color w:val="000000"/>
                <w:szCs w:val="18"/>
                <w:vertAlign w:val="superscript"/>
                <w:lang w:eastAsia="en-AU"/>
              </w:rPr>
              <w:t>(c)</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3 439</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3 441</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3 482</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3 572</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C34C81" w:rsidRDefault="004B6846" w:rsidP="00CC0EB7">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Depreciation</w:t>
            </w:r>
          </w:p>
        </w:tc>
        <w:tc>
          <w:tcPr>
            <w:tcW w:w="850" w:type="dxa"/>
            <w:tcBorders>
              <w:top w:val="nil"/>
              <w:left w:val="nil"/>
              <w:bottom w:val="nil"/>
              <w:right w:val="nil"/>
            </w:tcBorders>
          </w:tcPr>
          <w:p w:rsidR="004B6846" w:rsidRPr="00E141AF" w:rsidRDefault="004B6846" w:rsidP="00CC0EB7">
            <w:pPr>
              <w:keepLines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E141AF">
              <w:rPr>
                <w:rFonts w:ascii="Calibri" w:hAnsi="Calibri" w:cs="Calibri"/>
                <w:color w:val="000000"/>
                <w:szCs w:val="17"/>
              </w:rPr>
              <w:t>2 921</w:t>
            </w:r>
          </w:p>
        </w:tc>
        <w:tc>
          <w:tcPr>
            <w:tcW w:w="850" w:type="dxa"/>
            <w:tcBorders>
              <w:top w:val="nil"/>
              <w:left w:val="nil"/>
              <w:bottom w:val="nil"/>
              <w:right w:val="nil"/>
            </w:tcBorders>
          </w:tcPr>
          <w:p w:rsidR="004B6846" w:rsidRPr="00E141AF"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E141AF">
              <w:rPr>
                <w:rFonts w:ascii="Calibri" w:hAnsi="Calibri" w:cs="Calibri"/>
                <w:color w:val="000000"/>
                <w:szCs w:val="17"/>
              </w:rPr>
              <w:t>3 033</w:t>
            </w:r>
          </w:p>
        </w:tc>
        <w:tc>
          <w:tcPr>
            <w:tcW w:w="850" w:type="dxa"/>
            <w:tcBorders>
              <w:top w:val="nil"/>
              <w:left w:val="nil"/>
              <w:bottom w:val="nil"/>
              <w:right w:val="nil"/>
            </w:tcBorders>
          </w:tcPr>
          <w:p w:rsidR="004B6846" w:rsidRPr="00E141AF"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E141AF">
              <w:rPr>
                <w:rFonts w:ascii="Calibri" w:hAnsi="Calibri" w:cs="Calibri"/>
                <w:color w:val="000000"/>
                <w:szCs w:val="17"/>
              </w:rPr>
              <w:t>3 332</w:t>
            </w:r>
          </w:p>
        </w:tc>
        <w:tc>
          <w:tcPr>
            <w:tcW w:w="850" w:type="dxa"/>
            <w:tcBorders>
              <w:top w:val="nil"/>
              <w:left w:val="nil"/>
              <w:bottom w:val="nil"/>
              <w:right w:val="nil"/>
            </w:tcBorders>
          </w:tcPr>
          <w:p w:rsidR="004B6846" w:rsidRPr="00E141AF"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E141AF">
              <w:rPr>
                <w:rFonts w:ascii="Calibri" w:hAnsi="Calibri" w:cs="Calibri"/>
                <w:color w:val="000000"/>
                <w:szCs w:val="17"/>
              </w:rPr>
              <w:t>3 526</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C34C81" w:rsidRDefault="004B6846" w:rsidP="00CC0EB7">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Interest expense</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2 090</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2 133</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2 211</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2 260</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C34C81" w:rsidRDefault="004B6846" w:rsidP="00CC0EB7">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Grant expense</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12 785</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14 045</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14 007</w:t>
            </w:r>
          </w:p>
        </w:tc>
        <w:tc>
          <w:tcPr>
            <w:tcW w:w="850" w:type="dxa"/>
            <w:tcBorders>
              <w:top w:val="nil"/>
              <w:left w:val="nil"/>
              <w:bottom w:val="nil"/>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14 411</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4" w:space="0" w:color="auto"/>
              <w:right w:val="nil"/>
            </w:tcBorders>
          </w:tcPr>
          <w:p w:rsidR="004B6846" w:rsidRPr="00C34C81" w:rsidRDefault="004B6846" w:rsidP="00CC0EB7">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Other operating expenses</w:t>
            </w:r>
          </w:p>
        </w:tc>
        <w:tc>
          <w:tcPr>
            <w:tcW w:w="850" w:type="dxa"/>
            <w:tcBorders>
              <w:top w:val="nil"/>
              <w:left w:val="nil"/>
              <w:bottom w:val="single" w:sz="4" w:space="0" w:color="auto"/>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21 296</w:t>
            </w:r>
          </w:p>
        </w:tc>
        <w:tc>
          <w:tcPr>
            <w:tcW w:w="850" w:type="dxa"/>
            <w:tcBorders>
              <w:top w:val="nil"/>
              <w:left w:val="nil"/>
              <w:bottom w:val="single" w:sz="4" w:space="0" w:color="auto"/>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20 305</w:t>
            </w:r>
          </w:p>
        </w:tc>
        <w:tc>
          <w:tcPr>
            <w:tcW w:w="850" w:type="dxa"/>
            <w:tcBorders>
              <w:top w:val="nil"/>
              <w:left w:val="nil"/>
              <w:bottom w:val="single" w:sz="4" w:space="0" w:color="auto"/>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20 016</w:t>
            </w:r>
          </w:p>
        </w:tc>
        <w:tc>
          <w:tcPr>
            <w:tcW w:w="850" w:type="dxa"/>
            <w:tcBorders>
              <w:top w:val="nil"/>
              <w:left w:val="nil"/>
              <w:bottom w:val="single" w:sz="4" w:space="0" w:color="auto"/>
              <w:right w:val="nil"/>
            </w:tcBorders>
          </w:tcPr>
          <w:p w:rsidR="004B6846" w:rsidRPr="00C34C8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20 498</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4365" w:type="dxa"/>
            <w:tcBorders>
              <w:top w:val="single" w:sz="4" w:space="0" w:color="auto"/>
              <w:left w:val="nil"/>
              <w:bottom w:val="nil"/>
              <w:right w:val="nil"/>
            </w:tcBorders>
          </w:tcPr>
          <w:p w:rsidR="004B6846" w:rsidRPr="00C34C81" w:rsidRDefault="004B6846" w:rsidP="00CC0EB7">
            <w:pPr>
              <w:keepLines w:val="0"/>
              <w:autoSpaceDE w:val="0"/>
              <w:autoSpaceDN w:val="0"/>
              <w:adjustRightInd w:val="0"/>
              <w:rPr>
                <w:rFonts w:eastAsiaTheme="minorEastAsia" w:cstheme="majorHAnsi"/>
                <w:b/>
                <w:bCs/>
                <w:color w:val="000000"/>
                <w:szCs w:val="18"/>
                <w:lang w:eastAsia="en-AU"/>
              </w:rPr>
            </w:pPr>
            <w:r w:rsidRPr="00C34C81">
              <w:rPr>
                <w:rFonts w:eastAsiaTheme="minorEastAsia" w:cstheme="majorHAnsi"/>
                <w:b/>
                <w:bCs/>
                <w:color w:val="000000"/>
                <w:szCs w:val="18"/>
                <w:lang w:eastAsia="en-AU"/>
              </w:rPr>
              <w:t>Total expenses</w:t>
            </w:r>
          </w:p>
        </w:tc>
        <w:tc>
          <w:tcPr>
            <w:tcW w:w="850" w:type="dxa"/>
            <w:tcBorders>
              <w:top w:val="single" w:sz="4" w:space="0" w:color="auto"/>
              <w:left w:val="nil"/>
              <w:bottom w:val="nil"/>
              <w:right w:val="nil"/>
            </w:tcBorders>
          </w:tcPr>
          <w:p w:rsidR="004B6846" w:rsidRPr="009D1F0D" w:rsidRDefault="004B6846" w:rsidP="00CC0EB7">
            <w:pPr>
              <w:keepLines w:val="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9D1F0D">
              <w:rPr>
                <w:rFonts w:ascii="Calibri" w:hAnsi="Calibri" w:cs="Calibri"/>
                <w:b/>
                <w:bCs/>
                <w:color w:val="000000"/>
                <w:szCs w:val="17"/>
              </w:rPr>
              <w:t>67 517</w:t>
            </w:r>
          </w:p>
        </w:tc>
        <w:tc>
          <w:tcPr>
            <w:tcW w:w="850" w:type="dxa"/>
            <w:tcBorders>
              <w:top w:val="single" w:sz="4" w:space="0" w:color="auto"/>
              <w:left w:val="nil"/>
              <w:bottom w:val="nil"/>
              <w:right w:val="nil"/>
            </w:tcBorders>
          </w:tcPr>
          <w:p w:rsidR="004B6846" w:rsidRPr="009D1F0D"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9D1F0D">
              <w:rPr>
                <w:rFonts w:ascii="Calibri" w:hAnsi="Calibri" w:cs="Calibri"/>
                <w:b/>
                <w:bCs/>
                <w:color w:val="000000"/>
                <w:szCs w:val="17"/>
              </w:rPr>
              <w:t>69 403</w:t>
            </w:r>
          </w:p>
        </w:tc>
        <w:tc>
          <w:tcPr>
            <w:tcW w:w="850" w:type="dxa"/>
            <w:tcBorders>
              <w:top w:val="single" w:sz="4" w:space="0" w:color="auto"/>
              <w:left w:val="nil"/>
              <w:bottom w:val="nil"/>
              <w:right w:val="nil"/>
            </w:tcBorders>
          </w:tcPr>
          <w:p w:rsidR="004B6846" w:rsidRPr="009D1F0D"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9D1F0D">
              <w:rPr>
                <w:rFonts w:ascii="Calibri" w:hAnsi="Calibri" w:cs="Calibri"/>
                <w:b/>
                <w:bCs/>
                <w:color w:val="000000"/>
                <w:szCs w:val="17"/>
              </w:rPr>
              <w:t>70 544</w:t>
            </w:r>
          </w:p>
        </w:tc>
        <w:tc>
          <w:tcPr>
            <w:tcW w:w="850" w:type="dxa"/>
            <w:tcBorders>
              <w:top w:val="single" w:sz="4" w:space="0" w:color="auto"/>
              <w:left w:val="nil"/>
              <w:bottom w:val="nil"/>
              <w:right w:val="nil"/>
            </w:tcBorders>
          </w:tcPr>
          <w:p w:rsidR="004B6846" w:rsidRPr="009D1F0D"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9D1F0D">
              <w:rPr>
                <w:rFonts w:ascii="Calibri" w:hAnsi="Calibri" w:cs="Calibri"/>
                <w:b/>
                <w:bCs/>
                <w:color w:val="000000"/>
                <w:szCs w:val="17"/>
              </w:rPr>
              <w:t>72 833</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C34C81" w:rsidRDefault="004B6846" w:rsidP="00CC0EB7">
            <w:pPr>
              <w:keepLines w:val="0"/>
              <w:autoSpaceDE w:val="0"/>
              <w:autoSpaceDN w:val="0"/>
              <w:adjustRightInd w:val="0"/>
              <w:rPr>
                <w:rFonts w:eastAsiaTheme="minorEastAsia" w:cstheme="majorHAnsi"/>
                <w:i/>
                <w:iCs/>
                <w:color w:val="000000"/>
                <w:szCs w:val="18"/>
                <w:lang w:eastAsia="en-AU"/>
              </w:rPr>
            </w:pPr>
            <w:r w:rsidRPr="00C34C81">
              <w:rPr>
                <w:rFonts w:eastAsiaTheme="minorEastAsia" w:cstheme="majorHAnsi"/>
                <w:i/>
                <w:iCs/>
                <w:color w:val="000000"/>
                <w:szCs w:val="18"/>
                <w:lang w:eastAsia="en-AU"/>
              </w:rPr>
              <w:t>% change</w:t>
            </w:r>
          </w:p>
        </w:tc>
        <w:tc>
          <w:tcPr>
            <w:tcW w:w="850" w:type="dxa"/>
            <w:tcBorders>
              <w:top w:val="nil"/>
              <w:left w:val="nil"/>
              <w:bottom w:val="nil"/>
              <w:right w:val="nil"/>
            </w:tcBorders>
          </w:tcPr>
          <w:p w:rsidR="004B6846" w:rsidRPr="009D1F0D" w:rsidRDefault="005F7313"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17"/>
              </w:rPr>
            </w:pPr>
            <w:r>
              <w:rPr>
                <w:rFonts w:eastAsiaTheme="minorEastAsia" w:cstheme="majorHAnsi"/>
                <w:i/>
                <w:iCs/>
                <w:color w:val="000000"/>
                <w:szCs w:val="17"/>
                <w:lang w:eastAsia="en-AU"/>
              </w:rPr>
              <w:t>8.4</w:t>
            </w:r>
          </w:p>
        </w:tc>
        <w:tc>
          <w:tcPr>
            <w:tcW w:w="850" w:type="dxa"/>
            <w:tcBorders>
              <w:top w:val="nil"/>
              <w:left w:val="nil"/>
              <w:bottom w:val="nil"/>
              <w:right w:val="nil"/>
            </w:tcBorders>
          </w:tcPr>
          <w:p w:rsidR="004B6846" w:rsidRPr="009D1F0D" w:rsidRDefault="005F7313"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17"/>
              </w:rPr>
            </w:pPr>
            <w:r>
              <w:rPr>
                <w:rFonts w:eastAsiaTheme="minorEastAsia" w:cstheme="majorHAnsi"/>
                <w:i/>
                <w:iCs/>
                <w:color w:val="000000"/>
                <w:szCs w:val="17"/>
                <w:lang w:eastAsia="en-AU"/>
              </w:rPr>
              <w:t>2.8</w:t>
            </w:r>
          </w:p>
        </w:tc>
        <w:tc>
          <w:tcPr>
            <w:tcW w:w="850" w:type="dxa"/>
            <w:tcBorders>
              <w:top w:val="nil"/>
              <w:left w:val="nil"/>
              <w:bottom w:val="nil"/>
              <w:right w:val="nil"/>
            </w:tcBorders>
          </w:tcPr>
          <w:p w:rsidR="004B6846" w:rsidRPr="009D1F0D" w:rsidRDefault="005F7313"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17"/>
              </w:rPr>
            </w:pPr>
            <w:r>
              <w:rPr>
                <w:rFonts w:eastAsiaTheme="minorEastAsia" w:cstheme="majorHAnsi"/>
                <w:i/>
                <w:iCs/>
                <w:color w:val="000000"/>
                <w:szCs w:val="17"/>
                <w:lang w:eastAsia="en-AU"/>
              </w:rPr>
              <w:t>1.6</w:t>
            </w:r>
          </w:p>
        </w:tc>
        <w:tc>
          <w:tcPr>
            <w:tcW w:w="850" w:type="dxa"/>
            <w:tcBorders>
              <w:top w:val="nil"/>
              <w:left w:val="nil"/>
              <w:bottom w:val="nil"/>
              <w:right w:val="nil"/>
            </w:tcBorders>
          </w:tcPr>
          <w:p w:rsidR="004B6846" w:rsidRPr="009D1F0D" w:rsidRDefault="005F7313"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17"/>
              </w:rPr>
            </w:pPr>
            <w:r>
              <w:rPr>
                <w:rFonts w:eastAsiaTheme="minorEastAsia" w:cstheme="majorHAnsi"/>
                <w:i/>
                <w:iCs/>
                <w:color w:val="000000"/>
                <w:szCs w:val="17"/>
                <w:lang w:eastAsia="en-AU"/>
              </w:rPr>
              <w:t>3.2</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4B6846" w:rsidRPr="00C34C81" w:rsidRDefault="004B6846" w:rsidP="00CC0EB7">
            <w:pPr>
              <w:keepLines w:val="0"/>
              <w:autoSpaceDE w:val="0"/>
              <w:autoSpaceDN w:val="0"/>
              <w:adjustRightInd w:val="0"/>
              <w:rPr>
                <w:rFonts w:eastAsiaTheme="minorEastAsia" w:cstheme="majorHAnsi"/>
                <w:b/>
                <w:bCs/>
                <w:color w:val="000000"/>
                <w:szCs w:val="18"/>
                <w:lang w:eastAsia="en-AU"/>
              </w:rPr>
            </w:pPr>
            <w:r w:rsidRPr="00C34C81">
              <w:rPr>
                <w:rFonts w:eastAsiaTheme="minorEastAsia" w:cstheme="majorHAnsi"/>
                <w:b/>
                <w:bCs/>
                <w:color w:val="000000"/>
                <w:szCs w:val="18"/>
                <w:lang w:eastAsia="en-AU"/>
              </w:rPr>
              <w:t>Net result from transactions</w:t>
            </w:r>
          </w:p>
        </w:tc>
        <w:tc>
          <w:tcPr>
            <w:tcW w:w="850" w:type="dxa"/>
            <w:tcBorders>
              <w:top w:val="single" w:sz="6" w:space="0" w:color="auto"/>
              <w:left w:val="nil"/>
              <w:bottom w:val="single" w:sz="6" w:space="0" w:color="auto"/>
              <w:right w:val="nil"/>
            </w:tcBorders>
          </w:tcPr>
          <w:p w:rsidR="004B6846" w:rsidRPr="009D1F0D" w:rsidRDefault="004B6846" w:rsidP="00CC0EB7">
            <w:pPr>
              <w:keepLines w:val="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9D1F0D">
              <w:rPr>
                <w:rFonts w:ascii="Calibri" w:hAnsi="Calibri" w:cs="Calibri"/>
                <w:b/>
                <w:bCs/>
                <w:color w:val="000000"/>
                <w:szCs w:val="17"/>
              </w:rPr>
              <w:t>2 241</w:t>
            </w:r>
          </w:p>
        </w:tc>
        <w:tc>
          <w:tcPr>
            <w:tcW w:w="850" w:type="dxa"/>
            <w:tcBorders>
              <w:top w:val="single" w:sz="6" w:space="0" w:color="auto"/>
              <w:left w:val="nil"/>
              <w:bottom w:val="single" w:sz="6" w:space="0" w:color="auto"/>
              <w:right w:val="nil"/>
            </w:tcBorders>
          </w:tcPr>
          <w:p w:rsidR="004B6846" w:rsidRPr="009D1F0D"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9D1F0D">
              <w:rPr>
                <w:rFonts w:ascii="Calibri" w:hAnsi="Calibri" w:cs="Calibri"/>
                <w:b/>
                <w:bCs/>
                <w:color w:val="000000"/>
                <w:szCs w:val="17"/>
              </w:rPr>
              <w:t>1 725</w:t>
            </w:r>
          </w:p>
        </w:tc>
        <w:tc>
          <w:tcPr>
            <w:tcW w:w="850" w:type="dxa"/>
            <w:tcBorders>
              <w:top w:val="single" w:sz="6" w:space="0" w:color="auto"/>
              <w:left w:val="nil"/>
              <w:bottom w:val="single" w:sz="6" w:space="0" w:color="auto"/>
              <w:right w:val="nil"/>
            </w:tcBorders>
          </w:tcPr>
          <w:p w:rsidR="004B6846" w:rsidRPr="009D1F0D"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9D1F0D">
              <w:rPr>
                <w:rFonts w:ascii="Calibri" w:hAnsi="Calibri" w:cs="Calibri"/>
                <w:b/>
                <w:bCs/>
                <w:color w:val="000000"/>
                <w:szCs w:val="17"/>
              </w:rPr>
              <w:t>2 677</w:t>
            </w:r>
          </w:p>
        </w:tc>
        <w:tc>
          <w:tcPr>
            <w:tcW w:w="850" w:type="dxa"/>
            <w:tcBorders>
              <w:top w:val="single" w:sz="6" w:space="0" w:color="auto"/>
              <w:left w:val="nil"/>
              <w:bottom w:val="single" w:sz="6" w:space="0" w:color="auto"/>
              <w:right w:val="nil"/>
            </w:tcBorders>
          </w:tcPr>
          <w:p w:rsidR="004B6846" w:rsidRPr="009D1F0D"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9D1F0D">
              <w:rPr>
                <w:rFonts w:ascii="Calibri" w:hAnsi="Calibri" w:cs="Calibri"/>
                <w:b/>
                <w:bCs/>
                <w:color w:val="000000"/>
                <w:szCs w:val="17"/>
              </w:rPr>
              <w:t>2 984</w:t>
            </w:r>
          </w:p>
        </w:tc>
      </w:tr>
      <w:tr w:rsidR="004B6846" w:rsidRPr="00C34C81" w:rsidTr="00CC0EB7">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4B6846" w:rsidRPr="00C34C81" w:rsidRDefault="004B6846" w:rsidP="00CC0EB7">
            <w:pPr>
              <w:keepLines w:val="0"/>
              <w:autoSpaceDE w:val="0"/>
              <w:autoSpaceDN w:val="0"/>
              <w:adjustRightInd w:val="0"/>
              <w:rPr>
                <w:rFonts w:eastAsiaTheme="minorEastAsia" w:cstheme="majorHAnsi"/>
                <w:b/>
                <w:bCs/>
                <w:color w:val="000000"/>
                <w:szCs w:val="18"/>
                <w:lang w:eastAsia="en-AU"/>
              </w:rPr>
            </w:pPr>
            <w:r w:rsidRPr="00C34C81">
              <w:rPr>
                <w:rFonts w:eastAsiaTheme="minorEastAsia" w:cstheme="majorHAnsi"/>
                <w:b/>
                <w:bCs/>
                <w:color w:val="000000"/>
                <w:szCs w:val="18"/>
                <w:lang w:eastAsia="en-AU"/>
              </w:rPr>
              <w:t xml:space="preserve">Total other economic flows included in net result </w:t>
            </w:r>
            <w:r w:rsidRPr="00C34C81">
              <w:rPr>
                <w:rFonts w:eastAsiaTheme="minorEastAsia" w:cstheme="majorHAnsi"/>
                <w:b/>
                <w:bCs/>
                <w:color w:val="000000"/>
                <w:szCs w:val="18"/>
                <w:vertAlign w:val="superscript"/>
                <w:lang w:eastAsia="en-AU"/>
              </w:rPr>
              <w:t>(d)</w:t>
            </w:r>
          </w:p>
        </w:tc>
        <w:tc>
          <w:tcPr>
            <w:tcW w:w="850" w:type="dxa"/>
            <w:tcBorders>
              <w:top w:val="single" w:sz="6" w:space="0" w:color="auto"/>
              <w:left w:val="nil"/>
              <w:bottom w:val="single" w:sz="6" w:space="0" w:color="auto"/>
              <w:right w:val="nil"/>
            </w:tcBorders>
          </w:tcPr>
          <w:p w:rsidR="004B6846" w:rsidRPr="009D1F0D" w:rsidRDefault="005F7313"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Pr>
                <w:rFonts w:ascii="Calibri" w:hAnsi="Calibri" w:cs="Calibri"/>
                <w:b/>
                <w:bCs/>
                <w:color w:val="000000"/>
                <w:szCs w:val="17"/>
              </w:rPr>
              <w:t>(233)</w:t>
            </w:r>
          </w:p>
        </w:tc>
        <w:tc>
          <w:tcPr>
            <w:tcW w:w="850" w:type="dxa"/>
            <w:tcBorders>
              <w:top w:val="single" w:sz="6" w:space="0" w:color="auto"/>
              <w:left w:val="nil"/>
              <w:bottom w:val="single" w:sz="6" w:space="0" w:color="auto"/>
              <w:right w:val="nil"/>
            </w:tcBorders>
          </w:tcPr>
          <w:p w:rsidR="004B6846" w:rsidRPr="009D1F0D" w:rsidRDefault="005F7313"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Pr>
                <w:rFonts w:ascii="Calibri" w:hAnsi="Calibri" w:cs="Calibri"/>
                <w:b/>
                <w:bCs/>
                <w:color w:val="000000"/>
                <w:szCs w:val="17"/>
              </w:rPr>
              <w:t>(251)</w:t>
            </w:r>
          </w:p>
        </w:tc>
        <w:tc>
          <w:tcPr>
            <w:tcW w:w="850" w:type="dxa"/>
            <w:tcBorders>
              <w:top w:val="single" w:sz="6" w:space="0" w:color="auto"/>
              <w:left w:val="nil"/>
              <w:bottom w:val="single" w:sz="6" w:space="0" w:color="auto"/>
              <w:right w:val="nil"/>
            </w:tcBorders>
          </w:tcPr>
          <w:p w:rsidR="004B6846" w:rsidRPr="009D1F0D" w:rsidRDefault="005F7313"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Pr>
                <w:rFonts w:ascii="Calibri" w:hAnsi="Calibri" w:cs="Calibri"/>
                <w:b/>
                <w:bCs/>
                <w:color w:val="000000"/>
                <w:szCs w:val="17"/>
              </w:rPr>
              <w:t>(265)</w:t>
            </w:r>
          </w:p>
        </w:tc>
        <w:tc>
          <w:tcPr>
            <w:tcW w:w="850" w:type="dxa"/>
            <w:tcBorders>
              <w:top w:val="single" w:sz="6" w:space="0" w:color="auto"/>
              <w:left w:val="nil"/>
              <w:bottom w:val="single" w:sz="6" w:space="0" w:color="auto"/>
              <w:right w:val="nil"/>
            </w:tcBorders>
          </w:tcPr>
          <w:p w:rsidR="004B6846" w:rsidRPr="009D1F0D" w:rsidRDefault="005F7313"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Pr>
                <w:rFonts w:ascii="Calibri" w:hAnsi="Calibri" w:cs="Calibri"/>
                <w:b/>
                <w:bCs/>
                <w:color w:val="000000"/>
                <w:szCs w:val="17"/>
              </w:rPr>
              <w:t>(284)</w:t>
            </w:r>
          </w:p>
        </w:tc>
      </w:tr>
      <w:tr w:rsidR="004B6846" w:rsidRPr="00C34C8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rsidR="004B6846" w:rsidRPr="00C34C81" w:rsidRDefault="004B6846" w:rsidP="00CC0EB7">
            <w:pPr>
              <w:keepLines w:val="0"/>
              <w:autoSpaceDE w:val="0"/>
              <w:autoSpaceDN w:val="0"/>
              <w:adjustRightInd w:val="0"/>
              <w:rPr>
                <w:rFonts w:eastAsiaTheme="minorEastAsia" w:cstheme="majorHAnsi"/>
                <w:bCs/>
                <w:color w:val="000000"/>
                <w:szCs w:val="18"/>
                <w:lang w:eastAsia="en-AU"/>
              </w:rPr>
            </w:pPr>
            <w:r w:rsidRPr="00C34C81">
              <w:rPr>
                <w:rFonts w:eastAsiaTheme="minorEastAsia" w:cstheme="majorHAnsi"/>
                <w:bCs/>
                <w:color w:val="000000"/>
                <w:szCs w:val="18"/>
                <w:lang w:eastAsia="en-AU"/>
              </w:rPr>
              <w:t>Net result</w:t>
            </w:r>
          </w:p>
        </w:tc>
        <w:tc>
          <w:tcPr>
            <w:tcW w:w="850" w:type="dxa"/>
            <w:tcBorders>
              <w:top w:val="single" w:sz="6" w:space="0" w:color="auto"/>
              <w:bottom w:val="single" w:sz="12" w:space="0" w:color="auto"/>
            </w:tcBorders>
          </w:tcPr>
          <w:p w:rsidR="004B6846" w:rsidRPr="009D1F0D" w:rsidRDefault="004B6846" w:rsidP="00CC0EB7">
            <w:pPr>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9D1F0D">
              <w:rPr>
                <w:rFonts w:ascii="Calibri" w:hAnsi="Calibri" w:cs="Calibri"/>
                <w:bCs/>
                <w:color w:val="000000"/>
                <w:szCs w:val="17"/>
              </w:rPr>
              <w:t>2 008</w:t>
            </w:r>
          </w:p>
        </w:tc>
        <w:tc>
          <w:tcPr>
            <w:tcW w:w="850" w:type="dxa"/>
            <w:tcBorders>
              <w:top w:val="single" w:sz="6" w:space="0" w:color="auto"/>
              <w:bottom w:val="single" w:sz="12" w:space="0" w:color="auto"/>
            </w:tcBorders>
          </w:tcPr>
          <w:p w:rsidR="004B6846" w:rsidRPr="009D1F0D" w:rsidRDefault="004B6846" w:rsidP="00CC0EB7">
            <w:pPr>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9D1F0D">
              <w:rPr>
                <w:rFonts w:ascii="Calibri" w:hAnsi="Calibri" w:cs="Calibri"/>
                <w:bCs/>
                <w:color w:val="000000"/>
                <w:szCs w:val="17"/>
              </w:rPr>
              <w:t>1 473</w:t>
            </w:r>
          </w:p>
        </w:tc>
        <w:tc>
          <w:tcPr>
            <w:tcW w:w="850" w:type="dxa"/>
            <w:tcBorders>
              <w:top w:val="single" w:sz="6" w:space="0" w:color="auto"/>
              <w:bottom w:val="single" w:sz="12" w:space="0" w:color="auto"/>
            </w:tcBorders>
          </w:tcPr>
          <w:p w:rsidR="004B6846" w:rsidRPr="009D1F0D" w:rsidRDefault="004B6846" w:rsidP="00CC0EB7">
            <w:pPr>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9D1F0D">
              <w:rPr>
                <w:rFonts w:ascii="Calibri" w:hAnsi="Calibri" w:cs="Calibri"/>
                <w:bCs/>
                <w:color w:val="000000"/>
                <w:szCs w:val="17"/>
              </w:rPr>
              <w:t>2 412</w:t>
            </w:r>
          </w:p>
        </w:tc>
        <w:tc>
          <w:tcPr>
            <w:tcW w:w="850" w:type="dxa"/>
            <w:tcBorders>
              <w:top w:val="single" w:sz="6" w:space="0" w:color="auto"/>
              <w:bottom w:val="single" w:sz="12" w:space="0" w:color="auto"/>
            </w:tcBorders>
          </w:tcPr>
          <w:p w:rsidR="004B6846" w:rsidRPr="009D1F0D" w:rsidRDefault="004B6846" w:rsidP="00CC0EB7">
            <w:pPr>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9D1F0D">
              <w:rPr>
                <w:rFonts w:ascii="Calibri" w:hAnsi="Calibri" w:cs="Calibri"/>
                <w:bCs/>
                <w:color w:val="000000"/>
                <w:szCs w:val="17"/>
              </w:rPr>
              <w:t>2 700</w:t>
            </w:r>
          </w:p>
        </w:tc>
      </w:tr>
    </w:tbl>
    <w:p w:rsidR="004B6846" w:rsidRPr="00C203E5" w:rsidRDefault="004B6846" w:rsidP="00CC0EB7">
      <w:pPr>
        <w:pStyle w:val="Source"/>
      </w:pPr>
      <w:r w:rsidRPr="00C203E5">
        <w:t>Source: Department of Treasury and Finance</w:t>
      </w:r>
    </w:p>
    <w:p w:rsidR="004B6846" w:rsidRPr="00C203E5" w:rsidRDefault="004B6846" w:rsidP="00CC0EB7">
      <w:pPr>
        <w:pStyle w:val="Note"/>
      </w:pPr>
      <w:r w:rsidRPr="00C203E5">
        <w:t>Notes:</w:t>
      </w:r>
    </w:p>
    <w:p w:rsidR="004B6846" w:rsidRPr="00C203E5" w:rsidRDefault="004B6846" w:rsidP="00CC0EB7">
      <w:pPr>
        <w:pStyle w:val="Note"/>
      </w:pPr>
      <w:r w:rsidRPr="00C203E5">
        <w:t xml:space="preserve">(a) </w:t>
      </w:r>
      <w:r w:rsidRPr="00C203E5">
        <w:tab/>
        <w:t>Figures in this table are subject to rounding to the nearest</w:t>
      </w:r>
      <w:r>
        <w:t> million</w:t>
      </w:r>
      <w:r w:rsidRPr="00C203E5">
        <w:t xml:space="preserve"> and may not add up to totals.</w:t>
      </w:r>
    </w:p>
    <w:p w:rsidR="004B6846" w:rsidRPr="00C203E5" w:rsidRDefault="004B6846" w:rsidP="00CC0EB7">
      <w:pPr>
        <w:pStyle w:val="Note"/>
      </w:pPr>
      <w:r w:rsidRPr="00C203E5">
        <w:t xml:space="preserve">(b) </w:t>
      </w:r>
      <w:r w:rsidRPr="00C203E5">
        <w:tab/>
        <w:t>Comprises dividends, income tax and rate equivalent revenue and interest.</w:t>
      </w:r>
    </w:p>
    <w:p w:rsidR="004B6846" w:rsidRPr="00C203E5" w:rsidRDefault="004B6846" w:rsidP="00CC0EB7">
      <w:pPr>
        <w:pStyle w:val="Note"/>
      </w:pPr>
      <w:r>
        <w:t>(c</w:t>
      </w:r>
      <w:r w:rsidRPr="00C203E5">
        <w:t>)</w:t>
      </w:r>
      <w:r w:rsidRPr="00C203E5">
        <w:tab/>
        <w:t>Comprises superannuation interest expense and other superannuation expenses.</w:t>
      </w:r>
    </w:p>
    <w:p w:rsidR="004B6846" w:rsidRDefault="004B6846" w:rsidP="00CC0EB7">
      <w:pPr>
        <w:pStyle w:val="Note"/>
      </w:pPr>
      <w:r w:rsidRPr="00C203E5">
        <w:t>(</w:t>
      </w:r>
      <w:r>
        <w:t>d</w:t>
      </w:r>
      <w:r w:rsidRPr="00C203E5">
        <w:t xml:space="preserve">) </w:t>
      </w:r>
      <w:r w:rsidRPr="00C203E5">
        <w:tab/>
        <w:t>This typically includes gains and losses from the disposal of non</w:t>
      </w:r>
      <w:r w:rsidRPr="00C203E5">
        <w:noBreakHyphen/>
        <w:t>financial assets, adjustments for bad and doubtful debts and revaluations of financial assets and liabilities.</w:t>
      </w:r>
    </w:p>
    <w:p w:rsidR="004B6846" w:rsidRDefault="004B6846">
      <w:pPr>
        <w:keepLines w:val="0"/>
        <w:rPr>
          <w:rFonts w:asciiTheme="majorHAnsi" w:hAnsiTheme="majorHAnsi" w:cstheme="majorBidi"/>
          <w:b/>
          <w:spacing w:val="-2"/>
          <w:sz w:val="26"/>
          <w:szCs w:val="26"/>
        </w:rPr>
      </w:pPr>
      <w:r>
        <w:br w:type="page"/>
      </w:r>
    </w:p>
    <w:p w:rsidR="004B6846" w:rsidRPr="00C203E5" w:rsidRDefault="004B6846" w:rsidP="00CC0EB7">
      <w:pPr>
        <w:pStyle w:val="Heading20"/>
        <w:rPr>
          <w:rFonts w:eastAsiaTheme="minorHAnsi"/>
        </w:rPr>
      </w:pPr>
      <w:r w:rsidRPr="00C203E5">
        <w:rPr>
          <w:rFonts w:eastAsiaTheme="minorHAnsi"/>
        </w:rPr>
        <w:lastRenderedPageBreak/>
        <w:t>Revenue outlook</w:t>
      </w:r>
    </w:p>
    <w:p w:rsidR="004B6846" w:rsidRPr="00C203E5" w:rsidRDefault="004B6846" w:rsidP="00CC0EB7">
      <w:r w:rsidRPr="008C03EC">
        <w:t>T</w:t>
      </w:r>
      <w:r>
        <w:t>otal revenue for the g</w:t>
      </w:r>
      <w:r w:rsidRPr="00C203E5">
        <w:t xml:space="preserve">eneral government sector is expected to </w:t>
      </w:r>
      <w:r>
        <w:t>be</w:t>
      </w:r>
      <w:r w:rsidRPr="00C203E5">
        <w:t xml:space="preserve"> $</w:t>
      </w:r>
      <w:r>
        <w:t>69.8 billion</w:t>
      </w:r>
      <w:r w:rsidRPr="00C203E5">
        <w:t xml:space="preserve"> in 2018</w:t>
      </w:r>
      <w:r w:rsidRPr="00C203E5">
        <w:noBreakHyphen/>
        <w:t>19, with revenue growth projected to average 4.</w:t>
      </w:r>
      <w:r>
        <w:t>1</w:t>
      </w:r>
      <w:r w:rsidRPr="00C203E5">
        <w:t> per cent a year over the budget and forward estimates.</w:t>
      </w:r>
    </w:p>
    <w:p w:rsidR="004B6846" w:rsidRPr="00C203E5" w:rsidRDefault="004B6846" w:rsidP="00CC0EB7">
      <w:pPr>
        <w:pStyle w:val="Heading30"/>
        <w:rPr>
          <w:rFonts w:eastAsiaTheme="minorHAnsi"/>
        </w:rPr>
      </w:pPr>
      <w:r w:rsidRPr="00C203E5">
        <w:rPr>
          <w:rFonts w:eastAsiaTheme="minorHAnsi"/>
        </w:rPr>
        <w:t>Taxation</w:t>
      </w:r>
    </w:p>
    <w:p w:rsidR="004B6846" w:rsidRPr="004F3096" w:rsidRDefault="004B6846" w:rsidP="00CC0EB7">
      <w:r w:rsidRPr="000244D1">
        <w:rPr>
          <w:rFonts w:cstheme="minorHAnsi"/>
          <w:color w:val="000000"/>
        </w:rPr>
        <w:t>Taxation revenue is forecast to be $24.</w:t>
      </w:r>
      <w:r>
        <w:rPr>
          <w:rFonts w:cstheme="minorHAnsi"/>
          <w:color w:val="000000"/>
        </w:rPr>
        <w:t>1</w:t>
      </w:r>
      <w:r w:rsidRPr="000244D1">
        <w:rPr>
          <w:rFonts w:cstheme="minorHAnsi"/>
          <w:color w:val="000000"/>
        </w:rPr>
        <w:t xml:space="preserve"> billion in 2018-19</w:t>
      </w:r>
      <w:r>
        <w:rPr>
          <w:rFonts w:cstheme="minorHAnsi"/>
          <w:color w:val="000000"/>
        </w:rPr>
        <w:t>, with t</w:t>
      </w:r>
      <w:r w:rsidRPr="000244D1">
        <w:rPr>
          <w:rFonts w:cstheme="minorHAnsi"/>
          <w:color w:val="000000"/>
        </w:rPr>
        <w:t xml:space="preserve">he </w:t>
      </w:r>
      <w:r>
        <w:rPr>
          <w:rFonts w:cstheme="minorHAnsi"/>
          <w:color w:val="000000"/>
        </w:rPr>
        <w:t>rate of growth in property related taxes forecast to decelerate.</w:t>
      </w:r>
      <w:r w:rsidRPr="000244D1" w:rsidDel="005122BF">
        <w:rPr>
          <w:rFonts w:cstheme="minorHAnsi"/>
          <w:color w:val="000000"/>
        </w:rPr>
        <w:t xml:space="preserve"> </w:t>
      </w:r>
      <w:r>
        <w:rPr>
          <w:rFonts w:cstheme="minorHAnsi"/>
          <w:color w:val="000000"/>
        </w:rPr>
        <w:t>Residential p</w:t>
      </w:r>
      <w:r w:rsidRPr="00F15FB7">
        <w:rPr>
          <w:rFonts w:cstheme="minorHAnsi"/>
          <w:color w:val="000000"/>
        </w:rPr>
        <w:t xml:space="preserve">roperty market conditions in 2018 </w:t>
      </w:r>
      <w:r>
        <w:rPr>
          <w:rFonts w:cstheme="minorHAnsi"/>
          <w:color w:val="000000"/>
        </w:rPr>
        <w:t>have weakened</w:t>
      </w:r>
      <w:r w:rsidRPr="00F15FB7">
        <w:rPr>
          <w:rFonts w:cstheme="minorHAnsi"/>
          <w:color w:val="000000"/>
        </w:rPr>
        <w:t xml:space="preserve"> </w:t>
      </w:r>
      <w:r>
        <w:rPr>
          <w:rFonts w:cstheme="minorHAnsi"/>
          <w:color w:val="000000"/>
        </w:rPr>
        <w:t xml:space="preserve">after several years of strong growth in prices and volume, with residential property prices in Victoria recording negative growth of 3.5 per cent in the year to October 2018 (Melbourne recorded negative growth of 4.7 per cent). </w:t>
      </w:r>
      <w:r w:rsidRPr="004F3096">
        <w:t>Specifically:</w:t>
      </w:r>
    </w:p>
    <w:p w:rsidR="004B6846" w:rsidRPr="004F3096" w:rsidRDefault="004B6846" w:rsidP="00393CA4">
      <w:pPr>
        <w:pStyle w:val="ListBullet"/>
        <w:numPr>
          <w:ilvl w:val="0"/>
          <w:numId w:val="16"/>
        </w:numPr>
      </w:pPr>
      <w:r w:rsidRPr="004F3096">
        <w:t xml:space="preserve">land transfer duty revenue is </w:t>
      </w:r>
      <w:r>
        <w:t>forecast</w:t>
      </w:r>
      <w:r w:rsidRPr="004F3096">
        <w:t xml:space="preserve"> to decline by </w:t>
      </w:r>
      <w:r>
        <w:t>6</w:t>
      </w:r>
      <w:r w:rsidRPr="004F3096">
        <w:t xml:space="preserve">.8 per cent to </w:t>
      </w:r>
      <w:r w:rsidRPr="00955B02">
        <w:t>$</w:t>
      </w:r>
      <w:r>
        <w:t>6.5</w:t>
      </w:r>
      <w:r w:rsidRPr="004F3096">
        <w:t> billion in 2018</w:t>
      </w:r>
      <w:r w:rsidRPr="004F3096">
        <w:noBreakHyphen/>
        <w:t xml:space="preserve">19 and </w:t>
      </w:r>
      <w:r>
        <w:t>grow</w:t>
      </w:r>
      <w:r w:rsidRPr="004F3096">
        <w:t xml:space="preserve"> </w:t>
      </w:r>
      <w:r>
        <w:t xml:space="preserve">by 2.1 per cent in 2019-20. Growth is expected </w:t>
      </w:r>
      <w:r w:rsidRPr="004F3096">
        <w:t>to average 3.5 per cent each year over the forward estimates.</w:t>
      </w:r>
      <w:r>
        <w:t xml:space="preserve"> L</w:t>
      </w:r>
      <w:r w:rsidRPr="00C203E5">
        <w:t xml:space="preserve">and transfer duty </w:t>
      </w:r>
      <w:r>
        <w:t xml:space="preserve">revenue was revised down by </w:t>
      </w:r>
      <w:r w:rsidRPr="00C203E5">
        <w:t>$</w:t>
      </w:r>
      <w:r>
        <w:t>2.4 billion</w:t>
      </w:r>
      <w:r w:rsidRPr="00C203E5">
        <w:t xml:space="preserve"> </w:t>
      </w:r>
      <w:r>
        <w:t>over four years</w:t>
      </w:r>
      <w:r w:rsidRPr="00036EE0">
        <w:t xml:space="preserve"> </w:t>
      </w:r>
      <w:r>
        <w:t xml:space="preserve">at the </w:t>
      </w:r>
      <w:r w:rsidRPr="00393CA4">
        <w:rPr>
          <w:i/>
        </w:rPr>
        <w:t>2018 Pre</w:t>
      </w:r>
      <w:r w:rsidRPr="00393CA4">
        <w:rPr>
          <w:i/>
        </w:rPr>
        <w:noBreakHyphen/>
        <w:t>Election Budget Update</w:t>
      </w:r>
      <w:r>
        <w:t>. Since then, r</w:t>
      </w:r>
      <w:r w:rsidRPr="00036EE0">
        <w:t>esidential prices, auction clearance rates and housing sentiment have weakened further, however, land transfer duty revenue remains stronger than these residential measures alone would suggest. In part, this reflects the changing composition of land transfer duty revenues and the resilience</w:t>
      </w:r>
      <w:r>
        <w:t xml:space="preserve"> of duties from non</w:t>
      </w:r>
      <w:r>
        <w:noBreakHyphen/>
        <w:t>residential transactions</w:t>
      </w:r>
      <w:r w:rsidRPr="004F3096">
        <w:t>;</w:t>
      </w:r>
      <w:r>
        <w:t xml:space="preserve"> and</w:t>
      </w:r>
    </w:p>
    <w:p w:rsidR="004B6846" w:rsidRPr="007B6C98" w:rsidRDefault="004B6846" w:rsidP="00393CA4">
      <w:pPr>
        <w:pStyle w:val="ListBullet"/>
        <w:numPr>
          <w:ilvl w:val="0"/>
          <w:numId w:val="16"/>
        </w:numPr>
      </w:pPr>
      <w:r w:rsidRPr="004F3096">
        <w:t>land tax</w:t>
      </w:r>
      <w:r>
        <w:t xml:space="preserve"> revenue</w:t>
      </w:r>
      <w:r w:rsidRPr="004F3096">
        <w:t xml:space="preserve"> </w:t>
      </w:r>
      <w:r>
        <w:t>is</w:t>
      </w:r>
      <w:r w:rsidRPr="004F3096">
        <w:t xml:space="preserve"> forecast to increase to $3.4 billion </w:t>
      </w:r>
      <w:r>
        <w:t>in 2018-19, reflecting rising residential and commercial property values and an increase in the number of liable properties between</w:t>
      </w:r>
      <w:r w:rsidRPr="004F3096">
        <w:t xml:space="preserve"> </w:t>
      </w:r>
      <w:r>
        <w:t>1 January 2016 and 31 </w:t>
      </w:r>
      <w:r w:rsidRPr="004F3096">
        <w:t>December 2017</w:t>
      </w:r>
      <w:r>
        <w:t>. Land t</w:t>
      </w:r>
      <w:r w:rsidRPr="004F3096">
        <w:t xml:space="preserve">ax </w:t>
      </w:r>
      <w:r>
        <w:t xml:space="preserve">revenue </w:t>
      </w:r>
      <w:r w:rsidRPr="004F3096">
        <w:t>growth is projected to moder</w:t>
      </w:r>
      <w:r>
        <w:t xml:space="preserve">ate over the forward estimates </w:t>
      </w:r>
      <w:r w:rsidRPr="004F3096">
        <w:t>as current property market conditions flow through to land valuations</w:t>
      </w:r>
      <w:r>
        <w:t>.</w:t>
      </w:r>
    </w:p>
    <w:p w:rsidR="004B6846" w:rsidRDefault="004B6846" w:rsidP="00CC0EB7">
      <w:r w:rsidRPr="004F3096">
        <w:t xml:space="preserve">Taxation </w:t>
      </w:r>
      <w:r>
        <w:t xml:space="preserve">revenue </w:t>
      </w:r>
      <w:r w:rsidRPr="004F3096">
        <w:t xml:space="preserve">from sources other than property is expected to increase at a steady </w:t>
      </w:r>
      <w:r>
        <w:t>rate</w:t>
      </w:r>
      <w:r w:rsidRPr="004F3096">
        <w:t xml:space="preserve"> over the forward estimates period. </w:t>
      </w:r>
      <w:r w:rsidRPr="004F3096">
        <w:rPr>
          <w:rFonts w:cstheme="minorHAnsi"/>
          <w:color w:val="000000"/>
        </w:rPr>
        <w:t xml:space="preserve">Strong economic growth in Victoria is translating into tighter labour market conditions </w:t>
      </w:r>
      <w:r>
        <w:rPr>
          <w:rFonts w:cstheme="minorHAnsi"/>
          <w:color w:val="000000"/>
        </w:rPr>
        <w:t>and</w:t>
      </w:r>
      <w:r w:rsidRPr="004F3096">
        <w:rPr>
          <w:rFonts w:cstheme="minorHAnsi"/>
          <w:color w:val="000000"/>
        </w:rPr>
        <w:t xml:space="preserve"> strengthening wage and income growth.</w:t>
      </w:r>
      <w:r w:rsidRPr="004F3096">
        <w:t xml:space="preserve"> </w:t>
      </w:r>
      <w:r>
        <w:t>Specifically:</w:t>
      </w:r>
    </w:p>
    <w:p w:rsidR="004B6846" w:rsidRPr="004F3096" w:rsidRDefault="004B6846" w:rsidP="00393CA4">
      <w:pPr>
        <w:pStyle w:val="ListBullet"/>
        <w:numPr>
          <w:ilvl w:val="0"/>
          <w:numId w:val="16"/>
        </w:numPr>
      </w:pPr>
      <w:r w:rsidRPr="007B6C98">
        <w:t xml:space="preserve">payroll tax revenue is forecast to grow by </w:t>
      </w:r>
      <w:r>
        <w:t>6.1</w:t>
      </w:r>
      <w:r w:rsidRPr="007B6C98">
        <w:t xml:space="preserve"> per cent in 2018-19 to $6.</w:t>
      </w:r>
      <w:r>
        <w:t>3</w:t>
      </w:r>
      <w:r w:rsidRPr="007B6C98">
        <w:t xml:space="preserve"> billion, and increase by </w:t>
      </w:r>
      <w:r>
        <w:t xml:space="preserve">an average of </w:t>
      </w:r>
      <w:r w:rsidRPr="007B6C98">
        <w:t>4.</w:t>
      </w:r>
      <w:r>
        <w:t>6</w:t>
      </w:r>
      <w:r w:rsidRPr="007B6C98">
        <w:t xml:space="preserve"> per cent per annum over the forward estimates. Higher payroll </w:t>
      </w:r>
      <w:r>
        <w:t xml:space="preserve">tax </w:t>
      </w:r>
      <w:r w:rsidRPr="007B6C98">
        <w:t>revenue is supported by a strengthening outlook for full-time employment and wage growth</w:t>
      </w:r>
      <w:r w:rsidRPr="004F3096">
        <w:t>;</w:t>
      </w:r>
    </w:p>
    <w:p w:rsidR="004B6846" w:rsidRPr="004F3096" w:rsidRDefault="004B6846" w:rsidP="00393CA4">
      <w:pPr>
        <w:pStyle w:val="ListBullet"/>
        <w:numPr>
          <w:ilvl w:val="0"/>
          <w:numId w:val="16"/>
        </w:numPr>
      </w:pPr>
      <w:r w:rsidRPr="004F3096">
        <w:t>gambling tax</w:t>
      </w:r>
      <w:r>
        <w:t xml:space="preserve"> revenue</w:t>
      </w:r>
      <w:r w:rsidRPr="004F3096">
        <w:t xml:space="preserve"> </w:t>
      </w:r>
      <w:r>
        <w:t>is</w:t>
      </w:r>
      <w:r w:rsidRPr="004F3096">
        <w:t xml:space="preserve"> forecast to grow to $1.9 billion in 2018-19. Forecasts incorporate additional revenue from the new lottery licence effective from 1</w:t>
      </w:r>
      <w:r>
        <w:t> </w:t>
      </w:r>
      <w:r w:rsidRPr="004F3096">
        <w:t>July 2018, and from the new p</w:t>
      </w:r>
      <w:r>
        <w:t>oint</w:t>
      </w:r>
      <w:r w:rsidRPr="004F3096">
        <w:t xml:space="preserve"> of consumption tax (POCT) on wagering, </w:t>
      </w:r>
      <w:r>
        <w:t>effective from 1 January 2019 that</w:t>
      </w:r>
      <w:r w:rsidRPr="004F3096">
        <w:t xml:space="preserve"> replace</w:t>
      </w:r>
      <w:r>
        <w:t>s</w:t>
      </w:r>
      <w:r w:rsidRPr="004F3096">
        <w:t xml:space="preserve"> the current wagering tax framework. Over the forward estimates, growth is expec</w:t>
      </w:r>
      <w:r>
        <w:t>ted to average 1.7 per cent per </w:t>
      </w:r>
      <w:r w:rsidRPr="004F3096">
        <w:t>annum;</w:t>
      </w:r>
    </w:p>
    <w:p w:rsidR="004B6846" w:rsidRPr="004F3096" w:rsidRDefault="004B6846" w:rsidP="00393CA4">
      <w:pPr>
        <w:pStyle w:val="ListBullet"/>
        <w:numPr>
          <w:ilvl w:val="0"/>
          <w:numId w:val="16"/>
        </w:numPr>
      </w:pPr>
      <w:r w:rsidRPr="004F3096">
        <w:t xml:space="preserve">insurance tax revenue is </w:t>
      </w:r>
      <w:r>
        <w:t>forecast</w:t>
      </w:r>
      <w:r w:rsidRPr="004F3096">
        <w:t xml:space="preserve"> to grow to $1.4 billion in 2018</w:t>
      </w:r>
      <w:r w:rsidRPr="004F3096">
        <w:noBreakHyphen/>
        <w:t>19</w:t>
      </w:r>
      <w:r>
        <w:t>,</w:t>
      </w:r>
      <w:r w:rsidRPr="004F3096">
        <w:t xml:space="preserve"> </w:t>
      </w:r>
      <w:r>
        <w:t>reflecting</w:t>
      </w:r>
      <w:r w:rsidRPr="004F3096">
        <w:t xml:space="preserve"> </w:t>
      </w:r>
      <w:r w:rsidRPr="00393CA4">
        <w:rPr>
          <w:rFonts w:cstheme="minorHAnsi"/>
          <w:color w:val="000000"/>
        </w:rPr>
        <w:t>strong premium growth across most insurance products</w:t>
      </w:r>
      <w:r w:rsidRPr="004F3096">
        <w:t>; and</w:t>
      </w:r>
    </w:p>
    <w:p w:rsidR="004B6846" w:rsidRPr="00165407" w:rsidRDefault="004B6846" w:rsidP="00393CA4">
      <w:pPr>
        <w:pStyle w:val="ListBullet"/>
        <w:numPr>
          <w:ilvl w:val="0"/>
          <w:numId w:val="16"/>
        </w:numPr>
      </w:pPr>
      <w:r w:rsidRPr="004F3096">
        <w:t>motor vehicle tax</w:t>
      </w:r>
      <w:r>
        <w:t xml:space="preserve"> revenue</w:t>
      </w:r>
      <w:r w:rsidRPr="004F3096">
        <w:t xml:space="preserve"> </w:t>
      </w:r>
      <w:r>
        <w:t>is</w:t>
      </w:r>
      <w:r w:rsidRPr="004F3096">
        <w:t xml:space="preserve"> </w:t>
      </w:r>
      <w:r>
        <w:t>forecast</w:t>
      </w:r>
      <w:r w:rsidRPr="004F3096">
        <w:t xml:space="preserve"> to grow to $2.7 billion in 2018</w:t>
      </w:r>
      <w:r w:rsidRPr="004F3096">
        <w:noBreakHyphen/>
        <w:t>19</w:t>
      </w:r>
      <w:r w:rsidRPr="00393CA4">
        <w:rPr>
          <w:rFonts w:cstheme="minorHAnsi"/>
          <w:color w:val="000000"/>
        </w:rPr>
        <w:t>.</w:t>
      </w:r>
    </w:p>
    <w:p w:rsidR="004B6846" w:rsidRDefault="004B6846">
      <w:pPr>
        <w:keepLines w:val="0"/>
        <w:rPr>
          <w:rFonts w:cstheme="minorHAnsi"/>
          <w:color w:val="000000"/>
        </w:rPr>
      </w:pPr>
      <w:r>
        <w:rPr>
          <w:rFonts w:cstheme="minorHAnsi"/>
          <w:color w:val="000000"/>
        </w:rPr>
        <w:br w:type="page"/>
      </w:r>
    </w:p>
    <w:p w:rsidR="004B6846" w:rsidRPr="00C203E5" w:rsidRDefault="004B6846" w:rsidP="00CC0EB7">
      <w:pPr>
        <w:pStyle w:val="Heading30"/>
        <w:spacing w:before="200"/>
        <w:rPr>
          <w:rFonts w:eastAsiaTheme="minorHAnsi"/>
        </w:rPr>
      </w:pPr>
      <w:r w:rsidRPr="00C203E5">
        <w:rPr>
          <w:rFonts w:eastAsiaTheme="minorHAnsi"/>
        </w:rPr>
        <w:lastRenderedPageBreak/>
        <w:t>Dividends, income tax equivalent and interest</w:t>
      </w:r>
    </w:p>
    <w:p w:rsidR="004B6846" w:rsidRPr="00C203E5" w:rsidRDefault="004B6846" w:rsidP="00CC0EB7">
      <w:r w:rsidRPr="00C203E5">
        <w:t>Dividen</w:t>
      </w:r>
      <w:r>
        <w:t>d and income tax equivalent</w:t>
      </w:r>
      <w:r w:rsidRPr="00C203E5">
        <w:t xml:space="preserve"> revenue is projected to be $</w:t>
      </w:r>
      <w:r>
        <w:t>1.1 billion</w:t>
      </w:r>
      <w:r w:rsidRPr="00C203E5">
        <w:t xml:space="preserve"> in 2018</w:t>
      </w:r>
      <w:r w:rsidRPr="00C203E5">
        <w:noBreakHyphen/>
        <w:t xml:space="preserve">19 and </w:t>
      </w:r>
      <w:r>
        <w:t>average $582 million across the forward estimates.</w:t>
      </w:r>
      <w:r w:rsidRPr="00C203E5">
        <w:t xml:space="preserve"> The </w:t>
      </w:r>
      <w:r>
        <w:t xml:space="preserve">higher revenue in 2018-19 is largely due </w:t>
      </w:r>
      <w:r w:rsidRPr="00C203E5">
        <w:t>to dividends received from the Victorian Managed Insurance Authority.</w:t>
      </w:r>
    </w:p>
    <w:p w:rsidR="004B6846" w:rsidRPr="00C203E5" w:rsidRDefault="004B6846" w:rsidP="00CC0EB7">
      <w:r w:rsidRPr="00C203E5">
        <w:t>Interest income is earned on holdings of cash and deposits. Total interest income is expected to be $8</w:t>
      </w:r>
      <w:r>
        <w:t>18 million</w:t>
      </w:r>
      <w:r w:rsidRPr="00C203E5">
        <w:t xml:space="preserve"> in 2018</w:t>
      </w:r>
      <w:r w:rsidRPr="00C203E5">
        <w:noBreakHyphen/>
        <w:t xml:space="preserve">19, and </w:t>
      </w:r>
      <w:r>
        <w:t xml:space="preserve">is forecast to </w:t>
      </w:r>
      <w:r w:rsidRPr="00C203E5">
        <w:t xml:space="preserve">decline by an average of </w:t>
      </w:r>
      <w:r>
        <w:t>2.8</w:t>
      </w:r>
      <w:r w:rsidRPr="00C203E5">
        <w:t> per cent a year over the following three years</w:t>
      </w:r>
      <w:r>
        <w:t>,</w:t>
      </w:r>
      <w:r w:rsidRPr="00C203E5">
        <w:t xml:space="preserve"> as money is drawn down from the Victorian Transport Fund to fund infrastructure.</w:t>
      </w:r>
    </w:p>
    <w:p w:rsidR="004B6846" w:rsidRPr="00C203E5" w:rsidRDefault="004B6846" w:rsidP="00CC0EB7">
      <w:pPr>
        <w:pStyle w:val="Heading30"/>
        <w:spacing w:before="180"/>
        <w:rPr>
          <w:rFonts w:eastAsiaTheme="minorHAnsi"/>
        </w:rPr>
      </w:pPr>
      <w:r w:rsidRPr="00C203E5">
        <w:rPr>
          <w:rFonts w:eastAsiaTheme="minorHAnsi"/>
        </w:rPr>
        <w:t>Sales of goods and services</w:t>
      </w:r>
    </w:p>
    <w:p w:rsidR="004B6846" w:rsidRDefault="004B6846" w:rsidP="00CC0EB7">
      <w:r w:rsidRPr="00C203E5">
        <w:t xml:space="preserve">Revenue from the sales of goods and services is expected to </w:t>
      </w:r>
      <w:r>
        <w:t>be $7.6 billion in 2018</w:t>
      </w:r>
      <w:r>
        <w:noBreakHyphen/>
        <w:t>19</w:t>
      </w:r>
      <w:r w:rsidRPr="00C203E5">
        <w:t>. Over the forward estimates, growth is expected to average 4.</w:t>
      </w:r>
      <w:r>
        <w:t>7</w:t>
      </w:r>
      <w:r w:rsidRPr="00C203E5">
        <w:t> per cent a year. This growth largely reflects increase</w:t>
      </w:r>
      <w:r>
        <w:t>s</w:t>
      </w:r>
      <w:r w:rsidRPr="00C203E5">
        <w:t xml:space="preserve"> in the capital asset charge revenue from VicTrack associated wit</w:t>
      </w:r>
      <w:r>
        <w:t>h an increase in its asset base,</w:t>
      </w:r>
      <w:r w:rsidRPr="003C6481">
        <w:t xml:space="preserve"> TAFE fees for service and </w:t>
      </w:r>
      <w:r>
        <w:t xml:space="preserve">hospital patient </w:t>
      </w:r>
      <w:r w:rsidRPr="003C6481">
        <w:t>fees</w:t>
      </w:r>
      <w:r w:rsidRPr="00C203E5">
        <w:t>.</w:t>
      </w:r>
    </w:p>
    <w:p w:rsidR="004B6846" w:rsidRPr="00C203E5" w:rsidRDefault="004B6846" w:rsidP="00CC0EB7">
      <w:pPr>
        <w:pStyle w:val="Heading30"/>
        <w:spacing w:before="180"/>
      </w:pPr>
      <w:r w:rsidRPr="00C203E5">
        <w:rPr>
          <w:rFonts w:eastAsiaTheme="minorHAnsi"/>
        </w:rPr>
        <w:t>Grants</w:t>
      </w:r>
    </w:p>
    <w:p w:rsidR="004B6846" w:rsidRPr="00C203E5" w:rsidRDefault="004B6846" w:rsidP="00CC0EB7">
      <w:r>
        <w:t>In 2018-19, t</w:t>
      </w:r>
      <w:r w:rsidRPr="00C203E5">
        <w:t xml:space="preserve">otal grants revenue is expected to grow by </w:t>
      </w:r>
      <w:r>
        <w:t>12.0</w:t>
      </w:r>
      <w:r w:rsidRPr="00C203E5">
        <w:t> per cent to $33.</w:t>
      </w:r>
      <w:r>
        <w:t>5 billion,</w:t>
      </w:r>
      <w:r w:rsidRPr="00C203E5">
        <w:t xml:space="preserve"> </w:t>
      </w:r>
      <w:r>
        <w:t>largely due to</w:t>
      </w:r>
      <w:r w:rsidRPr="00C203E5">
        <w:t xml:space="preserve"> </w:t>
      </w:r>
      <w:r>
        <w:t xml:space="preserve">an expected increase in </w:t>
      </w:r>
      <w:r w:rsidRPr="00C203E5">
        <w:t xml:space="preserve">GST revenue, which is anticipated to grow by </w:t>
      </w:r>
      <w:r>
        <w:t>8.1</w:t>
      </w:r>
      <w:r w:rsidRPr="00C203E5">
        <w:t> per cent to $1</w:t>
      </w:r>
      <w:r>
        <w:t>6.9 billion, along with expected payments to be received under the DisabilityCare Australia Fund (DCAF).</w:t>
      </w:r>
      <w:r w:rsidRPr="00C203E5">
        <w:t xml:space="preserve"> </w:t>
      </w:r>
      <w:r>
        <w:t>G</w:t>
      </w:r>
      <w:r w:rsidRPr="00C203E5">
        <w:t xml:space="preserve">rowth </w:t>
      </w:r>
      <w:r>
        <w:t xml:space="preserve">is forecast to </w:t>
      </w:r>
      <w:r w:rsidRPr="00C203E5">
        <w:t>eas</w:t>
      </w:r>
      <w:r>
        <w:t>e</w:t>
      </w:r>
      <w:r w:rsidRPr="00C203E5">
        <w:t xml:space="preserve"> to </w:t>
      </w:r>
      <w:r>
        <w:t>2.4</w:t>
      </w:r>
      <w:r w:rsidRPr="00C203E5">
        <w:t> per cent a year on average over the forward estimates</w:t>
      </w:r>
      <w:r>
        <w:t xml:space="preserve">, </w:t>
      </w:r>
      <w:r w:rsidRPr="00C203E5">
        <w:t xml:space="preserve">principally </w:t>
      </w:r>
      <w:r w:rsidRPr="001C2FD0">
        <w:t xml:space="preserve">due to a decline in Victoria’s GST relativities </w:t>
      </w:r>
      <w:r>
        <w:t xml:space="preserve">after the budget year </w:t>
      </w:r>
      <w:r w:rsidRPr="00C203E5">
        <w:t>and the transfer of responsibility for disabilit</w:t>
      </w:r>
      <w:r>
        <w:t>y services to the Commonwealth.</w:t>
      </w:r>
    </w:p>
    <w:p w:rsidR="004B6846" w:rsidRPr="00C203E5" w:rsidRDefault="004B6846" w:rsidP="00CC0EB7">
      <w:r w:rsidRPr="00C203E5">
        <w:t>Victoria’s share of the GST pool has increased from 24.0 per cent in 2017</w:t>
      </w:r>
      <w:r w:rsidRPr="00C203E5">
        <w:noBreakHyphen/>
        <w:t>18 to 25.6 per</w:t>
      </w:r>
      <w:r>
        <w:t> </w:t>
      </w:r>
      <w:r w:rsidRPr="00C203E5">
        <w:t>cent in 2018</w:t>
      </w:r>
      <w:r w:rsidRPr="00C203E5">
        <w:noBreakHyphen/>
        <w:t xml:space="preserve">19. This largely reflects continued strong population growth relative to other states, </w:t>
      </w:r>
      <w:r>
        <w:t xml:space="preserve">and </w:t>
      </w:r>
      <w:r w:rsidRPr="00C203E5">
        <w:t>a related need for greater investment in infrastructure.</w:t>
      </w:r>
    </w:p>
    <w:p w:rsidR="004B6846" w:rsidRPr="00C203E5" w:rsidRDefault="004B6846" w:rsidP="00CC0EB7">
      <w:r w:rsidRPr="00C203E5">
        <w:t xml:space="preserve">Over the forward estimates, Victorian GST revenue is expected to increase on average by </w:t>
      </w:r>
      <w:r>
        <w:t>4.4</w:t>
      </w:r>
      <w:r w:rsidRPr="00C203E5">
        <w:t> per cent a year, buoyed by the continued growth in the GST pool. Victoria’s GST relativity is forecast to ease beyond 2018</w:t>
      </w:r>
      <w:r w:rsidRPr="00C203E5">
        <w:noBreakHyphen/>
        <w:t>19</w:t>
      </w:r>
      <w:r>
        <w:t>,</w:t>
      </w:r>
      <w:r w:rsidRPr="00C203E5">
        <w:t xml:space="preserve"> partly due to the State’s relatively stronger revenue outlook.</w:t>
      </w:r>
    </w:p>
    <w:p w:rsidR="004B6846" w:rsidRPr="00C203E5" w:rsidRDefault="004B6846" w:rsidP="00CC0EB7">
      <w:r w:rsidRPr="00C203E5">
        <w:t>Commonwealth grants for specific purpose</w:t>
      </w:r>
      <w:r>
        <w:t xml:space="preserve">s are projected to average </w:t>
      </w:r>
      <w:r w:rsidRPr="000244D1">
        <w:t>$15.</w:t>
      </w:r>
      <w:r>
        <w:t>5 billion</w:t>
      </w:r>
      <w:r w:rsidRPr="00C203E5">
        <w:t xml:space="preserve"> a year across the </w:t>
      </w:r>
      <w:r>
        <w:t xml:space="preserve">budget and </w:t>
      </w:r>
      <w:r w:rsidRPr="00C203E5">
        <w:t>forward estimates. The Commonwealth provides these grants as contributions towards health</w:t>
      </w:r>
      <w:r>
        <w:t xml:space="preserve"> </w:t>
      </w:r>
      <w:r w:rsidRPr="00C203E5">
        <w:t>care, education, disability and other services, and m</w:t>
      </w:r>
      <w:r>
        <w:t>ajor infrastructure investment.</w:t>
      </w:r>
    </w:p>
    <w:p w:rsidR="004B6846" w:rsidRPr="00C203E5" w:rsidRDefault="004B6846" w:rsidP="00CC0EB7">
      <w:r w:rsidRPr="00C203E5">
        <w:t>Commonwealth grant</w:t>
      </w:r>
      <w:r>
        <w:t>s</w:t>
      </w:r>
      <w:r w:rsidRPr="00C203E5">
        <w:t xml:space="preserve"> for specific purpose</w:t>
      </w:r>
      <w:r>
        <w:t xml:space="preserve">s </w:t>
      </w:r>
      <w:r w:rsidRPr="00C203E5">
        <w:t>decrease in 2019</w:t>
      </w:r>
      <w:r w:rsidRPr="00C203E5">
        <w:noBreakHyphen/>
        <w:t>20 largely due to the transfer of responsibility for disability services</w:t>
      </w:r>
      <w:r>
        <w:t>,</w:t>
      </w:r>
      <w:r w:rsidRPr="00C203E5">
        <w:t xml:space="preserve"> and the Commonwealth funding attached </w:t>
      </w:r>
      <w:r>
        <w:t>to these services from Victoria</w:t>
      </w:r>
      <w:r w:rsidRPr="00C203E5">
        <w:t xml:space="preserve"> to the National Disability Insurance Agency as part of the full roll</w:t>
      </w:r>
      <w:r>
        <w:noBreakHyphen/>
      </w:r>
      <w:r w:rsidRPr="00C203E5">
        <w:t>out of the National Disa</w:t>
      </w:r>
      <w:r>
        <w:t>bility Insurance Scheme (NDIS).</w:t>
      </w:r>
    </w:p>
    <w:p w:rsidR="004B6846" w:rsidRPr="00C203E5" w:rsidRDefault="004B6846" w:rsidP="00CC0EB7">
      <w:pPr>
        <w:pStyle w:val="Heading30"/>
        <w:spacing w:before="180"/>
        <w:rPr>
          <w:rFonts w:eastAsiaTheme="minorHAnsi"/>
        </w:rPr>
      </w:pPr>
      <w:r w:rsidRPr="00C203E5">
        <w:rPr>
          <w:rFonts w:eastAsiaTheme="minorHAnsi"/>
        </w:rPr>
        <w:t>Other current revenue</w:t>
      </w:r>
    </w:p>
    <w:p w:rsidR="004B6846" w:rsidRPr="0028415C" w:rsidRDefault="004B6846" w:rsidP="00CC0EB7">
      <w:r w:rsidRPr="00C203E5">
        <w:t xml:space="preserve">Other current revenue includes fines, royalties, donations and gifts, assets received free of charge and other miscellaneous revenues. Other current revenue is projected </w:t>
      </w:r>
      <w:r>
        <w:t>to be $2.6 billion</w:t>
      </w:r>
      <w:r w:rsidRPr="00C203E5">
        <w:t xml:space="preserve"> in 2018</w:t>
      </w:r>
      <w:r w:rsidRPr="00C203E5">
        <w:noBreakHyphen/>
        <w:t xml:space="preserve">19 and </w:t>
      </w:r>
      <w:r>
        <w:t>increase by an average of 1.0</w:t>
      </w:r>
      <w:r w:rsidRPr="00C203E5">
        <w:t xml:space="preserve"> per cent a year across the forward </w:t>
      </w:r>
      <w:r w:rsidRPr="0028415C">
        <w:t>estimates.</w:t>
      </w:r>
    </w:p>
    <w:p w:rsidR="004B6846" w:rsidRPr="00C203E5" w:rsidRDefault="004B6846" w:rsidP="00CC0EB7">
      <w:pPr>
        <w:pStyle w:val="Heading20"/>
        <w:rPr>
          <w:rFonts w:eastAsiaTheme="minorHAnsi"/>
        </w:rPr>
      </w:pPr>
      <w:r w:rsidRPr="00C203E5">
        <w:rPr>
          <w:rFonts w:eastAsiaTheme="minorHAnsi"/>
        </w:rPr>
        <w:lastRenderedPageBreak/>
        <w:t>Expenses outlook</w:t>
      </w:r>
    </w:p>
    <w:p w:rsidR="004B6846" w:rsidRPr="00C203E5" w:rsidRDefault="004B6846" w:rsidP="00CC0EB7">
      <w:r w:rsidRPr="008C03EC">
        <w:t>T</w:t>
      </w:r>
      <w:r>
        <w:t>otal expenses for the g</w:t>
      </w:r>
      <w:r w:rsidRPr="00C203E5">
        <w:t xml:space="preserve">eneral government sector </w:t>
      </w:r>
      <w:r>
        <w:t>are</w:t>
      </w:r>
      <w:r w:rsidRPr="00C203E5">
        <w:t xml:space="preserve"> expected to </w:t>
      </w:r>
      <w:r>
        <w:t>be</w:t>
      </w:r>
      <w:r w:rsidRPr="00C203E5">
        <w:t xml:space="preserve"> $6</w:t>
      </w:r>
      <w:r>
        <w:t>7.5 billion</w:t>
      </w:r>
      <w:r w:rsidRPr="00C203E5">
        <w:t xml:space="preserve"> in 2018</w:t>
      </w:r>
      <w:r w:rsidRPr="00C203E5">
        <w:noBreakHyphen/>
        <w:t xml:space="preserve">19. Total expenses are expected to grow by </w:t>
      </w:r>
      <w:r>
        <w:t>4.0</w:t>
      </w:r>
      <w:r w:rsidRPr="00C203E5">
        <w:t> per cent a year on average over the four years to $72.</w:t>
      </w:r>
      <w:r>
        <w:t>8 billion</w:t>
      </w:r>
      <w:r w:rsidRPr="00C203E5">
        <w:t xml:space="preserve"> in 2021</w:t>
      </w:r>
      <w:r w:rsidRPr="00C203E5">
        <w:noBreakHyphen/>
        <w:t>22.</w:t>
      </w:r>
      <w:r>
        <w:t xml:space="preserve"> </w:t>
      </w:r>
      <w:r w:rsidRPr="00C203E5">
        <w:t>Specifically:</w:t>
      </w:r>
    </w:p>
    <w:p w:rsidR="004B6846" w:rsidRDefault="004B6846" w:rsidP="00393CA4">
      <w:pPr>
        <w:pStyle w:val="ListBullet"/>
      </w:pPr>
      <w:r w:rsidRPr="00C203E5">
        <w:t xml:space="preserve">employee expenses (including superannuation) are forecast to grow by </w:t>
      </w:r>
      <w:r>
        <w:t>7</w:t>
      </w:r>
      <w:r w:rsidRPr="00C203E5">
        <w:t>.</w:t>
      </w:r>
      <w:r>
        <w:t>2</w:t>
      </w:r>
      <w:r w:rsidRPr="00C203E5">
        <w:t> per cent in 2018</w:t>
      </w:r>
      <w:r w:rsidRPr="00C203E5">
        <w:noBreakHyphen/>
        <w:t xml:space="preserve">19, moderating to an average annual increase of </w:t>
      </w:r>
      <w:r>
        <w:t>4.2</w:t>
      </w:r>
      <w:r w:rsidRPr="00C203E5">
        <w:t> per cent over the forward estimates. The growth in 2018</w:t>
      </w:r>
      <w:r w:rsidRPr="00C203E5">
        <w:noBreakHyphen/>
        <w:t xml:space="preserve">19 reflects increases in </w:t>
      </w:r>
      <w:r>
        <w:t xml:space="preserve">the </w:t>
      </w:r>
      <w:r w:rsidRPr="00C203E5">
        <w:t>public sector work</w:t>
      </w:r>
      <w:r>
        <w:t>force</w:t>
      </w:r>
      <w:r w:rsidRPr="005737EB">
        <w:t xml:space="preserve"> due to the Government's large infrastructure spend and social policy reforms</w:t>
      </w:r>
      <w:r w:rsidRPr="00C203E5">
        <w:t>. The increase in employee expenses also reflect</w:t>
      </w:r>
      <w:r>
        <w:t>s</w:t>
      </w:r>
      <w:r w:rsidRPr="00C203E5">
        <w:t xml:space="preserve"> changes in average remuneration levels </w:t>
      </w:r>
      <w:r>
        <w:t>through</w:t>
      </w:r>
      <w:r w:rsidRPr="00C203E5">
        <w:t xml:space="preserve"> e</w:t>
      </w:r>
      <w:r>
        <w:t>nterprise bargaining agreements;</w:t>
      </w:r>
    </w:p>
    <w:p w:rsidR="004B6846" w:rsidRPr="00C203E5" w:rsidRDefault="004B6846" w:rsidP="00393CA4">
      <w:pPr>
        <w:pStyle w:val="ListBullet"/>
      </w:pPr>
      <w:r w:rsidRPr="00C203E5">
        <w:t xml:space="preserve">depreciation expense is forecast to grow by </w:t>
      </w:r>
      <w:r>
        <w:t>6.4</w:t>
      </w:r>
      <w:r w:rsidRPr="00C203E5">
        <w:t> per cent to $2.9</w:t>
      </w:r>
      <w:r>
        <w:t> billion</w:t>
      </w:r>
      <w:r w:rsidRPr="00C203E5">
        <w:t xml:space="preserve"> in 2018</w:t>
      </w:r>
      <w:r w:rsidRPr="00C203E5">
        <w:noBreakHyphen/>
        <w:t>19 and increase by 6.</w:t>
      </w:r>
      <w:r>
        <w:t>5</w:t>
      </w:r>
      <w:r w:rsidRPr="00C203E5">
        <w:t> per cent a year on average over the forward estimates to $3.5</w:t>
      </w:r>
      <w:r>
        <w:t> billion</w:t>
      </w:r>
      <w:r w:rsidRPr="00C203E5">
        <w:t xml:space="preserve"> in 2021</w:t>
      </w:r>
      <w:r w:rsidRPr="00C203E5">
        <w:noBreakHyphen/>
        <w:t xml:space="preserve">22. This growth is broadly in line with </w:t>
      </w:r>
      <w:r>
        <w:t xml:space="preserve">the </w:t>
      </w:r>
      <w:r w:rsidRPr="00C203E5">
        <w:t>investment in infrastructure;</w:t>
      </w:r>
    </w:p>
    <w:p w:rsidR="004B6846" w:rsidRPr="00C203E5" w:rsidRDefault="004B6846" w:rsidP="00393CA4">
      <w:pPr>
        <w:pStyle w:val="ListBullet"/>
      </w:pPr>
      <w:r w:rsidRPr="00C203E5">
        <w:t xml:space="preserve">interest expense is forecast to </w:t>
      </w:r>
      <w:r>
        <w:t>be</w:t>
      </w:r>
      <w:r w:rsidRPr="00C203E5">
        <w:t xml:space="preserve"> $2.</w:t>
      </w:r>
      <w:r>
        <w:t>1 billion</w:t>
      </w:r>
      <w:r w:rsidRPr="00C203E5">
        <w:t xml:space="preserve"> in 2018</w:t>
      </w:r>
      <w:r w:rsidRPr="00C203E5">
        <w:noBreakHyphen/>
        <w:t xml:space="preserve">19. Interest expense is expected to grow by an average of </w:t>
      </w:r>
      <w:r>
        <w:t>2.6 per cent a year</w:t>
      </w:r>
      <w:r w:rsidRPr="00A94268">
        <w:t xml:space="preserve"> </w:t>
      </w:r>
      <w:r w:rsidRPr="00C203E5">
        <w:t>over the forward estimates</w:t>
      </w:r>
      <w:r>
        <w:t>;</w:t>
      </w:r>
    </w:p>
    <w:p w:rsidR="004B6846" w:rsidRPr="00C203E5" w:rsidRDefault="004B6846" w:rsidP="00393CA4">
      <w:pPr>
        <w:pStyle w:val="ListBullet"/>
      </w:pPr>
      <w:r w:rsidRPr="00C203E5">
        <w:t xml:space="preserve">grants expenses are forecast to increase by </w:t>
      </w:r>
      <w:r>
        <w:t>14.9</w:t>
      </w:r>
      <w:r w:rsidRPr="00C203E5">
        <w:t> per cent to $12.</w:t>
      </w:r>
      <w:r>
        <w:t>8 billion</w:t>
      </w:r>
      <w:r w:rsidRPr="00C203E5">
        <w:t xml:space="preserve"> in 2018</w:t>
      </w:r>
      <w:r w:rsidRPr="00C203E5">
        <w:noBreakHyphen/>
        <w:t xml:space="preserve">19, largely </w:t>
      </w:r>
      <w:r>
        <w:t>due to</w:t>
      </w:r>
      <w:r w:rsidRPr="00C203E5">
        <w:t xml:space="preserve"> payments made to the National Disability Insurance Agency for disabili</w:t>
      </w:r>
      <w:r>
        <w:t>ty services as part of the full roll-</w:t>
      </w:r>
      <w:r w:rsidRPr="00C203E5">
        <w:t xml:space="preserve">out of the NDIS. Thereafter, growth is expected to average </w:t>
      </w:r>
      <w:r>
        <w:t>4.1</w:t>
      </w:r>
      <w:r w:rsidRPr="00C203E5">
        <w:t xml:space="preserve"> per cent a </w:t>
      </w:r>
      <w:r>
        <w:t>year over the forward estimates; and</w:t>
      </w:r>
    </w:p>
    <w:p w:rsidR="004B6846" w:rsidRPr="00C203E5" w:rsidRDefault="004B6846" w:rsidP="00393CA4">
      <w:pPr>
        <w:pStyle w:val="ListBullet"/>
      </w:pPr>
      <w:r w:rsidRPr="00C203E5">
        <w:t xml:space="preserve">other operating expenses are forecast to increase by </w:t>
      </w:r>
      <w:r>
        <w:t>7.6</w:t>
      </w:r>
      <w:r w:rsidRPr="00C203E5">
        <w:t> per cent in 2018</w:t>
      </w:r>
      <w:r w:rsidRPr="00C203E5">
        <w:noBreakHyphen/>
        <w:t>19</w:t>
      </w:r>
      <w:r>
        <w:t xml:space="preserve">, largely reflecting the impact of </w:t>
      </w:r>
      <w:r w:rsidRPr="00C203E5">
        <w:t xml:space="preserve">increases in </w:t>
      </w:r>
      <w:r>
        <w:t xml:space="preserve">the </w:t>
      </w:r>
      <w:r w:rsidRPr="00C203E5">
        <w:t>public sector work</w:t>
      </w:r>
      <w:r>
        <w:t>force and differences in the timing of activity across major departments.</w:t>
      </w:r>
      <w:r w:rsidRPr="00C203E5">
        <w:t xml:space="preserve"> Thereafter, other operating expenses </w:t>
      </w:r>
      <w:r>
        <w:t>are expected to</w:t>
      </w:r>
      <w:r w:rsidRPr="00C203E5">
        <w:t xml:space="preserve"> decrease by an average of 1.</w:t>
      </w:r>
      <w:r>
        <w:t>3</w:t>
      </w:r>
      <w:r w:rsidRPr="00C203E5">
        <w:t> per cent a year over the forward estimates to $20.</w:t>
      </w:r>
      <w:r>
        <w:t>5 billion</w:t>
      </w:r>
      <w:r w:rsidRPr="00C203E5">
        <w:t xml:space="preserve"> in 2021</w:t>
      </w:r>
      <w:r w:rsidRPr="00C203E5">
        <w:noBreakHyphen/>
        <w:t>22</w:t>
      </w:r>
      <w:r>
        <w:t>,</w:t>
      </w:r>
      <w:r w:rsidRPr="00AC6D80">
        <w:t xml:space="preserve"> </w:t>
      </w:r>
      <w:r>
        <w:t xml:space="preserve">partly </w:t>
      </w:r>
      <w:r w:rsidRPr="005A5DDD">
        <w:t xml:space="preserve">reflecting the </w:t>
      </w:r>
      <w:r>
        <w:t>transition of services to the Commonwealth for the NDIS.</w:t>
      </w:r>
    </w:p>
    <w:p w:rsidR="004B6846" w:rsidRPr="00C203E5" w:rsidRDefault="004B6846" w:rsidP="00CC0EB7">
      <w:pPr>
        <w:keepLines w:val="0"/>
        <w:rPr>
          <w:rFonts w:asciiTheme="majorHAnsi" w:hAnsiTheme="majorHAnsi" w:cstheme="majorBidi"/>
          <w:b/>
          <w:spacing w:val="-2"/>
          <w:sz w:val="26"/>
          <w:szCs w:val="26"/>
        </w:rPr>
      </w:pPr>
      <w:r w:rsidRPr="00C203E5">
        <w:br w:type="page"/>
      </w:r>
    </w:p>
    <w:p w:rsidR="004B6846" w:rsidRPr="00C203E5" w:rsidRDefault="004B6846" w:rsidP="00CC0EB7">
      <w:pPr>
        <w:pStyle w:val="Heading20"/>
        <w:rPr>
          <w:rFonts w:eastAsiaTheme="minorHAnsi"/>
        </w:rPr>
      </w:pPr>
      <w:r w:rsidRPr="00C203E5">
        <w:rPr>
          <w:rFonts w:eastAsiaTheme="minorHAnsi"/>
        </w:rPr>
        <w:lastRenderedPageBreak/>
        <w:t xml:space="preserve">Reconciliation of estimates to the </w:t>
      </w:r>
      <w:r w:rsidRPr="0048372D">
        <w:rPr>
          <w:i/>
        </w:rPr>
        <w:t>2018 Pre-Election Budget Update</w:t>
      </w:r>
    </w:p>
    <w:p w:rsidR="004B6846" w:rsidRPr="00C203E5" w:rsidRDefault="004B6846" w:rsidP="00CC0EB7">
      <w:r>
        <w:t xml:space="preserve">There has been no material change to the budget and forward estimates since </w:t>
      </w:r>
      <w:r w:rsidRPr="00C203E5">
        <w:t xml:space="preserve">the </w:t>
      </w:r>
      <w:r>
        <w:rPr>
          <w:i/>
        </w:rPr>
        <w:t>2018 </w:t>
      </w:r>
      <w:r w:rsidRPr="00E37FF2">
        <w:rPr>
          <w:i/>
        </w:rPr>
        <w:t>Pre-Election Budget Update</w:t>
      </w:r>
      <w:r>
        <w:rPr>
          <w:i/>
        </w:rPr>
        <w:t xml:space="preserve"> (PEBU)</w:t>
      </w:r>
      <w:r w:rsidRPr="00C203E5">
        <w:t xml:space="preserve">, </w:t>
      </w:r>
      <w:r>
        <w:t xml:space="preserve">other than a minor variation to depreciation expenses </w:t>
      </w:r>
      <w:r w:rsidRPr="00C203E5">
        <w:t xml:space="preserve">(Table </w:t>
      </w:r>
      <w:r>
        <w:t>3.3</w:t>
      </w:r>
      <w:r w:rsidRPr="00C203E5">
        <w:t>).</w:t>
      </w:r>
      <w:r>
        <w:t xml:space="preserve"> This reflects updated information on the profile of capital expenditure not allocated to departments.</w:t>
      </w:r>
    </w:p>
    <w:p w:rsidR="004B6846" w:rsidRDefault="004B6846" w:rsidP="00CC0EB7">
      <w:pPr>
        <w:pStyle w:val="TableHeading"/>
      </w:pPr>
      <w:r w:rsidRPr="00C203E5">
        <w:t xml:space="preserve">Table </w:t>
      </w:r>
      <w:r>
        <w:t>3.3</w:t>
      </w:r>
      <w:r w:rsidRPr="00C203E5">
        <w:t xml:space="preserve">: </w:t>
      </w:r>
      <w:r w:rsidRPr="00C203E5">
        <w:tab/>
        <w:t xml:space="preserve">Reconciliation of estimates to the </w:t>
      </w:r>
      <w:r w:rsidRPr="00E37FF2">
        <w:rPr>
          <w:i/>
        </w:rPr>
        <w:t xml:space="preserve">2018 </w:t>
      </w:r>
      <w:r>
        <w:rPr>
          <w:i/>
        </w:rPr>
        <w:t>PEBU</w:t>
      </w:r>
      <w:r w:rsidRPr="00C203E5">
        <w:rPr>
          <w:vertAlign w:val="superscript"/>
        </w:rPr>
        <w:t xml:space="preserve"> (a)</w:t>
      </w:r>
      <w:r w:rsidRPr="00C203E5">
        <w:t xml:space="preserve"> </w:t>
      </w:r>
      <w:r w:rsidRPr="00C203E5">
        <w:tab/>
        <w:t>($</w:t>
      </w:r>
      <w:r>
        <w:t> million</w:t>
      </w:r>
      <w:r w:rsidRPr="00C203E5">
        <w:t>)</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CC0EB7" w:rsidRPr="00B32DA4" w:rsidTr="00CC0EB7">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FFFFFF"/>
          </w:tcPr>
          <w:p w:rsidR="00CC0EB7" w:rsidRPr="00B32DA4" w:rsidRDefault="00CC0EB7" w:rsidP="00CC0EB7">
            <w:pPr>
              <w:autoSpaceDE w:val="0"/>
              <w:autoSpaceDN w:val="0"/>
              <w:adjustRightInd w:val="0"/>
              <w:rPr>
                <w:rFonts w:eastAsiaTheme="minorEastAsia" w:cstheme="majorHAnsi"/>
                <w:iCs/>
                <w:color w:val="FFFFFF"/>
                <w:szCs w:val="18"/>
                <w:lang w:eastAsia="en-AU"/>
              </w:rPr>
            </w:pPr>
            <w:r w:rsidRPr="00B32DA4">
              <w:rPr>
                <w:rFonts w:eastAsiaTheme="minorEastAsia" w:cstheme="majorHAnsi"/>
                <w:iCs/>
                <w:color w:val="FFFFFF"/>
                <w:szCs w:val="18"/>
                <w:lang w:eastAsia="en-AU"/>
              </w:rPr>
              <w:t xml:space="preserve"> </w:t>
            </w:r>
          </w:p>
        </w:tc>
        <w:tc>
          <w:tcPr>
            <w:tcW w:w="850" w:type="dxa"/>
            <w:tcBorders>
              <w:top w:val="nil"/>
              <w:left w:val="nil"/>
              <w:right w:val="nil"/>
            </w:tcBorders>
            <w:shd w:val="solid" w:color="000000" w:fill="FFFFFF"/>
          </w:tcPr>
          <w:p w:rsidR="00CC0EB7" w:rsidRPr="00B32D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B32DA4">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B32DA4">
              <w:rPr>
                <w:rFonts w:eastAsiaTheme="minorEastAsia" w:cstheme="majorHAnsi"/>
                <w:iCs/>
                <w:color w:val="FFFFFF"/>
                <w:szCs w:val="18"/>
                <w:lang w:eastAsia="en-AU"/>
              </w:rPr>
              <w:t>revised</w:t>
            </w:r>
          </w:p>
        </w:tc>
        <w:tc>
          <w:tcPr>
            <w:tcW w:w="850" w:type="dxa"/>
            <w:tcBorders>
              <w:top w:val="nil"/>
              <w:left w:val="nil"/>
              <w:right w:val="nil"/>
            </w:tcBorders>
            <w:shd w:val="solid" w:color="000000" w:fill="FFFFFF"/>
          </w:tcPr>
          <w:p w:rsidR="00CC0EB7" w:rsidRPr="00B32D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B32DA4">
              <w:rPr>
                <w:rFonts w:eastAsiaTheme="minorEastAsia" w:cstheme="majorHAnsi"/>
                <w:iCs/>
                <w:color w:val="FFFFFF"/>
                <w:szCs w:val="18"/>
                <w:lang w:eastAsia="en-AU"/>
              </w:rPr>
              <w:t>2019-20</w:t>
            </w:r>
            <w:r>
              <w:rPr>
                <w:rFonts w:eastAsiaTheme="minorEastAsia" w:cstheme="majorHAnsi"/>
                <w:iCs/>
                <w:color w:val="FFFFFF"/>
                <w:szCs w:val="18"/>
                <w:lang w:eastAsia="en-AU"/>
              </w:rPr>
              <w:br/>
            </w:r>
            <w:r w:rsidRPr="00B32DA4">
              <w:rPr>
                <w:rFonts w:eastAsiaTheme="minorEastAsia" w:cstheme="majorHAnsi"/>
                <w:iCs/>
                <w:color w:val="FFFFFF"/>
                <w:szCs w:val="18"/>
                <w:lang w:eastAsia="en-AU"/>
              </w:rPr>
              <w:t>estimate</w:t>
            </w:r>
          </w:p>
        </w:tc>
        <w:tc>
          <w:tcPr>
            <w:tcW w:w="850" w:type="dxa"/>
            <w:tcBorders>
              <w:top w:val="nil"/>
              <w:left w:val="nil"/>
              <w:right w:val="nil"/>
            </w:tcBorders>
            <w:shd w:val="solid" w:color="000000" w:fill="FFFFFF"/>
          </w:tcPr>
          <w:p w:rsidR="00CC0EB7" w:rsidRPr="00B32D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B32DA4">
              <w:rPr>
                <w:rFonts w:eastAsiaTheme="minorEastAsia" w:cstheme="majorHAnsi"/>
                <w:iCs/>
                <w:color w:val="FFFFFF"/>
                <w:szCs w:val="18"/>
                <w:lang w:eastAsia="en-AU"/>
              </w:rPr>
              <w:t>2020-21</w:t>
            </w:r>
            <w:r>
              <w:rPr>
                <w:rFonts w:eastAsiaTheme="minorEastAsia" w:cstheme="majorHAnsi"/>
                <w:iCs/>
                <w:color w:val="FFFFFF"/>
                <w:szCs w:val="18"/>
                <w:lang w:eastAsia="en-AU"/>
              </w:rPr>
              <w:br/>
            </w:r>
            <w:r w:rsidRPr="00B32DA4">
              <w:rPr>
                <w:rFonts w:eastAsiaTheme="minorEastAsia" w:cstheme="majorHAnsi"/>
                <w:iCs/>
                <w:color w:val="FFFFFF"/>
                <w:szCs w:val="18"/>
                <w:lang w:eastAsia="en-AU"/>
              </w:rPr>
              <w:t>estimate</w:t>
            </w:r>
          </w:p>
        </w:tc>
        <w:tc>
          <w:tcPr>
            <w:tcW w:w="850" w:type="dxa"/>
            <w:tcBorders>
              <w:top w:val="nil"/>
              <w:left w:val="nil"/>
              <w:right w:val="nil"/>
            </w:tcBorders>
            <w:shd w:val="solid" w:color="000000" w:fill="FFFFFF"/>
          </w:tcPr>
          <w:p w:rsidR="00CC0EB7" w:rsidRPr="00B32D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B32DA4">
              <w:rPr>
                <w:rFonts w:eastAsiaTheme="minorEastAsia" w:cstheme="majorHAnsi"/>
                <w:iCs/>
                <w:color w:val="FFFFFF"/>
                <w:szCs w:val="18"/>
                <w:lang w:eastAsia="en-AU"/>
              </w:rPr>
              <w:t>2021-22</w:t>
            </w:r>
            <w:r>
              <w:rPr>
                <w:rFonts w:eastAsiaTheme="minorEastAsia" w:cstheme="majorHAnsi"/>
                <w:iCs/>
                <w:color w:val="FFFFFF"/>
                <w:szCs w:val="18"/>
                <w:lang w:eastAsia="en-AU"/>
              </w:rPr>
              <w:br/>
            </w:r>
            <w:r w:rsidRPr="00B32DA4">
              <w:rPr>
                <w:rFonts w:eastAsiaTheme="minorEastAsia" w:cstheme="majorHAnsi"/>
                <w:iCs/>
                <w:color w:val="FFFFFF"/>
                <w:szCs w:val="18"/>
                <w:lang w:eastAsia="en-AU"/>
              </w:rPr>
              <w:t>estimate</w:t>
            </w:r>
          </w:p>
        </w:tc>
      </w:tr>
      <w:tr w:rsidR="004B6846" w:rsidRPr="00B32DA4"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B32DA4" w:rsidRDefault="004B6846" w:rsidP="00CC0EB7">
            <w:pPr>
              <w:keepLines w:val="0"/>
              <w:autoSpaceDE w:val="0"/>
              <w:autoSpaceDN w:val="0"/>
              <w:adjustRightInd w:val="0"/>
              <w:rPr>
                <w:rFonts w:eastAsiaTheme="minorEastAsia" w:cstheme="majorHAnsi"/>
                <w:b/>
                <w:bCs/>
                <w:i/>
                <w:iCs/>
                <w:color w:val="000000"/>
                <w:szCs w:val="18"/>
                <w:lang w:eastAsia="en-AU"/>
              </w:rPr>
            </w:pPr>
            <w:r w:rsidRPr="00B32DA4">
              <w:rPr>
                <w:rFonts w:eastAsiaTheme="minorEastAsia" w:cstheme="majorHAnsi"/>
                <w:b/>
                <w:bCs/>
                <w:color w:val="000000"/>
                <w:szCs w:val="18"/>
                <w:lang w:eastAsia="en-AU"/>
              </w:rPr>
              <w:t xml:space="preserve">Net result from transactions: </w:t>
            </w:r>
            <w:r w:rsidRPr="00B32DA4">
              <w:rPr>
                <w:rFonts w:eastAsiaTheme="minorEastAsia" w:cstheme="majorHAnsi"/>
                <w:b/>
                <w:bCs/>
                <w:i/>
                <w:iCs/>
                <w:color w:val="000000"/>
                <w:szCs w:val="18"/>
                <w:lang w:eastAsia="en-AU"/>
              </w:rPr>
              <w:t xml:space="preserve">2018 </w:t>
            </w:r>
            <w:r>
              <w:rPr>
                <w:rFonts w:eastAsiaTheme="minorEastAsia" w:cstheme="majorHAnsi"/>
                <w:b/>
                <w:bCs/>
                <w:i/>
                <w:iCs/>
                <w:color w:val="000000"/>
                <w:szCs w:val="18"/>
                <w:lang w:eastAsia="en-AU"/>
              </w:rPr>
              <w:t>PEBU</w:t>
            </w:r>
          </w:p>
        </w:tc>
        <w:tc>
          <w:tcPr>
            <w:tcW w:w="850" w:type="dxa"/>
            <w:tcBorders>
              <w:top w:val="nil"/>
              <w:left w:val="nil"/>
              <w:bottom w:val="nil"/>
              <w:right w:val="nil"/>
            </w:tcBorders>
          </w:tcPr>
          <w:p w:rsidR="004B6846" w:rsidRPr="00B32D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2 277</w:t>
            </w:r>
          </w:p>
        </w:tc>
        <w:tc>
          <w:tcPr>
            <w:tcW w:w="850" w:type="dxa"/>
            <w:tcBorders>
              <w:top w:val="nil"/>
              <w:left w:val="nil"/>
              <w:bottom w:val="nil"/>
              <w:right w:val="nil"/>
            </w:tcBorders>
          </w:tcPr>
          <w:p w:rsidR="004B6846" w:rsidRPr="00B32D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1 708</w:t>
            </w:r>
          </w:p>
        </w:tc>
        <w:tc>
          <w:tcPr>
            <w:tcW w:w="850" w:type="dxa"/>
            <w:tcBorders>
              <w:top w:val="nil"/>
              <w:left w:val="nil"/>
              <w:bottom w:val="nil"/>
              <w:right w:val="nil"/>
            </w:tcBorders>
          </w:tcPr>
          <w:p w:rsidR="004B6846" w:rsidRPr="00B32D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2 656</w:t>
            </w:r>
          </w:p>
        </w:tc>
        <w:tc>
          <w:tcPr>
            <w:tcW w:w="850" w:type="dxa"/>
            <w:tcBorders>
              <w:top w:val="nil"/>
              <w:left w:val="nil"/>
              <w:bottom w:val="nil"/>
              <w:right w:val="nil"/>
            </w:tcBorders>
          </w:tcPr>
          <w:p w:rsidR="004B6846" w:rsidRPr="00B32D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2 990</w:t>
            </w:r>
          </w:p>
        </w:tc>
      </w:tr>
      <w:tr w:rsidR="004B6846" w:rsidRPr="00386312"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386312" w:rsidRDefault="004B6846" w:rsidP="00CC0EB7">
            <w:pPr>
              <w:keepLines w:val="0"/>
              <w:autoSpaceDE w:val="0"/>
              <w:autoSpaceDN w:val="0"/>
              <w:adjustRightInd w:val="0"/>
              <w:rPr>
                <w:rFonts w:eastAsiaTheme="minorEastAsia" w:cstheme="majorHAnsi"/>
                <w:bCs/>
                <w:color w:val="000000"/>
                <w:szCs w:val="18"/>
                <w:lang w:eastAsia="en-AU"/>
              </w:rPr>
            </w:pPr>
            <w:r w:rsidRPr="00386312">
              <w:rPr>
                <w:rFonts w:eastAsiaTheme="minorEastAsia" w:cstheme="majorHAnsi"/>
                <w:b/>
                <w:bCs/>
                <w:color w:val="000000"/>
                <w:szCs w:val="18"/>
                <w:lang w:eastAsia="en-AU"/>
              </w:rPr>
              <w:t xml:space="preserve"> </w:t>
            </w:r>
            <w:r w:rsidRPr="00386312">
              <w:rPr>
                <w:rFonts w:eastAsiaTheme="minorEastAsia" w:cstheme="majorHAnsi"/>
                <w:bCs/>
                <w:color w:val="000000"/>
                <w:szCs w:val="18"/>
                <w:lang w:eastAsia="en-AU"/>
              </w:rPr>
              <w:t xml:space="preserve">  Administrative variations</w:t>
            </w:r>
          </w:p>
        </w:tc>
        <w:tc>
          <w:tcPr>
            <w:tcW w:w="850" w:type="dxa"/>
            <w:tcBorders>
              <w:top w:val="nil"/>
              <w:left w:val="nil"/>
              <w:bottom w:val="single" w:sz="6" w:space="0" w:color="auto"/>
              <w:right w:val="nil"/>
            </w:tcBorders>
          </w:tcPr>
          <w:p w:rsidR="004B6846" w:rsidRPr="00386312" w:rsidRDefault="004B6846" w:rsidP="00CC0EB7">
            <w:pPr>
              <w:keepLines w:val="0"/>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386312">
              <w:rPr>
                <w:rFonts w:eastAsiaTheme="minorEastAsia" w:cstheme="majorHAnsi"/>
                <w:bCs/>
                <w:color w:val="000000"/>
                <w:szCs w:val="18"/>
                <w:lang w:eastAsia="en-AU"/>
              </w:rPr>
              <w:t>(37)</w:t>
            </w:r>
          </w:p>
        </w:tc>
        <w:tc>
          <w:tcPr>
            <w:tcW w:w="850" w:type="dxa"/>
            <w:tcBorders>
              <w:top w:val="nil"/>
              <w:left w:val="nil"/>
              <w:bottom w:val="single" w:sz="6" w:space="0" w:color="auto"/>
              <w:right w:val="nil"/>
            </w:tcBorders>
          </w:tcPr>
          <w:p w:rsidR="004B6846" w:rsidRPr="00386312" w:rsidRDefault="004B6846" w:rsidP="00CC0EB7">
            <w:pPr>
              <w:keepLines w:val="0"/>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386312">
              <w:rPr>
                <w:rFonts w:eastAsiaTheme="minorEastAsia" w:cstheme="majorHAnsi"/>
                <w:bCs/>
                <w:color w:val="000000"/>
                <w:szCs w:val="18"/>
                <w:lang w:eastAsia="en-AU"/>
              </w:rPr>
              <w:t>17</w:t>
            </w:r>
          </w:p>
        </w:tc>
        <w:tc>
          <w:tcPr>
            <w:tcW w:w="850" w:type="dxa"/>
            <w:tcBorders>
              <w:top w:val="nil"/>
              <w:left w:val="nil"/>
              <w:bottom w:val="single" w:sz="6" w:space="0" w:color="auto"/>
              <w:right w:val="nil"/>
            </w:tcBorders>
          </w:tcPr>
          <w:p w:rsidR="004B6846" w:rsidRPr="00386312" w:rsidRDefault="004B6846" w:rsidP="00CC0EB7">
            <w:pPr>
              <w:keepLines w:val="0"/>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386312">
              <w:rPr>
                <w:rFonts w:eastAsiaTheme="minorEastAsia" w:cstheme="majorHAnsi"/>
                <w:bCs/>
                <w:color w:val="000000"/>
                <w:szCs w:val="18"/>
                <w:lang w:eastAsia="en-AU"/>
              </w:rPr>
              <w:t>20</w:t>
            </w:r>
          </w:p>
        </w:tc>
        <w:tc>
          <w:tcPr>
            <w:tcW w:w="850" w:type="dxa"/>
            <w:tcBorders>
              <w:top w:val="nil"/>
              <w:left w:val="nil"/>
              <w:bottom w:val="single" w:sz="6" w:space="0" w:color="auto"/>
              <w:right w:val="nil"/>
            </w:tcBorders>
          </w:tcPr>
          <w:p w:rsidR="004B6846" w:rsidRPr="00386312" w:rsidRDefault="004B6846" w:rsidP="00CC0EB7">
            <w:pPr>
              <w:keepLines w:val="0"/>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386312">
              <w:rPr>
                <w:rFonts w:eastAsiaTheme="minorEastAsia" w:cstheme="majorHAnsi"/>
                <w:bCs/>
                <w:color w:val="000000"/>
                <w:szCs w:val="18"/>
                <w:lang w:eastAsia="en-AU"/>
              </w:rPr>
              <w:t>(5)</w:t>
            </w:r>
          </w:p>
        </w:tc>
      </w:tr>
      <w:tr w:rsidR="004B6846" w:rsidRPr="00B32DA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rsidR="004B6846" w:rsidRPr="00B32DA4" w:rsidRDefault="004B6846" w:rsidP="00CC0EB7">
            <w:pPr>
              <w:keepLines w:val="0"/>
              <w:autoSpaceDE w:val="0"/>
              <w:autoSpaceDN w:val="0"/>
              <w:adjustRightInd w:val="0"/>
              <w:rPr>
                <w:rFonts w:eastAsiaTheme="minorEastAsia" w:cstheme="majorHAnsi"/>
                <w:bCs/>
                <w:color w:val="000000"/>
                <w:szCs w:val="18"/>
                <w:lang w:eastAsia="en-AU"/>
              </w:rPr>
            </w:pPr>
            <w:r w:rsidRPr="00B32DA4">
              <w:rPr>
                <w:rFonts w:eastAsiaTheme="minorEastAsia" w:cstheme="majorHAnsi"/>
                <w:bCs/>
                <w:color w:val="000000"/>
                <w:szCs w:val="18"/>
                <w:lang w:eastAsia="en-AU"/>
              </w:rPr>
              <w:t>Net result from transactions</w:t>
            </w:r>
            <w:r>
              <w:rPr>
                <w:rFonts w:eastAsiaTheme="minorEastAsia" w:cstheme="majorHAnsi"/>
                <w:bCs/>
                <w:color w:val="000000"/>
                <w:szCs w:val="18"/>
                <w:lang w:eastAsia="en-AU"/>
              </w:rPr>
              <w:t xml:space="preserve">: </w:t>
            </w:r>
            <w:r w:rsidRPr="00BF3D88">
              <w:rPr>
                <w:rFonts w:eastAsiaTheme="minorEastAsia" w:cstheme="majorHAnsi"/>
                <w:bCs/>
                <w:i/>
                <w:color w:val="000000"/>
                <w:szCs w:val="18"/>
                <w:lang w:eastAsia="en-AU"/>
              </w:rPr>
              <w:t>2018-19 Budget Update</w:t>
            </w:r>
          </w:p>
        </w:tc>
        <w:tc>
          <w:tcPr>
            <w:tcW w:w="850" w:type="dxa"/>
            <w:tcBorders>
              <w:top w:val="nil"/>
              <w:bottom w:val="single" w:sz="12" w:space="0" w:color="auto"/>
            </w:tcBorders>
          </w:tcPr>
          <w:p w:rsidR="004B6846" w:rsidRPr="00B32D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2 241</w:t>
            </w:r>
          </w:p>
        </w:tc>
        <w:tc>
          <w:tcPr>
            <w:tcW w:w="850" w:type="dxa"/>
            <w:tcBorders>
              <w:top w:val="nil"/>
              <w:bottom w:val="single" w:sz="12" w:space="0" w:color="auto"/>
            </w:tcBorders>
          </w:tcPr>
          <w:p w:rsidR="004B6846" w:rsidRPr="00B32D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1 725</w:t>
            </w:r>
          </w:p>
        </w:tc>
        <w:tc>
          <w:tcPr>
            <w:tcW w:w="850" w:type="dxa"/>
            <w:tcBorders>
              <w:top w:val="nil"/>
              <w:bottom w:val="single" w:sz="12" w:space="0" w:color="auto"/>
            </w:tcBorders>
          </w:tcPr>
          <w:p w:rsidR="004B6846" w:rsidRPr="00B32D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2 677</w:t>
            </w:r>
          </w:p>
        </w:tc>
        <w:tc>
          <w:tcPr>
            <w:tcW w:w="850" w:type="dxa"/>
            <w:tcBorders>
              <w:top w:val="nil"/>
              <w:bottom w:val="single" w:sz="12" w:space="0" w:color="auto"/>
            </w:tcBorders>
          </w:tcPr>
          <w:p w:rsidR="004B6846" w:rsidRPr="00B32D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2 984</w:t>
            </w:r>
          </w:p>
        </w:tc>
      </w:tr>
    </w:tbl>
    <w:p w:rsidR="004B6846" w:rsidRPr="00C203E5" w:rsidRDefault="004B6846" w:rsidP="00CC0EB7">
      <w:pPr>
        <w:pStyle w:val="Source"/>
      </w:pPr>
      <w:r w:rsidRPr="00C203E5">
        <w:t>Source: Department of Treasury and Finance</w:t>
      </w:r>
    </w:p>
    <w:p w:rsidR="004B6846" w:rsidRPr="00C203E5" w:rsidRDefault="004B6846" w:rsidP="00CC0EB7">
      <w:pPr>
        <w:pStyle w:val="Note"/>
      </w:pPr>
      <w:r w:rsidRPr="00C203E5">
        <w:t>Note:</w:t>
      </w:r>
    </w:p>
    <w:p w:rsidR="004B6846" w:rsidRDefault="004B6846" w:rsidP="00CC0EB7">
      <w:pPr>
        <w:pStyle w:val="Note"/>
      </w:pPr>
      <w:r w:rsidRPr="00C203E5">
        <w:t xml:space="preserve">(a) </w:t>
      </w:r>
      <w:r w:rsidRPr="00C203E5">
        <w:tab/>
        <w:t>Figures in this table are subject to rounding to the nearest</w:t>
      </w:r>
      <w:r>
        <w:t> million</w:t>
      </w:r>
      <w:r w:rsidRPr="00C203E5">
        <w:t xml:space="preserve"> and may not add up to totals.</w:t>
      </w:r>
    </w:p>
    <w:p w:rsidR="004B6846" w:rsidRPr="00C203E5" w:rsidRDefault="004B6846" w:rsidP="00CC0EB7">
      <w:pPr>
        <w:pStyle w:val="Heading20"/>
        <w:spacing w:before="200"/>
        <w:rPr>
          <w:rFonts w:eastAsiaTheme="minorHAnsi"/>
        </w:rPr>
      </w:pPr>
      <w:r w:rsidRPr="00C203E5">
        <w:rPr>
          <w:rFonts w:eastAsiaTheme="minorHAnsi"/>
        </w:rPr>
        <w:t>Capital expenditure</w:t>
      </w:r>
    </w:p>
    <w:p w:rsidR="004B6846" w:rsidRPr="00C203E5" w:rsidRDefault="004B6846" w:rsidP="00CC0EB7">
      <w:r w:rsidRPr="00B17076">
        <w:t xml:space="preserve">Government infrastructure investment </w:t>
      </w:r>
      <w:r>
        <w:t>(</w:t>
      </w:r>
      <w:r w:rsidRPr="00C203E5">
        <w:t>GII</w:t>
      </w:r>
      <w:r>
        <w:t>)</w:t>
      </w:r>
      <w:r w:rsidRPr="00C203E5">
        <w:t>, which measures investment funded or</w:t>
      </w:r>
      <w:r>
        <w:t xml:space="preserve"> facilitated by the Government, </w:t>
      </w:r>
      <w:r w:rsidRPr="00C203E5">
        <w:t>is forecast to average $10.</w:t>
      </w:r>
      <w:r>
        <w:t>6 billion</w:t>
      </w:r>
      <w:r w:rsidRPr="00C203E5">
        <w:t xml:space="preserve"> a year over th</w:t>
      </w:r>
      <w:r>
        <w:t xml:space="preserve">e budget and forward estimates. This is more than double the average of $4.9 billion a year from 2005-06 to 2014-15 </w:t>
      </w:r>
      <w:r w:rsidRPr="00C203E5">
        <w:t xml:space="preserve">(Chart </w:t>
      </w:r>
      <w:r>
        <w:t>3.1).</w:t>
      </w:r>
    </w:p>
    <w:p w:rsidR="004B6846" w:rsidRDefault="004B6846" w:rsidP="00CC0EB7">
      <w:pPr>
        <w:pStyle w:val="TableHeading"/>
        <w:spacing w:before="200"/>
        <w:ind w:left="0" w:firstLine="0"/>
        <w:rPr>
          <w:vertAlign w:val="superscript"/>
        </w:rPr>
      </w:pPr>
      <w:r w:rsidRPr="00C203E5">
        <w:t xml:space="preserve">Chart </w:t>
      </w:r>
      <w:r>
        <w:t>3</w:t>
      </w:r>
      <w:r w:rsidRPr="00C203E5">
        <w:t>.1:</w:t>
      </w:r>
      <w:r w:rsidRPr="00C203E5">
        <w:tab/>
        <w:t xml:space="preserve">Government infrastructure investment </w:t>
      </w:r>
      <w:r>
        <w:rPr>
          <w:vertAlign w:val="superscript"/>
        </w:rPr>
        <w:t>(a)(b)</w:t>
      </w:r>
    </w:p>
    <w:p w:rsidR="004B6846" w:rsidRDefault="004B6846" w:rsidP="00CC0EB7">
      <w:pPr>
        <w:rPr>
          <w:noProof/>
        </w:rPr>
      </w:pPr>
      <w:r>
        <w:rPr>
          <w:noProof/>
        </w:rPr>
        <w:drawing>
          <wp:inline distT="0" distB="0" distL="0" distR="0" wp14:anchorId="39DBFE59">
            <wp:extent cx="4724400" cy="325014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781" cy="3277239"/>
                    </a:xfrm>
                    <a:prstGeom prst="rect">
                      <a:avLst/>
                    </a:prstGeom>
                    <a:noFill/>
                  </pic:spPr>
                </pic:pic>
              </a:graphicData>
            </a:graphic>
          </wp:inline>
        </w:drawing>
      </w:r>
    </w:p>
    <w:p w:rsidR="004B6846" w:rsidRPr="00C203E5" w:rsidRDefault="004B6846" w:rsidP="00CC0EB7">
      <w:pPr>
        <w:pStyle w:val="Source"/>
      </w:pPr>
      <w:r w:rsidRPr="00C203E5">
        <w:t>Source: Department of Treasury and Finance</w:t>
      </w:r>
    </w:p>
    <w:p w:rsidR="004B6846" w:rsidRPr="00C203E5" w:rsidRDefault="004B6846" w:rsidP="00CC0EB7">
      <w:pPr>
        <w:pStyle w:val="Note"/>
      </w:pPr>
      <w:r w:rsidRPr="00C203E5">
        <w:t>Notes:</w:t>
      </w:r>
    </w:p>
    <w:p w:rsidR="004B6846" w:rsidRPr="00C203E5" w:rsidRDefault="004B6846" w:rsidP="00CC0EB7">
      <w:pPr>
        <w:pStyle w:val="Note"/>
      </w:pPr>
      <w:r w:rsidRPr="00C203E5">
        <w:t>(a)</w:t>
      </w:r>
      <w:r w:rsidRPr="00C203E5">
        <w:tab/>
        <w:t xml:space="preserve">Includes general government net infrastructure investment and estimated </w:t>
      </w:r>
      <w:r>
        <w:t>construction costs</w:t>
      </w:r>
      <w:r w:rsidRPr="00C203E5">
        <w:t xml:space="preserve"> for Partnerships Victoria projects.</w:t>
      </w:r>
    </w:p>
    <w:p w:rsidR="004B6846" w:rsidRPr="00AF4C1C" w:rsidRDefault="004B6846" w:rsidP="00CC0EB7">
      <w:pPr>
        <w:pStyle w:val="Note"/>
        <w:rPr>
          <w:rFonts w:cstheme="majorBidi"/>
          <w:b/>
        </w:rPr>
      </w:pPr>
      <w:r w:rsidRPr="00E958CE">
        <w:t>(b)</w:t>
      </w:r>
      <w:r w:rsidRPr="00E958CE">
        <w:tab/>
        <w:t>Excludes the impact of the medium</w:t>
      </w:r>
      <w:r w:rsidRPr="00E958CE">
        <w:noBreakHyphen/>
        <w:t>term lease over the operations of the Port of Melbourne and the divestment of Victoria’s share of Snowy Hydro Limited.</w:t>
      </w:r>
    </w:p>
    <w:p w:rsidR="004B6846" w:rsidRPr="00C203E5" w:rsidRDefault="004B6846" w:rsidP="00CC0EB7">
      <w:pPr>
        <w:pStyle w:val="Heading20"/>
        <w:spacing w:before="120"/>
        <w:rPr>
          <w:rFonts w:eastAsiaTheme="minorHAnsi"/>
          <w:b w:val="0"/>
        </w:rPr>
      </w:pPr>
      <w:r w:rsidRPr="00C203E5">
        <w:rPr>
          <w:rFonts w:eastAsiaTheme="minorHAnsi"/>
        </w:rPr>
        <w:lastRenderedPageBreak/>
        <w:t>Net debt</w:t>
      </w:r>
    </w:p>
    <w:p w:rsidR="004B6846" w:rsidRPr="00C203E5" w:rsidRDefault="004B6846" w:rsidP="00CC0EB7">
      <w:r w:rsidRPr="00C203E5">
        <w:t xml:space="preserve">Net debt as a proportion of GSP </w:t>
      </w:r>
      <w:r>
        <w:t>wa</w:t>
      </w:r>
      <w:r w:rsidRPr="00C203E5">
        <w:t>s 4.</w:t>
      </w:r>
      <w:r>
        <w:t>6</w:t>
      </w:r>
      <w:r w:rsidRPr="00C203E5">
        <w:t xml:space="preserve"> per cent at June 2018, and </w:t>
      </w:r>
      <w:r>
        <w:t xml:space="preserve">is expected to </w:t>
      </w:r>
      <w:r w:rsidRPr="00C203E5">
        <w:t xml:space="preserve">increase to </w:t>
      </w:r>
      <w:r>
        <w:t>6.0</w:t>
      </w:r>
      <w:r w:rsidRPr="00C203E5">
        <w:t xml:space="preserve"> per cent by June 202</w:t>
      </w:r>
      <w:r>
        <w:t>1,</w:t>
      </w:r>
      <w:r w:rsidRPr="008252DC">
        <w:t xml:space="preserve"> </w:t>
      </w:r>
      <w:r w:rsidRPr="00C203E5">
        <w:t>and remain at that level in 2021-22</w:t>
      </w:r>
      <w:r>
        <w:t xml:space="preserve"> </w:t>
      </w:r>
      <w:r w:rsidRPr="00C203E5">
        <w:t xml:space="preserve">(Chart </w:t>
      </w:r>
      <w:r>
        <w:t>3</w:t>
      </w:r>
      <w:r w:rsidRPr="00C203E5">
        <w:t>.2).</w:t>
      </w:r>
    </w:p>
    <w:p w:rsidR="004B6846" w:rsidRDefault="004B6846" w:rsidP="00CC0EB7">
      <w:pPr>
        <w:pStyle w:val="TableHeading"/>
        <w:rPr>
          <w:vertAlign w:val="superscript"/>
        </w:rPr>
      </w:pPr>
      <w:r w:rsidRPr="00C203E5">
        <w:t xml:space="preserve">Chart </w:t>
      </w:r>
      <w:r>
        <w:t>3</w:t>
      </w:r>
      <w:r w:rsidRPr="00C203E5">
        <w:t>.2:</w:t>
      </w:r>
      <w:r w:rsidRPr="00C203E5">
        <w:tab/>
        <w:t xml:space="preserve">General government net debt to GSP </w:t>
      </w:r>
      <w:r>
        <w:rPr>
          <w:vertAlign w:val="superscript"/>
        </w:rPr>
        <w:t>(a)(b)</w:t>
      </w:r>
    </w:p>
    <w:p w:rsidR="004B6846" w:rsidRPr="00253C7D" w:rsidRDefault="004B6846" w:rsidP="00CC0EB7">
      <w:r>
        <w:rPr>
          <w:noProof/>
        </w:rPr>
        <w:drawing>
          <wp:inline distT="0" distB="0" distL="0" distR="0" wp14:anchorId="48DC9402">
            <wp:extent cx="4621646" cy="320309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49225" cy="3222206"/>
                    </a:xfrm>
                    <a:prstGeom prst="rect">
                      <a:avLst/>
                    </a:prstGeom>
                    <a:noFill/>
                  </pic:spPr>
                </pic:pic>
              </a:graphicData>
            </a:graphic>
          </wp:inline>
        </w:drawing>
      </w:r>
    </w:p>
    <w:p w:rsidR="004B6846" w:rsidRPr="00C203E5" w:rsidRDefault="004B6846" w:rsidP="00CC0EB7">
      <w:pPr>
        <w:pStyle w:val="Source"/>
      </w:pPr>
      <w:r w:rsidRPr="00C203E5">
        <w:t>Source: Department of Treasury and Finance</w:t>
      </w:r>
    </w:p>
    <w:p w:rsidR="004B6846" w:rsidRPr="00C203E5" w:rsidRDefault="004B6846" w:rsidP="00CC0EB7">
      <w:pPr>
        <w:pStyle w:val="Note"/>
      </w:pPr>
      <w:r w:rsidRPr="00C203E5">
        <w:t>Note</w:t>
      </w:r>
      <w:r>
        <w:t>s</w:t>
      </w:r>
      <w:r w:rsidRPr="00C203E5">
        <w:t xml:space="preserve">: </w:t>
      </w:r>
    </w:p>
    <w:p w:rsidR="004B6846" w:rsidRDefault="004B6846" w:rsidP="00CC0EB7">
      <w:pPr>
        <w:pStyle w:val="Note"/>
      </w:pPr>
      <w:r w:rsidRPr="00C203E5">
        <w:t>(a)</w:t>
      </w:r>
      <w:r w:rsidRPr="00C203E5">
        <w:tab/>
        <w:t>The decrease in 2016</w:t>
      </w:r>
      <w:r w:rsidRPr="00C203E5">
        <w:noBreakHyphen/>
        <w:t>17 reflects the receipt of proceeds from entering into a medium</w:t>
      </w:r>
      <w:r w:rsidRPr="00C203E5">
        <w:noBreakHyphen/>
        <w:t xml:space="preserve">term lease over the operations of the </w:t>
      </w:r>
      <w:r w:rsidR="005F7313">
        <w:br/>
      </w:r>
      <w:r w:rsidRPr="00C203E5">
        <w:t>Port of Melbourne.</w:t>
      </w:r>
    </w:p>
    <w:p w:rsidR="004B6846" w:rsidRPr="00C203E5" w:rsidRDefault="004B6846" w:rsidP="00CC0EB7">
      <w:pPr>
        <w:pStyle w:val="Note"/>
      </w:pPr>
      <w:r w:rsidRPr="00C203E5">
        <w:t>(</w:t>
      </w:r>
      <w:r>
        <w:t>b)</w:t>
      </w:r>
      <w:r>
        <w:tab/>
      </w:r>
      <w:r w:rsidRPr="00C203E5">
        <w:t xml:space="preserve">The ratios to GSP may vary from publications year to year due to revisions to the </w:t>
      </w:r>
      <w:r>
        <w:t xml:space="preserve">Australian Bureau of Statistics </w:t>
      </w:r>
      <w:r w:rsidRPr="00C203E5">
        <w:t>GSP data.</w:t>
      </w:r>
    </w:p>
    <w:p w:rsidR="004B6846" w:rsidRDefault="004B6846" w:rsidP="00CC0EB7"/>
    <w:p w:rsidR="004B6846" w:rsidRDefault="004B6846" w:rsidP="00CC0EB7">
      <w:pPr>
        <w:keepLines w:val="0"/>
      </w:pPr>
      <w:r>
        <w:t>During the 2018 election, the Government committed to increasing borrowings to 12 per cent of GSP (</w:t>
      </w:r>
      <w:r w:rsidRPr="00603CAD">
        <w:t>including accounting standards change</w:t>
      </w:r>
      <w:r>
        <w:t>s) over the medium term to fund three visionary capital projects: the North-East Road Link; the Melbourne Airport Rail Link; and an additional 25 level crossings to be removed by 2025.</w:t>
      </w:r>
    </w:p>
    <w:p w:rsidR="004B6846" w:rsidRDefault="004B6846" w:rsidP="00CC0EB7">
      <w:pPr>
        <w:keepLines w:val="0"/>
      </w:pPr>
      <w:r>
        <w:t>In its credit opinion released on 26 November 2018, Moody’s noted that the ‘State Government expects total net debt to GSP to increase to approximately 12 per cent over the medium term, a level that we consider to be manageable within Victoria’s current triple-A rating and stable outlook’.</w:t>
      </w:r>
    </w:p>
    <w:p w:rsidR="004B6846" w:rsidRDefault="004B6846">
      <w:pPr>
        <w:keepLines w:val="0"/>
      </w:pPr>
      <w:r>
        <w:br w:type="page"/>
      </w:r>
    </w:p>
    <w:p w:rsidR="004B6846" w:rsidRPr="00C203E5" w:rsidRDefault="004B6846" w:rsidP="00CC0EB7">
      <w:r w:rsidRPr="00C203E5">
        <w:lastRenderedPageBreak/>
        <w:t>The application of cash resources for the general government sector (Table </w:t>
      </w:r>
      <w:r>
        <w:t>3</w:t>
      </w:r>
      <w:r w:rsidRPr="00C203E5">
        <w:t>.</w:t>
      </w:r>
      <w:r>
        <w:t>4</w:t>
      </w:r>
      <w:r w:rsidRPr="00C203E5">
        <w:t>) outlines the annual movements in net debt. General government sector cash from operating activities is expected to average $</w:t>
      </w:r>
      <w:r>
        <w:t>4.8 billion</w:t>
      </w:r>
      <w:r w:rsidRPr="00C203E5">
        <w:t xml:space="preserve"> a year over the next four ye</w:t>
      </w:r>
      <w:r>
        <w:t>ars.</w:t>
      </w:r>
    </w:p>
    <w:p w:rsidR="004B6846" w:rsidRPr="006721BF" w:rsidRDefault="004B6846" w:rsidP="00083462">
      <w:pPr>
        <w:pStyle w:val="TableHeading"/>
      </w:pPr>
      <w:r w:rsidRPr="00C203E5">
        <w:t xml:space="preserve">Table </w:t>
      </w:r>
      <w:r>
        <w:t>3</w:t>
      </w:r>
      <w:r w:rsidRPr="00C203E5">
        <w:t>.</w:t>
      </w:r>
      <w:r>
        <w:t>4</w:t>
      </w:r>
      <w:r w:rsidRPr="00C203E5">
        <w:t>:</w:t>
      </w:r>
      <w:r w:rsidRPr="00C203E5">
        <w:tab/>
        <w:t xml:space="preserve">Application of cash resources for the general government sector </w:t>
      </w:r>
      <w:r w:rsidRPr="00C203E5">
        <w:rPr>
          <w:vertAlign w:val="superscript"/>
        </w:rPr>
        <w:t>(a)</w:t>
      </w:r>
      <w:r w:rsidRPr="00C203E5">
        <w:tab/>
        <w:t>($</w:t>
      </w:r>
      <w:r>
        <w:t> million</w:t>
      </w:r>
      <w:r w:rsidRPr="00C203E5">
        <w:t>)</w:t>
      </w:r>
    </w:p>
    <w:tbl>
      <w:tblPr>
        <w:tblStyle w:val="DTFTable"/>
        <w:tblW w:w="7752"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37"/>
      </w:tblGrid>
      <w:tr w:rsidR="00CC0EB7" w:rsidRPr="006721BF" w:rsidTr="00083462">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FFFFFF"/>
          </w:tcPr>
          <w:p w:rsidR="00CC0EB7" w:rsidRPr="006721BF" w:rsidRDefault="00CC0EB7" w:rsidP="00CC0EB7">
            <w:pPr>
              <w:keepLines w:val="0"/>
              <w:autoSpaceDE w:val="0"/>
              <w:autoSpaceDN w:val="0"/>
              <w:adjustRightInd w:val="0"/>
              <w:rPr>
                <w:rFonts w:eastAsiaTheme="minorEastAsia" w:cstheme="majorHAnsi"/>
                <w:color w:val="000000"/>
                <w:lang w:eastAsia="en-AU"/>
              </w:rPr>
            </w:pPr>
            <w:r w:rsidRPr="006721BF">
              <w:rPr>
                <w:rFonts w:eastAsiaTheme="minorEastAsia" w:cstheme="majorHAnsi"/>
                <w:color w:val="000000"/>
                <w:lang w:eastAsia="en-AU"/>
              </w:rPr>
              <w:t xml:space="preserve">  </w:t>
            </w:r>
          </w:p>
        </w:tc>
        <w:tc>
          <w:tcPr>
            <w:tcW w:w="850" w:type="dxa"/>
            <w:tcBorders>
              <w:top w:val="nil"/>
              <w:left w:val="nil"/>
              <w:right w:val="nil"/>
            </w:tcBorders>
            <w:shd w:val="solid" w:color="000000" w:fill="FFFFFF"/>
          </w:tcPr>
          <w:p w:rsidR="00CC0EB7" w:rsidRPr="006721BF"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6721BF">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6721BF">
              <w:rPr>
                <w:rFonts w:eastAsiaTheme="minorEastAsia" w:cstheme="majorHAnsi"/>
                <w:iCs/>
                <w:color w:val="FFFFFF"/>
                <w:szCs w:val="18"/>
                <w:lang w:eastAsia="en-AU"/>
              </w:rPr>
              <w:t>revised</w:t>
            </w:r>
          </w:p>
        </w:tc>
        <w:tc>
          <w:tcPr>
            <w:tcW w:w="850" w:type="dxa"/>
            <w:tcBorders>
              <w:top w:val="nil"/>
              <w:left w:val="nil"/>
              <w:right w:val="nil"/>
            </w:tcBorders>
            <w:shd w:val="solid" w:color="000000" w:fill="FFFFFF"/>
          </w:tcPr>
          <w:p w:rsidR="00CC0EB7" w:rsidRPr="006721BF"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6721BF">
              <w:rPr>
                <w:rFonts w:eastAsiaTheme="minorEastAsia" w:cstheme="majorHAnsi"/>
                <w:iCs/>
                <w:color w:val="FFFFFF"/>
                <w:szCs w:val="18"/>
                <w:lang w:eastAsia="en-AU"/>
              </w:rPr>
              <w:t>2019-20</w:t>
            </w:r>
            <w:r>
              <w:rPr>
                <w:rFonts w:eastAsiaTheme="minorEastAsia" w:cstheme="majorHAnsi"/>
                <w:iCs/>
                <w:color w:val="FFFFFF"/>
                <w:szCs w:val="18"/>
                <w:lang w:eastAsia="en-AU"/>
              </w:rPr>
              <w:br/>
            </w:r>
            <w:r w:rsidRPr="006721BF">
              <w:rPr>
                <w:rFonts w:eastAsiaTheme="minorEastAsia" w:cstheme="majorHAnsi"/>
                <w:iCs/>
                <w:color w:val="FFFFFF"/>
                <w:szCs w:val="18"/>
                <w:lang w:eastAsia="en-AU"/>
              </w:rPr>
              <w:t>estimate</w:t>
            </w:r>
          </w:p>
        </w:tc>
        <w:tc>
          <w:tcPr>
            <w:tcW w:w="850" w:type="dxa"/>
            <w:tcBorders>
              <w:top w:val="nil"/>
              <w:left w:val="nil"/>
              <w:right w:val="nil"/>
            </w:tcBorders>
            <w:shd w:val="solid" w:color="000000" w:fill="FFFFFF"/>
          </w:tcPr>
          <w:p w:rsidR="00CC0EB7" w:rsidRPr="006721BF"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6721BF">
              <w:rPr>
                <w:rFonts w:eastAsiaTheme="minorEastAsia" w:cstheme="majorHAnsi"/>
                <w:iCs/>
                <w:color w:val="FFFFFF"/>
                <w:szCs w:val="18"/>
                <w:lang w:eastAsia="en-AU"/>
              </w:rPr>
              <w:t>2020-21</w:t>
            </w:r>
            <w:r>
              <w:rPr>
                <w:rFonts w:eastAsiaTheme="minorEastAsia" w:cstheme="majorHAnsi"/>
                <w:iCs/>
                <w:color w:val="FFFFFF"/>
                <w:szCs w:val="18"/>
                <w:lang w:eastAsia="en-AU"/>
              </w:rPr>
              <w:br/>
            </w:r>
            <w:r w:rsidRPr="006721BF">
              <w:rPr>
                <w:rFonts w:eastAsiaTheme="minorEastAsia" w:cstheme="majorHAnsi"/>
                <w:iCs/>
                <w:color w:val="FFFFFF"/>
                <w:szCs w:val="18"/>
                <w:lang w:eastAsia="en-AU"/>
              </w:rPr>
              <w:t>estimate</w:t>
            </w:r>
          </w:p>
        </w:tc>
        <w:tc>
          <w:tcPr>
            <w:tcW w:w="837" w:type="dxa"/>
            <w:tcBorders>
              <w:top w:val="nil"/>
              <w:left w:val="nil"/>
              <w:right w:val="nil"/>
            </w:tcBorders>
            <w:shd w:val="solid" w:color="000000" w:fill="FFFFFF"/>
          </w:tcPr>
          <w:p w:rsidR="00CC0EB7" w:rsidRPr="006721BF"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6721BF">
              <w:rPr>
                <w:rFonts w:eastAsiaTheme="minorEastAsia" w:cstheme="majorHAnsi"/>
                <w:iCs/>
                <w:color w:val="FFFFFF"/>
                <w:szCs w:val="18"/>
                <w:lang w:eastAsia="en-AU"/>
              </w:rPr>
              <w:t>2021-22</w:t>
            </w:r>
            <w:r>
              <w:rPr>
                <w:rFonts w:eastAsiaTheme="minorEastAsia" w:cstheme="majorHAnsi"/>
                <w:iCs/>
                <w:color w:val="FFFFFF"/>
                <w:szCs w:val="18"/>
                <w:lang w:eastAsia="en-AU"/>
              </w:rPr>
              <w:br/>
            </w:r>
            <w:r w:rsidRPr="006721BF">
              <w:rPr>
                <w:rFonts w:eastAsiaTheme="minorEastAsia" w:cstheme="majorHAnsi"/>
                <w:iCs/>
                <w:color w:val="FFFFFF"/>
                <w:szCs w:val="18"/>
                <w:lang w:eastAsia="en-AU"/>
              </w:rPr>
              <w:t>estimate</w:t>
            </w:r>
          </w:p>
        </w:tc>
      </w:tr>
      <w:tr w:rsidR="004B6846" w:rsidRPr="006721BF" w:rsidTr="00083462">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6721BF" w:rsidRDefault="004B6846" w:rsidP="00CC0EB7">
            <w:pPr>
              <w:keepLines w:val="0"/>
              <w:autoSpaceDE w:val="0"/>
              <w:autoSpaceDN w:val="0"/>
              <w:adjustRightInd w:val="0"/>
              <w:rPr>
                <w:rFonts w:eastAsiaTheme="minorEastAsia" w:cstheme="majorHAnsi"/>
                <w:b/>
                <w:bCs/>
                <w:color w:val="000000"/>
                <w:szCs w:val="18"/>
                <w:lang w:eastAsia="en-AU"/>
              </w:rPr>
            </w:pPr>
            <w:r w:rsidRPr="006721BF">
              <w:rPr>
                <w:rFonts w:eastAsiaTheme="minorEastAsia" w:cstheme="majorHAnsi"/>
                <w:b/>
                <w:bCs/>
                <w:color w:val="000000"/>
                <w:szCs w:val="18"/>
                <w:lang w:eastAsia="en-AU"/>
              </w:rPr>
              <w:t>Net result from transactions</w:t>
            </w:r>
          </w:p>
        </w:tc>
        <w:tc>
          <w:tcPr>
            <w:tcW w:w="850" w:type="dxa"/>
            <w:tcBorders>
              <w:top w:val="nil"/>
              <w:left w:val="nil"/>
              <w:bottom w:val="nil"/>
              <w:right w:val="nil"/>
            </w:tcBorders>
          </w:tcPr>
          <w:p w:rsidR="004B6846" w:rsidRPr="007C6B3B" w:rsidRDefault="004B6846" w:rsidP="00CC0EB7">
            <w:pPr>
              <w:keepLines w:val="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17"/>
              </w:rPr>
            </w:pPr>
            <w:r w:rsidRPr="007C6B3B">
              <w:rPr>
                <w:rFonts w:ascii="Calibri" w:hAnsi="Calibri" w:cs="Calibri"/>
                <w:b/>
                <w:color w:val="000000"/>
                <w:szCs w:val="17"/>
              </w:rPr>
              <w:t>2 241</w:t>
            </w:r>
          </w:p>
        </w:tc>
        <w:tc>
          <w:tcPr>
            <w:tcW w:w="850" w:type="dxa"/>
            <w:tcBorders>
              <w:top w:val="nil"/>
              <w:left w:val="nil"/>
              <w:bottom w:val="nil"/>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17"/>
              </w:rPr>
            </w:pPr>
            <w:r w:rsidRPr="007C6B3B">
              <w:rPr>
                <w:rFonts w:ascii="Calibri" w:hAnsi="Calibri" w:cs="Calibri"/>
                <w:b/>
                <w:color w:val="000000"/>
                <w:szCs w:val="17"/>
              </w:rPr>
              <w:t>1 725</w:t>
            </w:r>
          </w:p>
        </w:tc>
        <w:tc>
          <w:tcPr>
            <w:tcW w:w="850" w:type="dxa"/>
            <w:tcBorders>
              <w:top w:val="nil"/>
              <w:left w:val="nil"/>
              <w:bottom w:val="nil"/>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17"/>
              </w:rPr>
            </w:pPr>
            <w:r w:rsidRPr="007C6B3B">
              <w:rPr>
                <w:rFonts w:ascii="Calibri" w:hAnsi="Calibri" w:cs="Calibri"/>
                <w:b/>
                <w:color w:val="000000"/>
                <w:szCs w:val="17"/>
              </w:rPr>
              <w:t>2 677</w:t>
            </w:r>
          </w:p>
        </w:tc>
        <w:tc>
          <w:tcPr>
            <w:tcW w:w="837" w:type="dxa"/>
            <w:tcBorders>
              <w:top w:val="nil"/>
              <w:left w:val="nil"/>
              <w:bottom w:val="nil"/>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17"/>
              </w:rPr>
            </w:pPr>
            <w:r w:rsidRPr="007C6B3B">
              <w:rPr>
                <w:rFonts w:ascii="Calibri" w:hAnsi="Calibri" w:cs="Calibri"/>
                <w:b/>
                <w:color w:val="000000"/>
                <w:szCs w:val="17"/>
              </w:rPr>
              <w:t>2 984</w:t>
            </w:r>
          </w:p>
        </w:tc>
      </w:tr>
      <w:tr w:rsidR="004B6846" w:rsidRPr="006721BF" w:rsidTr="00083462">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4B6846" w:rsidRPr="006721BF" w:rsidRDefault="004B6846" w:rsidP="00CC0EB7">
            <w:pPr>
              <w:keepLines w:val="0"/>
              <w:autoSpaceDE w:val="0"/>
              <w:autoSpaceDN w:val="0"/>
              <w:adjustRightInd w:val="0"/>
              <w:rPr>
                <w:rFonts w:eastAsiaTheme="minorEastAsia" w:cstheme="majorHAnsi"/>
                <w:color w:val="000000"/>
                <w:szCs w:val="18"/>
                <w:lang w:eastAsia="en-AU"/>
              </w:rPr>
            </w:pPr>
            <w:r w:rsidRPr="006721BF">
              <w:rPr>
                <w:rFonts w:eastAsiaTheme="minorEastAsia" w:cstheme="majorHAnsi"/>
                <w:color w:val="000000"/>
                <w:szCs w:val="18"/>
                <w:lang w:eastAsia="en-AU"/>
              </w:rPr>
              <w:t xml:space="preserve">Add back: non-cash revenue and expenses (net) </w:t>
            </w:r>
            <w:r w:rsidRPr="006721BF">
              <w:rPr>
                <w:rFonts w:eastAsiaTheme="minorEastAsia" w:cstheme="majorHAnsi"/>
                <w:color w:val="000000"/>
                <w:szCs w:val="18"/>
                <w:vertAlign w:val="superscript"/>
                <w:lang w:eastAsia="en-AU"/>
              </w:rPr>
              <w:t>(b)</w:t>
            </w:r>
          </w:p>
        </w:tc>
        <w:tc>
          <w:tcPr>
            <w:tcW w:w="850" w:type="dxa"/>
            <w:tcBorders>
              <w:top w:val="nil"/>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7C6B3B">
              <w:rPr>
                <w:rFonts w:ascii="Calibri" w:hAnsi="Calibri" w:cs="Calibri"/>
                <w:color w:val="000000"/>
                <w:szCs w:val="17"/>
              </w:rPr>
              <w:t>4 914</w:t>
            </w:r>
          </w:p>
        </w:tc>
        <w:tc>
          <w:tcPr>
            <w:tcW w:w="850" w:type="dxa"/>
            <w:tcBorders>
              <w:top w:val="nil"/>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7C6B3B">
              <w:rPr>
                <w:rFonts w:ascii="Calibri" w:hAnsi="Calibri" w:cs="Calibri"/>
                <w:color w:val="000000"/>
                <w:szCs w:val="17"/>
              </w:rPr>
              <w:t>1 435</w:t>
            </w:r>
          </w:p>
        </w:tc>
        <w:tc>
          <w:tcPr>
            <w:tcW w:w="850" w:type="dxa"/>
            <w:tcBorders>
              <w:top w:val="nil"/>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7C6B3B">
              <w:rPr>
                <w:rFonts w:ascii="Calibri" w:hAnsi="Calibri" w:cs="Calibri"/>
                <w:color w:val="000000"/>
                <w:szCs w:val="17"/>
              </w:rPr>
              <w:t>1 103</w:t>
            </w:r>
          </w:p>
        </w:tc>
        <w:tc>
          <w:tcPr>
            <w:tcW w:w="837" w:type="dxa"/>
            <w:tcBorders>
              <w:top w:val="nil"/>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7C6B3B">
              <w:rPr>
                <w:rFonts w:ascii="Calibri" w:hAnsi="Calibri" w:cs="Calibri"/>
                <w:color w:val="000000"/>
                <w:szCs w:val="17"/>
              </w:rPr>
              <w:t>1 978</w:t>
            </w:r>
          </w:p>
        </w:tc>
      </w:tr>
      <w:tr w:rsidR="004B6846" w:rsidRPr="006721BF" w:rsidTr="00083462">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4B6846" w:rsidRPr="006721BF" w:rsidRDefault="004B6846" w:rsidP="00CC0EB7">
            <w:pPr>
              <w:keepLines w:val="0"/>
              <w:autoSpaceDE w:val="0"/>
              <w:autoSpaceDN w:val="0"/>
              <w:adjustRightInd w:val="0"/>
              <w:rPr>
                <w:rFonts w:eastAsiaTheme="minorEastAsia" w:cstheme="majorHAnsi"/>
                <w:b/>
                <w:bCs/>
                <w:color w:val="000000"/>
                <w:szCs w:val="18"/>
                <w:lang w:eastAsia="en-AU"/>
              </w:rPr>
            </w:pPr>
            <w:r w:rsidRPr="006721BF">
              <w:rPr>
                <w:rFonts w:eastAsiaTheme="minorEastAsia" w:cstheme="majorHAnsi"/>
                <w:b/>
                <w:bCs/>
                <w:color w:val="000000"/>
                <w:szCs w:val="18"/>
                <w:lang w:eastAsia="en-AU"/>
              </w:rPr>
              <w:t>Net cash flows from operating activities</w:t>
            </w:r>
          </w:p>
        </w:tc>
        <w:tc>
          <w:tcPr>
            <w:tcW w:w="850" w:type="dxa"/>
            <w:tcBorders>
              <w:top w:val="single" w:sz="6" w:space="0" w:color="auto"/>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7C6B3B">
              <w:rPr>
                <w:rFonts w:ascii="Calibri" w:hAnsi="Calibri" w:cs="Calibri"/>
                <w:b/>
                <w:bCs/>
                <w:color w:val="000000"/>
                <w:szCs w:val="17"/>
              </w:rPr>
              <w:t>7 155</w:t>
            </w:r>
          </w:p>
        </w:tc>
        <w:tc>
          <w:tcPr>
            <w:tcW w:w="850" w:type="dxa"/>
            <w:tcBorders>
              <w:top w:val="single" w:sz="6" w:space="0" w:color="auto"/>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7C6B3B">
              <w:rPr>
                <w:rFonts w:ascii="Calibri" w:hAnsi="Calibri" w:cs="Calibri"/>
                <w:b/>
                <w:bCs/>
                <w:color w:val="000000"/>
                <w:szCs w:val="17"/>
              </w:rPr>
              <w:t>3 160</w:t>
            </w:r>
          </w:p>
        </w:tc>
        <w:tc>
          <w:tcPr>
            <w:tcW w:w="850" w:type="dxa"/>
            <w:tcBorders>
              <w:top w:val="single" w:sz="6" w:space="0" w:color="auto"/>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7C6B3B">
              <w:rPr>
                <w:rFonts w:ascii="Calibri" w:hAnsi="Calibri" w:cs="Calibri"/>
                <w:b/>
                <w:bCs/>
                <w:color w:val="000000"/>
                <w:szCs w:val="17"/>
              </w:rPr>
              <w:t>3 779</w:t>
            </w:r>
          </w:p>
        </w:tc>
        <w:tc>
          <w:tcPr>
            <w:tcW w:w="837" w:type="dxa"/>
            <w:tcBorders>
              <w:top w:val="single" w:sz="6" w:space="0" w:color="auto"/>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7C6B3B">
              <w:rPr>
                <w:rFonts w:ascii="Calibri" w:hAnsi="Calibri" w:cs="Calibri"/>
                <w:b/>
                <w:bCs/>
                <w:color w:val="000000"/>
                <w:szCs w:val="17"/>
              </w:rPr>
              <w:t>4 962</w:t>
            </w:r>
          </w:p>
        </w:tc>
      </w:tr>
      <w:tr w:rsidR="004B6846" w:rsidRPr="006721BF" w:rsidTr="00083462">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4B6846" w:rsidRPr="006721BF" w:rsidRDefault="004B6846" w:rsidP="00CC0EB7">
            <w:pPr>
              <w:keepLines w:val="0"/>
              <w:autoSpaceDE w:val="0"/>
              <w:autoSpaceDN w:val="0"/>
              <w:adjustRightInd w:val="0"/>
              <w:rPr>
                <w:rFonts w:eastAsiaTheme="minorEastAsia" w:cstheme="majorHAnsi"/>
                <w:b/>
                <w:bCs/>
                <w:color w:val="000000"/>
                <w:szCs w:val="18"/>
                <w:lang w:eastAsia="en-AU"/>
              </w:rPr>
            </w:pPr>
            <w:r w:rsidRPr="006721BF">
              <w:rPr>
                <w:rFonts w:eastAsiaTheme="minorEastAsia" w:cstheme="majorHAnsi"/>
                <w:b/>
                <w:bCs/>
                <w:color w:val="000000"/>
                <w:szCs w:val="18"/>
                <w:lang w:eastAsia="en-AU"/>
              </w:rPr>
              <w:t xml:space="preserve">Total net investment in fixed assets </w:t>
            </w:r>
            <w:r w:rsidRPr="006721BF">
              <w:rPr>
                <w:rFonts w:eastAsiaTheme="minorEastAsia" w:cstheme="majorHAnsi"/>
                <w:b/>
                <w:bCs/>
                <w:color w:val="000000"/>
                <w:szCs w:val="18"/>
                <w:vertAlign w:val="superscript"/>
                <w:lang w:eastAsia="en-AU"/>
              </w:rPr>
              <w:t>(c)</w:t>
            </w:r>
          </w:p>
        </w:tc>
        <w:tc>
          <w:tcPr>
            <w:tcW w:w="850" w:type="dxa"/>
            <w:tcBorders>
              <w:top w:val="single" w:sz="6" w:space="0" w:color="auto"/>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7C6B3B">
              <w:rPr>
                <w:rFonts w:ascii="Calibri" w:hAnsi="Calibri" w:cs="Calibri"/>
                <w:b/>
                <w:bCs/>
                <w:color w:val="000000"/>
                <w:szCs w:val="17"/>
              </w:rPr>
              <w:t>7 733</w:t>
            </w:r>
          </w:p>
        </w:tc>
        <w:tc>
          <w:tcPr>
            <w:tcW w:w="850" w:type="dxa"/>
            <w:tcBorders>
              <w:top w:val="single" w:sz="6" w:space="0" w:color="auto"/>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7C6B3B">
              <w:rPr>
                <w:rFonts w:ascii="Calibri" w:hAnsi="Calibri" w:cs="Calibri"/>
                <w:b/>
                <w:bCs/>
                <w:color w:val="000000"/>
                <w:szCs w:val="17"/>
              </w:rPr>
              <w:t>5 597</w:t>
            </w:r>
          </w:p>
        </w:tc>
        <w:tc>
          <w:tcPr>
            <w:tcW w:w="850" w:type="dxa"/>
            <w:tcBorders>
              <w:top w:val="single" w:sz="6" w:space="0" w:color="auto"/>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7C6B3B">
              <w:rPr>
                <w:rFonts w:ascii="Calibri" w:hAnsi="Calibri" w:cs="Calibri"/>
                <w:b/>
                <w:bCs/>
                <w:color w:val="000000"/>
                <w:szCs w:val="17"/>
              </w:rPr>
              <w:t>4 493</w:t>
            </w:r>
          </w:p>
        </w:tc>
        <w:tc>
          <w:tcPr>
            <w:tcW w:w="837" w:type="dxa"/>
            <w:tcBorders>
              <w:top w:val="single" w:sz="6" w:space="0" w:color="auto"/>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7C6B3B">
              <w:rPr>
                <w:rFonts w:ascii="Calibri" w:hAnsi="Calibri" w:cs="Calibri"/>
                <w:b/>
                <w:bCs/>
                <w:color w:val="000000"/>
                <w:szCs w:val="17"/>
              </w:rPr>
              <w:t>5 422</w:t>
            </w:r>
          </w:p>
        </w:tc>
      </w:tr>
      <w:tr w:rsidR="004B6846" w:rsidRPr="006721BF" w:rsidTr="00083462">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4B6846" w:rsidRPr="006721BF" w:rsidRDefault="004B6846" w:rsidP="00CC0EB7">
            <w:pPr>
              <w:keepLines w:val="0"/>
              <w:autoSpaceDE w:val="0"/>
              <w:autoSpaceDN w:val="0"/>
              <w:adjustRightInd w:val="0"/>
              <w:rPr>
                <w:rFonts w:eastAsiaTheme="minorEastAsia" w:cstheme="majorHAnsi"/>
                <w:b/>
                <w:bCs/>
                <w:color w:val="000000"/>
                <w:szCs w:val="18"/>
                <w:lang w:eastAsia="en-AU"/>
              </w:rPr>
            </w:pPr>
            <w:r w:rsidRPr="006721BF">
              <w:rPr>
                <w:rFonts w:eastAsiaTheme="minorEastAsia" w:cstheme="majorHAnsi"/>
                <w:b/>
                <w:bCs/>
                <w:color w:val="000000"/>
                <w:szCs w:val="18"/>
                <w:lang w:eastAsia="en-AU"/>
              </w:rPr>
              <w:t>Surplus/(deficit) of cash from operations after funding net investment in fixed assets</w:t>
            </w:r>
          </w:p>
        </w:tc>
        <w:tc>
          <w:tcPr>
            <w:tcW w:w="850" w:type="dxa"/>
            <w:tcBorders>
              <w:top w:val="single" w:sz="6" w:space="0" w:color="auto"/>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Pr>
                <w:rFonts w:ascii="Calibri" w:hAnsi="Calibri" w:cs="Calibri"/>
                <w:b/>
                <w:bCs/>
                <w:color w:val="000000"/>
                <w:szCs w:val="17"/>
              </w:rPr>
              <w:t>(578)</w:t>
            </w:r>
          </w:p>
        </w:tc>
        <w:tc>
          <w:tcPr>
            <w:tcW w:w="850" w:type="dxa"/>
            <w:tcBorders>
              <w:top w:val="single" w:sz="6" w:space="0" w:color="auto"/>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Pr>
                <w:rFonts w:ascii="Calibri" w:hAnsi="Calibri" w:cs="Calibri"/>
                <w:b/>
                <w:bCs/>
                <w:color w:val="000000"/>
                <w:szCs w:val="17"/>
              </w:rPr>
              <w:t>(2 437)</w:t>
            </w:r>
          </w:p>
        </w:tc>
        <w:tc>
          <w:tcPr>
            <w:tcW w:w="850" w:type="dxa"/>
            <w:tcBorders>
              <w:top w:val="single" w:sz="6" w:space="0" w:color="auto"/>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Pr>
                <w:rFonts w:ascii="Calibri" w:hAnsi="Calibri" w:cs="Calibri"/>
                <w:b/>
                <w:bCs/>
                <w:color w:val="000000"/>
                <w:szCs w:val="17"/>
              </w:rPr>
              <w:t>(713)</w:t>
            </w:r>
          </w:p>
        </w:tc>
        <w:tc>
          <w:tcPr>
            <w:tcW w:w="837" w:type="dxa"/>
            <w:tcBorders>
              <w:top w:val="single" w:sz="6" w:space="0" w:color="auto"/>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Pr>
                <w:rFonts w:ascii="Calibri" w:hAnsi="Calibri" w:cs="Calibri"/>
                <w:b/>
                <w:bCs/>
                <w:color w:val="000000"/>
                <w:szCs w:val="17"/>
              </w:rPr>
              <w:t>(460)</w:t>
            </w:r>
          </w:p>
        </w:tc>
      </w:tr>
      <w:tr w:rsidR="004B6846" w:rsidRPr="006721BF" w:rsidTr="00083462">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nil"/>
              <w:right w:val="nil"/>
            </w:tcBorders>
          </w:tcPr>
          <w:p w:rsidR="004B6846" w:rsidRPr="006721BF" w:rsidRDefault="004B6846" w:rsidP="00CC0EB7">
            <w:pPr>
              <w:keepLines w:val="0"/>
              <w:autoSpaceDE w:val="0"/>
              <w:autoSpaceDN w:val="0"/>
              <w:adjustRightInd w:val="0"/>
              <w:rPr>
                <w:rFonts w:eastAsiaTheme="minorEastAsia" w:cstheme="majorHAnsi"/>
                <w:color w:val="000000"/>
                <w:szCs w:val="18"/>
                <w:lang w:eastAsia="en-AU"/>
              </w:rPr>
            </w:pPr>
            <w:r w:rsidRPr="006721BF">
              <w:rPr>
                <w:rFonts w:eastAsiaTheme="minorEastAsia" w:cstheme="majorHAnsi"/>
                <w:color w:val="000000"/>
                <w:szCs w:val="18"/>
                <w:lang w:eastAsia="en-AU"/>
              </w:rPr>
              <w:t xml:space="preserve">Finance leases </w:t>
            </w:r>
            <w:r w:rsidRPr="006721BF">
              <w:rPr>
                <w:rFonts w:eastAsiaTheme="minorEastAsia" w:cstheme="majorHAnsi"/>
                <w:color w:val="000000"/>
                <w:szCs w:val="18"/>
                <w:vertAlign w:val="superscript"/>
                <w:lang w:eastAsia="en-AU"/>
              </w:rPr>
              <w:t>(d)</w:t>
            </w:r>
          </w:p>
        </w:tc>
        <w:tc>
          <w:tcPr>
            <w:tcW w:w="850" w:type="dxa"/>
            <w:tcBorders>
              <w:top w:val="single" w:sz="6" w:space="0" w:color="auto"/>
              <w:left w:val="nil"/>
              <w:bottom w:val="nil"/>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Pr>
                <w:rFonts w:ascii="Calibri" w:hAnsi="Calibri" w:cs="Calibri"/>
                <w:color w:val="000000"/>
                <w:szCs w:val="17"/>
              </w:rPr>
              <w:t>451</w:t>
            </w:r>
          </w:p>
        </w:tc>
        <w:tc>
          <w:tcPr>
            <w:tcW w:w="850" w:type="dxa"/>
            <w:tcBorders>
              <w:top w:val="single" w:sz="6" w:space="0" w:color="auto"/>
              <w:left w:val="nil"/>
              <w:bottom w:val="nil"/>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7C6B3B">
              <w:rPr>
                <w:rFonts w:ascii="Calibri" w:hAnsi="Calibri" w:cs="Calibri"/>
                <w:color w:val="000000"/>
                <w:szCs w:val="17"/>
              </w:rPr>
              <w:t>1 034</w:t>
            </w:r>
          </w:p>
        </w:tc>
        <w:tc>
          <w:tcPr>
            <w:tcW w:w="850" w:type="dxa"/>
            <w:tcBorders>
              <w:top w:val="single" w:sz="6" w:space="0" w:color="auto"/>
              <w:left w:val="nil"/>
              <w:bottom w:val="nil"/>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Pr>
                <w:rFonts w:ascii="Calibri" w:hAnsi="Calibri" w:cs="Calibri"/>
                <w:color w:val="000000"/>
                <w:szCs w:val="17"/>
              </w:rPr>
              <w:t>526</w:t>
            </w:r>
          </w:p>
        </w:tc>
        <w:tc>
          <w:tcPr>
            <w:tcW w:w="837" w:type="dxa"/>
            <w:tcBorders>
              <w:top w:val="single" w:sz="6" w:space="0" w:color="auto"/>
              <w:left w:val="nil"/>
              <w:bottom w:val="nil"/>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Pr>
                <w:rFonts w:ascii="Calibri" w:hAnsi="Calibri" w:cs="Calibri"/>
                <w:color w:val="000000"/>
                <w:szCs w:val="17"/>
              </w:rPr>
              <w:t>448</w:t>
            </w:r>
          </w:p>
        </w:tc>
      </w:tr>
      <w:tr w:rsidR="004B6846" w:rsidRPr="006721BF" w:rsidTr="00083462">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4B6846" w:rsidRPr="006721BF" w:rsidRDefault="004B6846" w:rsidP="00CC0EB7">
            <w:pPr>
              <w:keepLines w:val="0"/>
              <w:autoSpaceDE w:val="0"/>
              <w:autoSpaceDN w:val="0"/>
              <w:adjustRightInd w:val="0"/>
              <w:rPr>
                <w:rFonts w:eastAsiaTheme="minorEastAsia" w:cstheme="majorHAnsi"/>
                <w:color w:val="000000"/>
                <w:szCs w:val="18"/>
                <w:lang w:eastAsia="en-AU"/>
              </w:rPr>
            </w:pPr>
            <w:r w:rsidRPr="006721BF">
              <w:rPr>
                <w:rFonts w:eastAsiaTheme="minorEastAsia" w:cstheme="majorHAnsi"/>
                <w:color w:val="000000"/>
                <w:szCs w:val="18"/>
                <w:lang w:eastAsia="en-AU"/>
              </w:rPr>
              <w:t>Other movements</w:t>
            </w:r>
          </w:p>
        </w:tc>
        <w:tc>
          <w:tcPr>
            <w:tcW w:w="850" w:type="dxa"/>
            <w:tcBorders>
              <w:top w:val="nil"/>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7C6B3B">
              <w:rPr>
                <w:rFonts w:ascii="Calibri" w:hAnsi="Calibri" w:cs="Calibri"/>
                <w:color w:val="000000"/>
                <w:szCs w:val="17"/>
              </w:rPr>
              <w:t>1 481</w:t>
            </w:r>
          </w:p>
        </w:tc>
        <w:tc>
          <w:tcPr>
            <w:tcW w:w="850" w:type="dxa"/>
            <w:tcBorders>
              <w:top w:val="nil"/>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7C6B3B">
              <w:rPr>
                <w:rFonts w:ascii="Calibri" w:hAnsi="Calibri" w:cs="Calibri"/>
                <w:color w:val="000000"/>
                <w:szCs w:val="17"/>
              </w:rPr>
              <w:t>1 831</w:t>
            </w:r>
          </w:p>
        </w:tc>
        <w:tc>
          <w:tcPr>
            <w:tcW w:w="850" w:type="dxa"/>
            <w:tcBorders>
              <w:top w:val="nil"/>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7C6B3B">
              <w:rPr>
                <w:rFonts w:ascii="Calibri" w:hAnsi="Calibri" w:cs="Calibri"/>
                <w:color w:val="000000"/>
                <w:szCs w:val="17"/>
              </w:rPr>
              <w:t>1 269</w:t>
            </w:r>
          </w:p>
        </w:tc>
        <w:tc>
          <w:tcPr>
            <w:tcW w:w="837" w:type="dxa"/>
            <w:tcBorders>
              <w:top w:val="nil"/>
              <w:left w:val="nil"/>
              <w:bottom w:val="single" w:sz="6" w:space="0" w:color="auto"/>
              <w:right w:val="nil"/>
            </w:tcBorders>
          </w:tcPr>
          <w:p w:rsidR="004B6846" w:rsidRPr="007C6B3B"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Pr>
                <w:rFonts w:ascii="Calibri" w:hAnsi="Calibri" w:cs="Calibri"/>
                <w:color w:val="000000"/>
                <w:szCs w:val="17"/>
              </w:rPr>
              <w:t>537</w:t>
            </w:r>
          </w:p>
        </w:tc>
      </w:tr>
      <w:tr w:rsidR="004B6846" w:rsidRPr="006721BF" w:rsidTr="0008346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rsidR="004B6846" w:rsidRPr="006721BF" w:rsidRDefault="004B6846" w:rsidP="00CC0EB7">
            <w:pPr>
              <w:keepLines w:val="0"/>
              <w:autoSpaceDE w:val="0"/>
              <w:autoSpaceDN w:val="0"/>
              <w:adjustRightInd w:val="0"/>
              <w:rPr>
                <w:rFonts w:eastAsiaTheme="minorEastAsia" w:cstheme="majorHAnsi"/>
                <w:bCs/>
                <w:color w:val="000000"/>
                <w:szCs w:val="18"/>
                <w:lang w:eastAsia="en-AU"/>
              </w:rPr>
            </w:pPr>
            <w:r w:rsidRPr="006721BF">
              <w:rPr>
                <w:rFonts w:eastAsiaTheme="minorEastAsia" w:cstheme="majorHAnsi"/>
                <w:bCs/>
                <w:color w:val="000000"/>
                <w:szCs w:val="18"/>
                <w:lang w:eastAsia="en-AU"/>
              </w:rPr>
              <w:t>Decrease/(increase) in net debt</w:t>
            </w:r>
          </w:p>
        </w:tc>
        <w:tc>
          <w:tcPr>
            <w:tcW w:w="850" w:type="dxa"/>
            <w:tcBorders>
              <w:top w:val="single" w:sz="6" w:space="0" w:color="auto"/>
              <w:bottom w:val="single" w:sz="12" w:space="0" w:color="auto"/>
            </w:tcBorders>
          </w:tcPr>
          <w:p w:rsidR="004B6846" w:rsidRPr="007C6B3B" w:rsidRDefault="004B6846" w:rsidP="00CC0EB7">
            <w:pPr>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Pr>
                <w:rFonts w:ascii="Calibri" w:hAnsi="Calibri" w:cs="Calibri"/>
                <w:bCs/>
                <w:color w:val="000000"/>
                <w:szCs w:val="17"/>
              </w:rPr>
              <w:t>(2 510)</w:t>
            </w:r>
          </w:p>
        </w:tc>
        <w:tc>
          <w:tcPr>
            <w:tcW w:w="850" w:type="dxa"/>
            <w:tcBorders>
              <w:top w:val="single" w:sz="6" w:space="0" w:color="auto"/>
              <w:bottom w:val="single" w:sz="12" w:space="0" w:color="auto"/>
            </w:tcBorders>
          </w:tcPr>
          <w:p w:rsidR="004B6846" w:rsidRPr="007C6B3B" w:rsidRDefault="004B6846" w:rsidP="00CC0EB7">
            <w:pPr>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Pr>
                <w:rFonts w:ascii="Calibri" w:hAnsi="Calibri" w:cs="Calibri"/>
                <w:bCs/>
                <w:color w:val="000000"/>
                <w:szCs w:val="17"/>
              </w:rPr>
              <w:t>(5 301)</w:t>
            </w:r>
          </w:p>
        </w:tc>
        <w:tc>
          <w:tcPr>
            <w:tcW w:w="850" w:type="dxa"/>
            <w:tcBorders>
              <w:top w:val="single" w:sz="6" w:space="0" w:color="auto"/>
              <w:bottom w:val="single" w:sz="12" w:space="0" w:color="auto"/>
            </w:tcBorders>
          </w:tcPr>
          <w:p w:rsidR="004B6846" w:rsidRPr="007C6B3B" w:rsidRDefault="004B6846" w:rsidP="00CC0EB7">
            <w:pPr>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Pr>
                <w:rFonts w:ascii="Calibri" w:hAnsi="Calibri" w:cs="Calibri"/>
                <w:bCs/>
                <w:color w:val="000000"/>
                <w:szCs w:val="17"/>
              </w:rPr>
              <w:t>(2 509)</w:t>
            </w:r>
          </w:p>
        </w:tc>
        <w:tc>
          <w:tcPr>
            <w:tcW w:w="837" w:type="dxa"/>
            <w:tcBorders>
              <w:top w:val="single" w:sz="6" w:space="0" w:color="auto"/>
              <w:bottom w:val="single" w:sz="12" w:space="0" w:color="auto"/>
            </w:tcBorders>
          </w:tcPr>
          <w:p w:rsidR="004B6846" w:rsidRPr="007C6B3B" w:rsidRDefault="004B6846" w:rsidP="00CC0EB7">
            <w:pPr>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Pr>
                <w:rFonts w:ascii="Calibri" w:hAnsi="Calibri" w:cs="Calibri"/>
                <w:bCs/>
                <w:color w:val="000000"/>
                <w:szCs w:val="17"/>
              </w:rPr>
              <w:t>(1 445)</w:t>
            </w:r>
          </w:p>
        </w:tc>
      </w:tr>
    </w:tbl>
    <w:p w:rsidR="004B6846" w:rsidRPr="00C203E5" w:rsidRDefault="004B6846" w:rsidP="00CC0EB7">
      <w:pPr>
        <w:pStyle w:val="Source"/>
      </w:pPr>
      <w:r w:rsidRPr="00C203E5">
        <w:t>Source: Department of Treasury and Finance</w:t>
      </w:r>
    </w:p>
    <w:p w:rsidR="004B6846" w:rsidRPr="00C203E5" w:rsidRDefault="004B6846" w:rsidP="00CC0EB7">
      <w:pPr>
        <w:pStyle w:val="Note"/>
      </w:pPr>
      <w:r w:rsidRPr="00C203E5">
        <w:t>Notes:</w:t>
      </w:r>
    </w:p>
    <w:p w:rsidR="004B6846" w:rsidRPr="00C203E5" w:rsidRDefault="004B6846" w:rsidP="00CC0EB7">
      <w:pPr>
        <w:pStyle w:val="Note"/>
      </w:pPr>
      <w:r w:rsidRPr="00C203E5">
        <w:t xml:space="preserve">(a) </w:t>
      </w:r>
      <w:r w:rsidRPr="00C203E5">
        <w:tab/>
        <w:t>Figures in this table are subject to rounding to the nearest</w:t>
      </w:r>
      <w:r>
        <w:t> million</w:t>
      </w:r>
      <w:r w:rsidRPr="00C203E5">
        <w:t xml:space="preserve"> and may not add up to totals.</w:t>
      </w:r>
    </w:p>
    <w:p w:rsidR="004B6846" w:rsidRPr="00C203E5" w:rsidRDefault="004B6846" w:rsidP="00CC0EB7">
      <w:pPr>
        <w:pStyle w:val="Note"/>
      </w:pPr>
      <w:r w:rsidRPr="00C203E5">
        <w:t xml:space="preserve">(b) </w:t>
      </w:r>
      <w:r w:rsidRPr="00C203E5">
        <w:tab/>
        <w:t xml:space="preserve">Includes depreciation, </w:t>
      </w:r>
      <w:r>
        <w:t xml:space="preserve">prepayments and </w:t>
      </w:r>
      <w:r w:rsidRPr="00C203E5">
        <w:t xml:space="preserve">movements in the unfunded superannuation liability and </w:t>
      </w:r>
      <w:r>
        <w:t xml:space="preserve">liability for employee benefits, </w:t>
      </w:r>
      <w:r>
        <w:br/>
        <w:t>as well as operating cash flows not required to be recognised in the operating statement for the respective year.</w:t>
      </w:r>
    </w:p>
    <w:p w:rsidR="004B6846" w:rsidRPr="00C203E5" w:rsidRDefault="004B6846" w:rsidP="00CC0EB7">
      <w:pPr>
        <w:pStyle w:val="Note"/>
      </w:pPr>
      <w:r w:rsidRPr="00C203E5">
        <w:t xml:space="preserve">(c) </w:t>
      </w:r>
      <w:r w:rsidRPr="00C203E5">
        <w:tab/>
        <w:t>Includes total purchases of plant, property and equipment, and net capital contributions to other sectors of government net of proceeds from asset recycling</w:t>
      </w:r>
      <w:r w:rsidRPr="00C203E5">
        <w:fldChar w:fldCharType="begin"/>
      </w:r>
      <w:r w:rsidRPr="00C203E5">
        <w:instrText xml:space="preserve"> "Asset recycling" </w:instrText>
      </w:r>
      <w:r w:rsidRPr="00C203E5">
        <w:fldChar w:fldCharType="end"/>
      </w:r>
      <w:r w:rsidRPr="00C203E5">
        <w:t>.</w:t>
      </w:r>
    </w:p>
    <w:p w:rsidR="004B6846" w:rsidRPr="00C203E5" w:rsidRDefault="004B6846" w:rsidP="00CC0EB7">
      <w:pPr>
        <w:pStyle w:val="Note"/>
      </w:pPr>
      <w:r w:rsidRPr="00C203E5">
        <w:t>(d)</w:t>
      </w:r>
      <w:r w:rsidRPr="00C203E5">
        <w:tab/>
        <w:t>The finance lease acquisition</w:t>
      </w:r>
      <w:r>
        <w:t>s predominately relate</w:t>
      </w:r>
      <w:r w:rsidRPr="00C203E5">
        <w:t xml:space="preserve"> to the</w:t>
      </w:r>
      <w:r>
        <w:t xml:space="preserve"> High Capacity Metro Trains</w:t>
      </w:r>
      <w:r w:rsidRPr="00C203E5">
        <w:t xml:space="preserve"> Project, the </w:t>
      </w:r>
      <w:r>
        <w:t>Western Roads Upgrade,</w:t>
      </w:r>
      <w:r w:rsidRPr="00C203E5">
        <w:t xml:space="preserve"> </w:t>
      </w:r>
      <w:r>
        <w:t>the</w:t>
      </w:r>
      <w:r w:rsidRPr="00C203E5">
        <w:t xml:space="preserve"> </w:t>
      </w:r>
      <w:r>
        <w:t>Casey Hospital E</w:t>
      </w:r>
      <w:r w:rsidRPr="00C203E5">
        <w:t>xpansion</w:t>
      </w:r>
      <w:r>
        <w:t>, the Northern Roads Upgrade and the</w:t>
      </w:r>
      <w:r w:rsidRPr="00C203E5">
        <w:t xml:space="preserve"> South Eastern Roads Upgrade.</w:t>
      </w:r>
    </w:p>
    <w:p w:rsidR="004B6846" w:rsidRPr="00C203E5" w:rsidRDefault="004B6846" w:rsidP="00CC0EB7">
      <w:pPr>
        <w:pStyle w:val="Heading20"/>
        <w:rPr>
          <w:rFonts w:eastAsiaTheme="minorHAnsi"/>
        </w:rPr>
      </w:pPr>
      <w:r w:rsidRPr="00C203E5">
        <w:rPr>
          <w:rFonts w:eastAsiaTheme="minorHAnsi"/>
        </w:rPr>
        <w:t>Unfunded superannuation liability</w:t>
      </w:r>
    </w:p>
    <w:p w:rsidR="004B6846" w:rsidRPr="00C203E5" w:rsidRDefault="004B6846" w:rsidP="00CC0EB7">
      <w:r w:rsidRPr="00C203E5">
        <w:t xml:space="preserve">The State’s unfunded superannuation liability </w:t>
      </w:r>
      <w:r>
        <w:t xml:space="preserve">is on track to be fully funded </w:t>
      </w:r>
      <w:r w:rsidRPr="00C203E5">
        <w:t xml:space="preserve">by 2035. </w:t>
      </w:r>
      <w:r>
        <w:t>Note 4.6.3</w:t>
      </w:r>
      <w:r w:rsidRPr="00165693">
        <w:t xml:space="preserve"> of </w:t>
      </w:r>
      <w:r>
        <w:t>Chapter 4</w:t>
      </w:r>
      <w:r w:rsidRPr="00916A19">
        <w:t xml:space="preserve"> </w:t>
      </w:r>
      <w:r w:rsidRPr="00916A19">
        <w:rPr>
          <w:i/>
        </w:rPr>
        <w:t>Estimated financial statements and notes</w:t>
      </w:r>
      <w:r>
        <w:rPr>
          <w:i/>
        </w:rPr>
        <w:t xml:space="preserve"> </w:t>
      </w:r>
      <w:r w:rsidRPr="00C203E5">
        <w:t>shows information on the reported superannuation liability</w:t>
      </w:r>
      <w:r w:rsidRPr="00C203E5">
        <w:rPr>
          <w:i/>
        </w:rPr>
        <w:t>.</w:t>
      </w:r>
    </w:p>
    <w:p w:rsidR="004B6846" w:rsidRDefault="004B6846" w:rsidP="00CC0EB7">
      <w:pPr>
        <w:keepLines w:val="0"/>
        <w:rPr>
          <w:rFonts w:asciiTheme="majorHAnsi" w:hAnsiTheme="majorHAnsi" w:cstheme="majorBidi"/>
          <w:b/>
          <w:bCs/>
          <w:caps/>
          <w:spacing w:val="-2"/>
          <w:sz w:val="26"/>
          <w:szCs w:val="28"/>
        </w:rPr>
      </w:pPr>
      <w:bookmarkStart w:id="20" w:name="_Toc449123068"/>
      <w:bookmarkStart w:id="21" w:name="_Toc481160574"/>
      <w:bookmarkStart w:id="22" w:name="_Toc481246482"/>
      <w:bookmarkStart w:id="23" w:name="_Toc512629768"/>
      <w:r>
        <w:br w:type="page"/>
      </w:r>
    </w:p>
    <w:p w:rsidR="004B6846" w:rsidRPr="00C203E5" w:rsidRDefault="004B6846" w:rsidP="00CC0EB7">
      <w:pPr>
        <w:pStyle w:val="Heading10"/>
        <w:rPr>
          <w:rFonts w:eastAsiaTheme="minorHAnsi"/>
        </w:rPr>
      </w:pPr>
      <w:bookmarkStart w:id="24" w:name="_Toc531884951"/>
      <w:r w:rsidRPr="00C203E5">
        <w:rPr>
          <w:rFonts w:eastAsiaTheme="minorHAnsi"/>
        </w:rPr>
        <w:lastRenderedPageBreak/>
        <w:t>Fiscal risks</w:t>
      </w:r>
      <w:bookmarkEnd w:id="20"/>
      <w:bookmarkEnd w:id="21"/>
      <w:bookmarkEnd w:id="22"/>
      <w:bookmarkEnd w:id="23"/>
      <w:bookmarkEnd w:id="24"/>
    </w:p>
    <w:p w:rsidR="004B6846" w:rsidRPr="00C203E5" w:rsidRDefault="004B6846" w:rsidP="00CC0EB7">
      <w:r w:rsidRPr="00C203E5">
        <w:t xml:space="preserve">This section discusses a number of risks which, if realised, are likely to impact on the State’s financial position and budget outcomes. </w:t>
      </w:r>
    </w:p>
    <w:p w:rsidR="004B6846" w:rsidRPr="00C203E5" w:rsidRDefault="004B6846" w:rsidP="00CC0EB7">
      <w:r w:rsidRPr="00C203E5">
        <w:t>Details of specific contingent assets and liabilities, defined as possible assets or liabilities that arise from past events, whose existence will be confirmed only by the occurrence or non</w:t>
      </w:r>
      <w:r w:rsidRPr="00C203E5">
        <w:noBreakHyphen/>
        <w:t xml:space="preserve">occurrence of one or more uncertain future events not wholly within the control of the entity, are contained within </w:t>
      </w:r>
      <w:r>
        <w:t>Chapter 6</w:t>
      </w:r>
      <w:r w:rsidRPr="007E4E2E">
        <w:t xml:space="preserve"> </w:t>
      </w:r>
      <w:r w:rsidRPr="007E4E2E">
        <w:rPr>
          <w:i/>
        </w:rPr>
        <w:t>Contingent assets and contingent liabilities</w:t>
      </w:r>
      <w:r w:rsidRPr="00C203E5">
        <w:rPr>
          <w:i/>
        </w:rPr>
        <w:t>.</w:t>
      </w:r>
    </w:p>
    <w:p w:rsidR="004B6846" w:rsidRPr="00C203E5" w:rsidRDefault="004B6846" w:rsidP="00CC0EB7">
      <w:pPr>
        <w:pStyle w:val="Heading20"/>
        <w:rPr>
          <w:rFonts w:eastAsiaTheme="minorHAnsi"/>
        </w:rPr>
      </w:pPr>
      <w:r w:rsidRPr="00C203E5">
        <w:rPr>
          <w:rFonts w:eastAsiaTheme="minorHAnsi"/>
        </w:rPr>
        <w:t>General fiscal risks</w:t>
      </w:r>
    </w:p>
    <w:p w:rsidR="004B6846" w:rsidRPr="00C203E5" w:rsidRDefault="004B6846" w:rsidP="00CC0EB7">
      <w:pPr>
        <w:pStyle w:val="Heading30"/>
      </w:pPr>
      <w:r w:rsidRPr="00C203E5">
        <w:rPr>
          <w:rFonts w:eastAsiaTheme="minorHAnsi"/>
        </w:rPr>
        <w:t>State taxes</w:t>
      </w:r>
    </w:p>
    <w:p w:rsidR="004B6846" w:rsidRPr="0010547C" w:rsidRDefault="004B6846" w:rsidP="00CC0EB7">
      <w:pPr>
        <w:autoSpaceDE w:val="0"/>
        <w:autoSpaceDN w:val="0"/>
        <w:adjustRightInd w:val="0"/>
        <w:spacing w:after="120"/>
        <w:rPr>
          <w:rFonts w:cstheme="minorHAnsi"/>
          <w:color w:val="000000"/>
        </w:rPr>
      </w:pPr>
      <w:r w:rsidRPr="0010547C">
        <w:rPr>
          <w:rFonts w:cstheme="minorHAnsi"/>
          <w:color w:val="000000"/>
        </w:rPr>
        <w:t xml:space="preserve">State tax forecasts are primarily modelled on the relationships between taxation revenue and projected economic variables. As a result, the main source of uncertainty to the taxation estimates are unforeseen changes in the economic outlook. </w:t>
      </w:r>
    </w:p>
    <w:p w:rsidR="004B6846" w:rsidRDefault="004B6846" w:rsidP="00CC0EB7">
      <w:pPr>
        <w:autoSpaceDE w:val="0"/>
        <w:autoSpaceDN w:val="0"/>
        <w:adjustRightInd w:val="0"/>
        <w:spacing w:after="120"/>
        <w:rPr>
          <w:rFonts w:cstheme="minorHAnsi"/>
          <w:color w:val="000000"/>
        </w:rPr>
      </w:pPr>
      <w:r w:rsidRPr="0010547C">
        <w:rPr>
          <w:rFonts w:cstheme="minorHAnsi"/>
          <w:color w:val="000000"/>
        </w:rPr>
        <w:t>Revenue from property</w:t>
      </w:r>
      <w:r>
        <w:rPr>
          <w:rFonts w:cstheme="minorHAnsi"/>
          <w:color w:val="000000"/>
        </w:rPr>
        <w:t>-</w:t>
      </w:r>
      <w:r w:rsidRPr="0010547C">
        <w:rPr>
          <w:rFonts w:cstheme="minorHAnsi"/>
          <w:color w:val="000000"/>
        </w:rPr>
        <w:t xml:space="preserve">based taxes, such as land tax and land transfer duty, are subject to unique risks and historically have been volatile. </w:t>
      </w:r>
      <w:r w:rsidRPr="00B2320A">
        <w:rPr>
          <w:rFonts w:cstheme="minorHAnsi"/>
          <w:color w:val="000000"/>
        </w:rPr>
        <w:t xml:space="preserve">The </w:t>
      </w:r>
      <w:r w:rsidRPr="00B2320A">
        <w:rPr>
          <w:rFonts w:cstheme="minorHAnsi"/>
          <w:i/>
          <w:color w:val="000000"/>
        </w:rPr>
        <w:t>2018-19 Budget Update</w:t>
      </w:r>
      <w:r w:rsidRPr="00B2320A">
        <w:rPr>
          <w:rFonts w:cstheme="minorHAnsi"/>
          <w:color w:val="000000"/>
        </w:rPr>
        <w:t xml:space="preserve"> allows for some further weakening in property market conditions in 2018-19, while recognising that the underlying drivers of growth remain largely intact. Land transfer duty revenue was revised down by $2.4 billion over four years at the </w:t>
      </w:r>
      <w:r w:rsidRPr="00B2320A">
        <w:rPr>
          <w:rFonts w:cstheme="minorHAnsi"/>
          <w:i/>
          <w:color w:val="000000"/>
        </w:rPr>
        <w:t>2018 Pre-Election Budget Update</w:t>
      </w:r>
      <w:r w:rsidRPr="00B2320A">
        <w:rPr>
          <w:rFonts w:cstheme="minorHAnsi"/>
          <w:color w:val="000000"/>
        </w:rPr>
        <w:t>. However,</w:t>
      </w:r>
      <w:r>
        <w:rPr>
          <w:rFonts w:cstheme="minorHAnsi"/>
          <w:color w:val="000000"/>
        </w:rPr>
        <w:t xml:space="preserve"> p</w:t>
      </w:r>
      <w:r w:rsidRPr="0010547C">
        <w:rPr>
          <w:rFonts w:cstheme="minorHAnsi"/>
          <w:color w:val="000000"/>
        </w:rPr>
        <w:t>roperty markets can exhibit large cycles typically related to changes in official interest rates, changes in sentiment, and/or household income.</w:t>
      </w:r>
      <w:r>
        <w:rPr>
          <w:rFonts w:cstheme="minorHAnsi"/>
          <w:color w:val="000000"/>
        </w:rPr>
        <w:t xml:space="preserve"> </w:t>
      </w:r>
      <w:r w:rsidRPr="0010547C">
        <w:rPr>
          <w:rFonts w:cstheme="minorHAnsi"/>
          <w:color w:val="000000"/>
        </w:rPr>
        <w:t xml:space="preserve">If property market sentiment were to </w:t>
      </w:r>
      <w:r>
        <w:rPr>
          <w:rFonts w:cstheme="minorHAnsi"/>
          <w:color w:val="000000"/>
        </w:rPr>
        <w:t>weaken</w:t>
      </w:r>
      <w:r w:rsidRPr="0010547C">
        <w:rPr>
          <w:rFonts w:cstheme="minorHAnsi"/>
          <w:color w:val="000000"/>
        </w:rPr>
        <w:t xml:space="preserve"> faster than anticipated</w:t>
      </w:r>
      <w:r>
        <w:rPr>
          <w:rFonts w:cstheme="minorHAnsi"/>
          <w:color w:val="000000"/>
        </w:rPr>
        <w:t xml:space="preserve"> or is more prolonged</w:t>
      </w:r>
      <w:r w:rsidRPr="0010547C">
        <w:rPr>
          <w:rFonts w:cstheme="minorHAnsi"/>
          <w:color w:val="000000"/>
        </w:rPr>
        <w:t xml:space="preserve">, or </w:t>
      </w:r>
      <w:r>
        <w:rPr>
          <w:rFonts w:cstheme="minorHAnsi"/>
          <w:color w:val="000000"/>
        </w:rPr>
        <w:t xml:space="preserve">mortgage </w:t>
      </w:r>
      <w:r w:rsidRPr="0010547C">
        <w:rPr>
          <w:rFonts w:cstheme="minorHAnsi"/>
          <w:color w:val="000000"/>
        </w:rPr>
        <w:t xml:space="preserve">interest rates rose more quickly than currently expected, </w:t>
      </w:r>
      <w:r>
        <w:rPr>
          <w:rFonts w:cstheme="minorHAnsi"/>
          <w:color w:val="000000"/>
        </w:rPr>
        <w:t>revenue from property-</w:t>
      </w:r>
      <w:r w:rsidRPr="0010547C">
        <w:rPr>
          <w:rFonts w:cstheme="minorHAnsi"/>
          <w:color w:val="000000"/>
        </w:rPr>
        <w:t xml:space="preserve">based taxes </w:t>
      </w:r>
      <w:r>
        <w:rPr>
          <w:rFonts w:cstheme="minorHAnsi"/>
          <w:color w:val="000000"/>
        </w:rPr>
        <w:t>may</w:t>
      </w:r>
      <w:r w:rsidRPr="0010547C">
        <w:rPr>
          <w:rFonts w:cstheme="minorHAnsi"/>
          <w:color w:val="000000"/>
        </w:rPr>
        <w:t xml:space="preserve"> </w:t>
      </w:r>
      <w:r>
        <w:rPr>
          <w:rFonts w:cstheme="minorHAnsi"/>
          <w:color w:val="000000"/>
        </w:rPr>
        <w:t>be weaker than forecast</w:t>
      </w:r>
      <w:r w:rsidRPr="0010547C">
        <w:rPr>
          <w:rFonts w:cstheme="minorHAnsi"/>
          <w:color w:val="000000"/>
        </w:rPr>
        <w:t>.</w:t>
      </w:r>
    </w:p>
    <w:p w:rsidR="004B6846" w:rsidRDefault="004B6846" w:rsidP="00CC0EB7">
      <w:pPr>
        <w:autoSpaceDE w:val="0"/>
        <w:autoSpaceDN w:val="0"/>
        <w:adjustRightInd w:val="0"/>
        <w:spacing w:after="120"/>
        <w:rPr>
          <w:rFonts w:cstheme="minorHAnsi"/>
          <w:color w:val="000000"/>
        </w:rPr>
      </w:pPr>
      <w:r>
        <w:rPr>
          <w:rFonts w:cstheme="minorHAnsi"/>
          <w:color w:val="000000"/>
        </w:rPr>
        <w:t xml:space="preserve">The translation between developments in the property market into property-based taxes is an additional source of uncertainty. </w:t>
      </w:r>
    </w:p>
    <w:p w:rsidR="004B6846" w:rsidRPr="00C203E5" w:rsidRDefault="004B6846" w:rsidP="00CC0EB7">
      <w:pPr>
        <w:pStyle w:val="Heading30"/>
        <w:rPr>
          <w:rFonts w:eastAsiaTheme="minorHAnsi"/>
        </w:rPr>
      </w:pPr>
      <w:r w:rsidRPr="00C203E5">
        <w:rPr>
          <w:rFonts w:eastAsiaTheme="minorHAnsi"/>
        </w:rPr>
        <w:t>Employee expenses</w:t>
      </w:r>
    </w:p>
    <w:p w:rsidR="004B6846" w:rsidRPr="00C203E5" w:rsidRDefault="004B6846" w:rsidP="00CC0EB7">
      <w:r w:rsidRPr="00C203E5">
        <w:t xml:space="preserve">Employee expenses are the State’s largest expense. Two important determinants of employee expenses are wages growth and the number of employees. </w:t>
      </w:r>
    </w:p>
    <w:p w:rsidR="004B6846" w:rsidRPr="00C203E5" w:rsidRDefault="004B6846" w:rsidP="00CC0EB7">
      <w:r w:rsidRPr="00C203E5">
        <w:t>Other factors contributing to projected employee expenses include the composition and profile of the workforce as well as rostering arrangements.</w:t>
      </w:r>
    </w:p>
    <w:p w:rsidR="004B6846" w:rsidRDefault="004B6846">
      <w:pPr>
        <w:keepLines w:val="0"/>
        <w:rPr>
          <w:rFonts w:asciiTheme="majorHAnsi" w:hAnsiTheme="majorHAnsi" w:cstheme="majorBidi"/>
          <w:b/>
          <w:bCs/>
          <w:spacing w:val="-2"/>
          <w:szCs w:val="26"/>
        </w:rPr>
      </w:pPr>
      <w:r>
        <w:br w:type="page"/>
      </w:r>
    </w:p>
    <w:p w:rsidR="004B6846" w:rsidRPr="00C203E5" w:rsidRDefault="004B6846" w:rsidP="00CC0EB7">
      <w:pPr>
        <w:pStyle w:val="Heading30"/>
        <w:rPr>
          <w:rFonts w:eastAsiaTheme="minorHAnsi"/>
        </w:rPr>
      </w:pPr>
      <w:r w:rsidRPr="00C203E5">
        <w:rPr>
          <w:rFonts w:eastAsiaTheme="minorHAnsi"/>
        </w:rPr>
        <w:lastRenderedPageBreak/>
        <w:t>Demand growth</w:t>
      </w:r>
    </w:p>
    <w:p w:rsidR="004B6846" w:rsidRPr="00C203E5" w:rsidRDefault="004B6846" w:rsidP="00CC0EB7">
      <w:r w:rsidRPr="00C203E5">
        <w:t xml:space="preserve">Another key uncertainty is growth in demand for government services exceeding or being below current projections. This can occur, for example, as a result of higher than forecast population growth or expenditure in response to unforeseen events such as natural disasters, including bushfires and floods. </w:t>
      </w:r>
    </w:p>
    <w:p w:rsidR="004B6846" w:rsidRPr="00C203E5" w:rsidRDefault="004B6846" w:rsidP="00CC0EB7">
      <w:r w:rsidRPr="00C203E5">
        <w:t>The estimates incorporate contingency provisions to mitigate the impact of expenditure risks, which may be realised during the next four years. The contingency provisions are sized to allow for the likely growth in Victoria’s population and consequent derived increased demand for government services.</w:t>
      </w:r>
    </w:p>
    <w:p w:rsidR="004B6846" w:rsidRPr="00C203E5" w:rsidRDefault="004B6846" w:rsidP="00CC0EB7">
      <w:r>
        <w:t>Note 4.3.5 and Note 4.3.6</w:t>
      </w:r>
      <w:r w:rsidRPr="00D521E9">
        <w:t xml:space="preserve"> of Chapter </w:t>
      </w:r>
      <w:r>
        <w:t>4</w:t>
      </w:r>
      <w:r w:rsidRPr="00D521E9">
        <w:t xml:space="preserve"> </w:t>
      </w:r>
      <w:r w:rsidRPr="00D521E9">
        <w:rPr>
          <w:i/>
        </w:rPr>
        <w:t>Estimated</w:t>
      </w:r>
      <w:r>
        <w:rPr>
          <w:i/>
        </w:rPr>
        <w:t xml:space="preserve"> financial statements and notes </w:t>
      </w:r>
      <w:r w:rsidRPr="00C203E5">
        <w:t>discloses general government output and asset contingencies not allocated to departments</w:t>
      </w:r>
      <w:r w:rsidRPr="00C203E5">
        <w:rPr>
          <w:i/>
        </w:rPr>
        <w:t>.</w:t>
      </w:r>
    </w:p>
    <w:p w:rsidR="004B6846" w:rsidRPr="00C203E5" w:rsidRDefault="004B6846" w:rsidP="00CC0EB7">
      <w:pPr>
        <w:pStyle w:val="Heading30"/>
      </w:pPr>
      <w:r w:rsidRPr="00C203E5">
        <w:rPr>
          <w:rFonts w:eastAsiaTheme="minorHAnsi"/>
        </w:rPr>
        <w:t>Specific fiscal risks</w:t>
      </w:r>
    </w:p>
    <w:p w:rsidR="004B6846" w:rsidRPr="00157D27" w:rsidRDefault="004B6846" w:rsidP="00CC0EB7">
      <w:pPr>
        <w:pStyle w:val="Heading4"/>
      </w:pPr>
      <w:r w:rsidRPr="00157D27">
        <w:t>National Disability Insurance Scheme</w:t>
      </w:r>
    </w:p>
    <w:p w:rsidR="004B6846" w:rsidRDefault="004B6846" w:rsidP="00CC0EB7">
      <w:r w:rsidRPr="00EF10F4">
        <w:t xml:space="preserve">Victoria commenced transition to the NDIS on 1 July 2016 and is working towards reaching full roll-out by 1 July 2019. The current transition agreement between Victoria and the Commonwealth ends on 30 June 2019. Negotiations on a full scheme agreement to take effect from 1 July 2019 </w:t>
      </w:r>
      <w:r>
        <w:t>are ongoing</w:t>
      </w:r>
      <w:r w:rsidRPr="00EF10F4">
        <w:t>. However, the current agreement states that Victoria’s contribution to the NDIS will be an estimated $2.5 billion a year, with the Commonwealth estimated to provide $2.6 billion a year for Victorians in the Scheme.</w:t>
      </w:r>
    </w:p>
    <w:p w:rsidR="004B6846" w:rsidRDefault="004B6846" w:rsidP="00CC0EB7">
      <w:r w:rsidRPr="0004412C">
        <w:t>In August 2018</w:t>
      </w:r>
      <w:r>
        <w:t>,</w:t>
      </w:r>
      <w:r w:rsidRPr="0004412C">
        <w:t xml:space="preserve"> the Government announced five not-for-profit providers chosen to deliver disability accommodation and respite services as part of the transition to the NDIS. Funding for these pro</w:t>
      </w:r>
      <w:r>
        <w:t xml:space="preserve">viders was included in the </w:t>
      </w:r>
      <w:r w:rsidRPr="0004412C">
        <w:rPr>
          <w:i/>
        </w:rPr>
        <w:t>2018-19 Budget</w:t>
      </w:r>
      <w:r w:rsidRPr="0004412C">
        <w:t>.</w:t>
      </w:r>
    </w:p>
    <w:p w:rsidR="004B6846" w:rsidRPr="00157D27" w:rsidRDefault="004B6846" w:rsidP="00CC0EB7">
      <w:pPr>
        <w:pStyle w:val="Heading4"/>
      </w:pPr>
      <w:r w:rsidRPr="00157D27">
        <w:t>Commonwealth schools funding</w:t>
      </w:r>
    </w:p>
    <w:p w:rsidR="004B6846" w:rsidRDefault="004B6846" w:rsidP="00CC0EB7">
      <w:r>
        <w:t xml:space="preserve">In June 2017, the Commonwealth Government passed amendments to the </w:t>
      </w:r>
      <w:r w:rsidRPr="00083BE5">
        <w:rPr>
          <w:i/>
        </w:rPr>
        <w:t>Australian Education Act 2013</w:t>
      </w:r>
      <w:r>
        <w:t xml:space="preserve"> to implement new national school funding arrangements for 2018 onwards. The Victorian Government signed a one-year interim agreement with the Commonwealth to ensure funding was not at risk for schools for 2018.</w:t>
      </w:r>
    </w:p>
    <w:p w:rsidR="004B6846" w:rsidRDefault="004B6846" w:rsidP="00CC0EB7">
      <w:r w:rsidRPr="00733B9A">
        <w:t>Negotiations on a</w:t>
      </w:r>
      <w:r>
        <w:t>n</w:t>
      </w:r>
      <w:r w:rsidRPr="00733B9A">
        <w:t xml:space="preserve"> agreement from 2019 </w:t>
      </w:r>
      <w:r>
        <w:t>are ongoing and the quantum and conditions of funding are dependent on these being finalised between the Commonwealth, the states and territories, and the non</w:t>
      </w:r>
      <w:r>
        <w:noBreakHyphen/>
        <w:t>government schools sector.</w:t>
      </w:r>
    </w:p>
    <w:p w:rsidR="004B6846" w:rsidRPr="00157D27" w:rsidRDefault="004B6846" w:rsidP="00CC0EB7">
      <w:pPr>
        <w:pStyle w:val="Heading4"/>
      </w:pPr>
      <w:r w:rsidRPr="00157D27">
        <w:t>Universal Access to Early Childhood Education</w:t>
      </w:r>
    </w:p>
    <w:p w:rsidR="004B6846" w:rsidRDefault="004B6846" w:rsidP="00CC0EB7">
      <w:r>
        <w:t>The Commonwealth’s financial contribution to assist the states and territories in providing 15 hours per week of preschool support per student is supplied under the National Partnership Agreement on Universal Access to Early Childhood Education. Funding under this agreement was extended for the 2019 calendar year, but ongoing Commonwealth funding arrangements are uncertain.</w:t>
      </w:r>
    </w:p>
    <w:p w:rsidR="004B6846" w:rsidRDefault="004B6846">
      <w:pPr>
        <w:keepLines w:val="0"/>
        <w:rPr>
          <w:rFonts w:asciiTheme="majorHAnsi" w:eastAsiaTheme="majorEastAsia" w:hAnsiTheme="majorHAnsi" w:cstheme="majorBidi"/>
          <w:i/>
          <w:iCs/>
          <w:szCs w:val="26"/>
        </w:rPr>
      </w:pPr>
      <w:r>
        <w:br w:type="page"/>
      </w:r>
    </w:p>
    <w:p w:rsidR="004B6846" w:rsidRPr="00157D27" w:rsidRDefault="004B6846" w:rsidP="00CC0EB7">
      <w:pPr>
        <w:pStyle w:val="Heading4"/>
      </w:pPr>
      <w:r w:rsidRPr="00157D27">
        <w:lastRenderedPageBreak/>
        <w:t>National health reform</w:t>
      </w:r>
    </w:p>
    <w:p w:rsidR="004B6846" w:rsidRPr="00C203E5" w:rsidRDefault="004B6846" w:rsidP="00CC0EB7">
      <w:r w:rsidRPr="00C203E5">
        <w:t>Under the National Health Reform Agreement (NHRA), Commonwealth growth funding is derived from a complex model based on the number of procedures performed (activity) and an efficient price determined by an independent administrator.</w:t>
      </w:r>
    </w:p>
    <w:p w:rsidR="004B6846" w:rsidRPr="00C203E5" w:rsidRDefault="004B6846" w:rsidP="00CC0EB7">
      <w:r w:rsidRPr="00C203E5">
        <w:t>These arrangements were sche</w:t>
      </w:r>
      <w:r>
        <w:t>duled to cease from 1 July 2017. H</w:t>
      </w:r>
      <w:r w:rsidRPr="00C203E5">
        <w:t>owever, in April 2016</w:t>
      </w:r>
      <w:r>
        <w:t>,</w:t>
      </w:r>
      <w:r w:rsidRPr="00C203E5">
        <w:t xml:space="preserve"> the Commonwealth agreed to continue the NHRA from 1 July 2017 until 30 June 2020. Conditions attached to the agreement may increase fiscal exposure for the State and include:</w:t>
      </w:r>
    </w:p>
    <w:p w:rsidR="004B6846" w:rsidRPr="00C203E5" w:rsidRDefault="004B6846" w:rsidP="00393CA4">
      <w:pPr>
        <w:pStyle w:val="ListBullet"/>
      </w:pPr>
      <w:r w:rsidRPr="00C203E5">
        <w:t xml:space="preserve">a national cap on Commonwealth annual expenditure growth of 6.5 per cent </w:t>
      </w:r>
      <w:r>
        <w:br/>
      </w:r>
      <w:r w:rsidRPr="00C203E5">
        <w:t>(above which the State will be required to fund all hospital activity);</w:t>
      </w:r>
    </w:p>
    <w:p w:rsidR="004B6846" w:rsidRPr="00C203E5" w:rsidRDefault="004B6846" w:rsidP="00393CA4">
      <w:pPr>
        <w:pStyle w:val="ListBullet"/>
      </w:pPr>
      <w:r w:rsidRPr="00C203E5">
        <w:t>reduced funding to the State for avoidable hospital admissions or unsafe care; and</w:t>
      </w:r>
    </w:p>
    <w:p w:rsidR="004B6846" w:rsidRPr="00C203E5" w:rsidRDefault="004B6846" w:rsidP="00393CA4">
      <w:pPr>
        <w:pStyle w:val="ListBullet"/>
      </w:pPr>
      <w:r w:rsidRPr="00C203E5">
        <w:t>the Commonwealth withholding funds until hospital activity data is provided.</w:t>
      </w:r>
    </w:p>
    <w:p w:rsidR="004B6846" w:rsidRPr="00C203E5" w:rsidRDefault="004B6846" w:rsidP="00CC0EB7">
      <w:r w:rsidRPr="00C203E5">
        <w:t>A Heads of Agreement for a new agreement was proposed by the Commonwealth at the Cou</w:t>
      </w:r>
      <w:r>
        <w:t>ncil of Australian Governments</w:t>
      </w:r>
      <w:r w:rsidRPr="00C203E5">
        <w:t xml:space="preserve"> on 9 February 2018, and negotiations are ongoing.</w:t>
      </w:r>
    </w:p>
    <w:p w:rsidR="004B6846" w:rsidRPr="00C203E5" w:rsidRDefault="004B6846" w:rsidP="00CC0EB7">
      <w:pPr>
        <w:pStyle w:val="Heading4"/>
        <w:spacing w:before="160"/>
        <w:rPr>
          <w:rFonts w:eastAsiaTheme="minorHAnsi"/>
        </w:rPr>
      </w:pPr>
      <w:r w:rsidRPr="00C203E5">
        <w:rPr>
          <w:rFonts w:eastAsiaTheme="minorHAnsi"/>
        </w:rPr>
        <w:t>Victoria’s GST revenue</w:t>
      </w:r>
    </w:p>
    <w:p w:rsidR="004B6846" w:rsidRPr="00C6705F" w:rsidRDefault="004B6846" w:rsidP="00CC0EB7">
      <w:pPr>
        <w:autoSpaceDE w:val="0"/>
        <w:autoSpaceDN w:val="0"/>
        <w:adjustRightInd w:val="0"/>
        <w:spacing w:after="120"/>
        <w:rPr>
          <w:rFonts w:cstheme="minorHAnsi"/>
          <w:color w:val="000000"/>
        </w:rPr>
      </w:pPr>
      <w:r w:rsidRPr="00C6705F">
        <w:rPr>
          <w:rFonts w:cstheme="minorHAnsi"/>
          <w:color w:val="000000"/>
        </w:rPr>
        <w:t>The distribution of GST grants between states and territories is determined by the size of the national GST pool and each jurisdiction’s population share weighted by its GST relativity. Revenue sharing relativities are determined by</w:t>
      </w:r>
      <w:r>
        <w:rPr>
          <w:rFonts w:cstheme="minorHAnsi"/>
          <w:color w:val="000000"/>
        </w:rPr>
        <w:t xml:space="preserve"> the Commonwealth Treasurer, as </w:t>
      </w:r>
      <w:r w:rsidRPr="00C6705F">
        <w:rPr>
          <w:rFonts w:cstheme="minorHAnsi"/>
          <w:color w:val="000000"/>
        </w:rPr>
        <w:t xml:space="preserve">informed by the recommendations of the </w:t>
      </w:r>
      <w:r>
        <w:rPr>
          <w:rFonts w:cstheme="minorHAnsi"/>
          <w:color w:val="000000"/>
        </w:rPr>
        <w:t>Commonwealth Grants Commission</w:t>
      </w:r>
      <w:r w:rsidRPr="00C6705F">
        <w:rPr>
          <w:rFonts w:cstheme="minorHAnsi"/>
          <w:color w:val="000000"/>
        </w:rPr>
        <w:t xml:space="preserve">. </w:t>
      </w:r>
    </w:p>
    <w:p w:rsidR="004B6846" w:rsidRPr="00C6705F" w:rsidRDefault="004B6846" w:rsidP="00CC0EB7">
      <w:pPr>
        <w:autoSpaceDE w:val="0"/>
        <w:autoSpaceDN w:val="0"/>
        <w:adjustRightInd w:val="0"/>
        <w:spacing w:after="120"/>
        <w:rPr>
          <w:rFonts w:cstheme="minorHAnsi"/>
          <w:color w:val="000000"/>
        </w:rPr>
      </w:pPr>
      <w:r>
        <w:rPr>
          <w:rFonts w:cstheme="minorHAnsi"/>
          <w:color w:val="000000"/>
        </w:rPr>
        <w:t xml:space="preserve">Over the forward estimates, there are downside risks to </w:t>
      </w:r>
      <w:r w:rsidRPr="00C6705F">
        <w:rPr>
          <w:rFonts w:cstheme="minorHAnsi"/>
          <w:color w:val="000000"/>
        </w:rPr>
        <w:t>growth in the GST pool</w:t>
      </w:r>
      <w:r>
        <w:rPr>
          <w:rFonts w:cstheme="minorHAnsi"/>
          <w:color w:val="000000"/>
        </w:rPr>
        <w:t xml:space="preserve"> i</w:t>
      </w:r>
      <w:r w:rsidRPr="00C6705F">
        <w:rPr>
          <w:rFonts w:cstheme="minorHAnsi"/>
          <w:color w:val="000000"/>
        </w:rPr>
        <w:t>f consumer prices and wages growth do not pick up as forecast, or if growth in dwelling investme</w:t>
      </w:r>
      <w:r>
        <w:rPr>
          <w:rFonts w:cstheme="minorHAnsi"/>
          <w:color w:val="000000"/>
        </w:rPr>
        <w:t>nt is slower than expected</w:t>
      </w:r>
      <w:r w:rsidRPr="00C6705F">
        <w:rPr>
          <w:rFonts w:cstheme="minorHAnsi"/>
          <w:color w:val="000000"/>
        </w:rPr>
        <w:t>. Movements in the household savings ratio</w:t>
      </w:r>
      <w:r>
        <w:rPr>
          <w:rFonts w:cstheme="minorHAnsi"/>
          <w:color w:val="000000"/>
        </w:rPr>
        <w:t xml:space="preserve">, particularly in the context of current property market conditions, are a </w:t>
      </w:r>
      <w:r w:rsidRPr="00C6705F">
        <w:rPr>
          <w:rFonts w:cstheme="minorHAnsi"/>
          <w:color w:val="000000"/>
        </w:rPr>
        <w:t>source of uncertainty for consumer spending and the GST pool outlook.</w:t>
      </w:r>
    </w:p>
    <w:p w:rsidR="004B6846" w:rsidRDefault="004B6846" w:rsidP="00CC0EB7">
      <w:pPr>
        <w:autoSpaceDE w:val="0"/>
        <w:autoSpaceDN w:val="0"/>
        <w:adjustRightInd w:val="0"/>
        <w:spacing w:after="120"/>
        <w:rPr>
          <w:rFonts w:cstheme="minorHAnsi"/>
          <w:color w:val="000000"/>
        </w:rPr>
      </w:pPr>
      <w:r w:rsidRPr="00C6705F">
        <w:rPr>
          <w:rFonts w:cstheme="minorHAnsi"/>
          <w:color w:val="000000"/>
        </w:rPr>
        <w:t>If Victoria’s population growth is higher than forecast compared with other states, Victoria’s share of GST revenue could increase. Conversely, should other states have higher population growth than expected compared with Victoria this would negatively affect Victoria’s GST revenue. Victoria’s share of Commonwealth grants payments can affect its GST revenue. Unforeseen movements in the property market also impact Victoria’s share of the national GST pool. Variations in commodity prices relative to current forecasts, particularly in iron ore and coal which affect royalty revenue in resource states, also pose uncertainties for Victoria’s GST revenue.</w:t>
      </w:r>
    </w:p>
    <w:p w:rsidR="004B6846" w:rsidRPr="0028415C" w:rsidRDefault="004B6846" w:rsidP="00CC0EB7"/>
    <w:p w:rsidR="004B6846" w:rsidRDefault="004B6846" w:rsidP="004B6846">
      <w:pPr>
        <w:pStyle w:val="Heading10"/>
        <w:sectPr w:rsidR="004B6846" w:rsidSect="00CC0EB7">
          <w:headerReference w:type="even" r:id="rId25"/>
          <w:headerReference w:type="default" r:id="rId26"/>
          <w:footerReference w:type="even" r:id="rId27"/>
          <w:footerReference w:type="default" r:id="rId28"/>
          <w:headerReference w:type="first" r:id="rId29"/>
          <w:footerReference w:type="first" r:id="rId30"/>
          <w:type w:val="oddPage"/>
          <w:pgSz w:w="9979" w:h="14175" w:code="9"/>
          <w:pgMar w:top="850" w:right="1134" w:bottom="850" w:left="1134" w:header="624" w:footer="567" w:gutter="0"/>
          <w:cols w:sep="1" w:space="567"/>
          <w:docGrid w:linePitch="360"/>
        </w:sectPr>
      </w:pPr>
    </w:p>
    <w:p w:rsidR="004B6846" w:rsidRDefault="004B6846" w:rsidP="00FD6FE4">
      <w:pPr>
        <w:pStyle w:val="Heading10"/>
        <w:spacing w:before="0"/>
      </w:pPr>
      <w:bookmarkStart w:id="25" w:name="_Toc531884952"/>
      <w:r w:rsidRPr="006A7C8A">
        <w:lastRenderedPageBreak/>
        <w:t>Non</w:t>
      </w:r>
      <w:r w:rsidRPr="006A7C8A">
        <w:noBreakHyphen/>
      </w:r>
      <w:r>
        <w:t>financial public sector</w:t>
      </w:r>
      <w:bookmarkEnd w:id="25"/>
    </w:p>
    <w:p w:rsidR="004B6846" w:rsidRDefault="004B6846" w:rsidP="00CC0EB7">
      <w:r>
        <w:t xml:space="preserve">The non-financial public sector (NFPS) consolidates the </w:t>
      </w:r>
      <w:r w:rsidRPr="006D731E">
        <w:t xml:space="preserve">public non-financial corporations (PNFC) </w:t>
      </w:r>
      <w:r>
        <w:t xml:space="preserve">and general government sectors. The PNFC sector is comprised of entities providing services that are primarily funded from user charges and fees. The largest PNFCs provide water, housing and transport services. The financial performance and indebtedness of the NFPS are important elements of financial sustainability that support the State’s </w:t>
      </w:r>
      <w:r w:rsidRPr="006A7C8A">
        <w:t>triple</w:t>
      </w:r>
      <w:r w:rsidRPr="006A7C8A">
        <w:noBreakHyphen/>
        <w:t>A</w:t>
      </w:r>
      <w:r>
        <w:t xml:space="preserve"> credit rating.</w:t>
      </w:r>
    </w:p>
    <w:p w:rsidR="004B6846" w:rsidRDefault="004B6846" w:rsidP="00CC0EB7">
      <w:pPr>
        <w:pStyle w:val="Heading20"/>
      </w:pPr>
      <w:r>
        <w:t>Summary operating statement</w:t>
      </w:r>
    </w:p>
    <w:p w:rsidR="004B6846" w:rsidRPr="009B65A9" w:rsidRDefault="004B6846" w:rsidP="00CC0EB7">
      <w:pPr>
        <w:pStyle w:val="TableHeading"/>
      </w:pPr>
      <w:r>
        <w:t>Table 3.5:</w:t>
      </w:r>
      <w:r>
        <w:tab/>
        <w:t xml:space="preserve">Summary operating statement for the </w:t>
      </w:r>
      <w:r w:rsidRPr="006A7C8A">
        <w:t>non</w:t>
      </w:r>
      <w:r w:rsidRPr="006A7C8A">
        <w:noBreakHyphen/>
      </w:r>
      <w:r>
        <w:t xml:space="preserve">financial public sector </w:t>
      </w:r>
      <w:r w:rsidRPr="00D3308C">
        <w:rPr>
          <w:vertAlign w:val="superscript"/>
        </w:rPr>
        <w:t>(a)</w:t>
      </w:r>
      <w:r w:rsidRPr="00D3308C">
        <w:tab/>
        <w:t>($ million)</w:t>
      </w:r>
    </w:p>
    <w:tbl>
      <w:tblPr>
        <w:tblStyle w:val="DTFTable"/>
        <w:tblW w:w="7711" w:type="dxa"/>
        <w:tblInd w:w="45" w:type="dxa"/>
        <w:tblLayout w:type="fixed"/>
        <w:tblCellMar>
          <w:left w:w="45" w:type="dxa"/>
          <w:right w:w="45" w:type="dxa"/>
        </w:tblCellMar>
        <w:tblLook w:val="06A0" w:firstRow="1" w:lastRow="0" w:firstColumn="1" w:lastColumn="0" w:noHBand="1" w:noVBand="1"/>
      </w:tblPr>
      <w:tblGrid>
        <w:gridCol w:w="4334"/>
        <w:gridCol w:w="845"/>
        <w:gridCol w:w="844"/>
        <w:gridCol w:w="844"/>
        <w:gridCol w:w="844"/>
      </w:tblGrid>
      <w:tr w:rsidR="00CC0EB7" w:rsidRPr="009B65A9" w:rsidTr="00FA7528">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auto"/>
          </w:tcPr>
          <w:p w:rsidR="00CC0EB7" w:rsidRPr="009B65A9" w:rsidRDefault="00CC0EB7" w:rsidP="00CC0EB7">
            <w:pPr>
              <w:pStyle w:val="Source"/>
              <w:rPr>
                <w:rFonts w:eastAsiaTheme="minorEastAsia" w:cstheme="majorHAnsi"/>
                <w:i/>
                <w:iCs/>
                <w:color w:val="FFFFFF"/>
                <w:sz w:val="17"/>
                <w:szCs w:val="19"/>
                <w:lang w:eastAsia="en-AU"/>
              </w:rPr>
            </w:pPr>
            <w:r w:rsidRPr="009B65A9">
              <w:rPr>
                <w:rFonts w:eastAsiaTheme="minorEastAsia" w:cstheme="majorHAnsi"/>
                <w:i/>
                <w:iCs/>
                <w:color w:val="FFFFFF"/>
                <w:sz w:val="17"/>
                <w:szCs w:val="19"/>
                <w:lang w:eastAsia="en-AU"/>
              </w:rPr>
              <w:t xml:space="preserve"> </w:t>
            </w:r>
            <w:r w:rsidRPr="009B65A9">
              <w:rPr>
                <w:rFonts w:eastAsiaTheme="minorEastAsia" w:cstheme="majorHAnsi"/>
                <w:i/>
                <w:iCs/>
                <w:color w:val="FFFFFF"/>
                <w:szCs w:val="19"/>
                <w:lang w:eastAsia="en-AU"/>
              </w:rPr>
              <w:t xml:space="preserve"> </w:t>
            </w:r>
          </w:p>
        </w:tc>
        <w:tc>
          <w:tcPr>
            <w:tcW w:w="850" w:type="dxa"/>
            <w:tcBorders>
              <w:top w:val="nil"/>
              <w:left w:val="nil"/>
              <w:right w:val="nil"/>
            </w:tcBorders>
            <w:shd w:val="solid" w:color="000000" w:fill="auto"/>
          </w:tcPr>
          <w:p w:rsidR="00CC0EB7" w:rsidRPr="009B65A9"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9B65A9">
              <w:rPr>
                <w:rFonts w:eastAsiaTheme="minorEastAsia" w:cstheme="majorHAnsi"/>
                <w:iCs/>
                <w:color w:val="FFFFFF"/>
                <w:szCs w:val="19"/>
                <w:lang w:eastAsia="en-AU"/>
              </w:rPr>
              <w:t>2018-19</w:t>
            </w:r>
            <w:r>
              <w:rPr>
                <w:rFonts w:eastAsiaTheme="minorEastAsia" w:cstheme="majorHAnsi"/>
                <w:iCs/>
                <w:color w:val="FFFFFF"/>
                <w:szCs w:val="19"/>
                <w:lang w:eastAsia="en-AU"/>
              </w:rPr>
              <w:br/>
            </w:r>
            <w:r w:rsidRPr="009B65A9">
              <w:rPr>
                <w:rFonts w:eastAsiaTheme="minorEastAsia" w:cstheme="majorHAnsi"/>
                <w:iCs/>
                <w:color w:val="FFFFFF"/>
                <w:szCs w:val="19"/>
                <w:lang w:eastAsia="en-AU"/>
              </w:rPr>
              <w:t>revised</w:t>
            </w:r>
          </w:p>
        </w:tc>
        <w:tc>
          <w:tcPr>
            <w:tcW w:w="850" w:type="dxa"/>
            <w:tcBorders>
              <w:top w:val="nil"/>
              <w:left w:val="nil"/>
              <w:right w:val="nil"/>
            </w:tcBorders>
            <w:shd w:val="solid" w:color="000000" w:fill="auto"/>
          </w:tcPr>
          <w:p w:rsidR="00CC0EB7" w:rsidRPr="009B65A9"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9B65A9">
              <w:rPr>
                <w:rFonts w:eastAsiaTheme="minorEastAsia" w:cstheme="majorHAnsi"/>
                <w:iCs/>
                <w:color w:val="FFFFFF"/>
                <w:szCs w:val="19"/>
                <w:lang w:eastAsia="en-AU"/>
              </w:rPr>
              <w:t>2019-20</w:t>
            </w:r>
            <w:r>
              <w:rPr>
                <w:rFonts w:eastAsiaTheme="minorEastAsia" w:cstheme="majorHAnsi"/>
                <w:iCs/>
                <w:color w:val="FFFFFF"/>
                <w:szCs w:val="19"/>
                <w:lang w:eastAsia="en-AU"/>
              </w:rPr>
              <w:br/>
            </w:r>
            <w:r w:rsidRPr="009B65A9">
              <w:rPr>
                <w:rFonts w:eastAsiaTheme="minorEastAsia" w:cstheme="majorHAnsi"/>
                <w:iCs/>
                <w:color w:val="FFFFFF"/>
                <w:szCs w:val="19"/>
                <w:lang w:eastAsia="en-AU"/>
              </w:rPr>
              <w:t>estimate</w:t>
            </w:r>
          </w:p>
        </w:tc>
        <w:tc>
          <w:tcPr>
            <w:tcW w:w="850" w:type="dxa"/>
            <w:tcBorders>
              <w:top w:val="nil"/>
              <w:left w:val="nil"/>
              <w:right w:val="nil"/>
            </w:tcBorders>
            <w:shd w:val="solid" w:color="000000" w:fill="auto"/>
          </w:tcPr>
          <w:p w:rsidR="00CC0EB7" w:rsidRPr="009B65A9"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9B65A9">
              <w:rPr>
                <w:rFonts w:eastAsiaTheme="minorEastAsia" w:cstheme="majorHAnsi"/>
                <w:iCs/>
                <w:color w:val="FFFFFF"/>
                <w:szCs w:val="19"/>
                <w:lang w:eastAsia="en-AU"/>
              </w:rPr>
              <w:t>2020-21</w:t>
            </w:r>
            <w:r>
              <w:rPr>
                <w:rFonts w:eastAsiaTheme="minorEastAsia" w:cstheme="majorHAnsi"/>
                <w:iCs/>
                <w:color w:val="FFFFFF"/>
                <w:szCs w:val="19"/>
                <w:lang w:eastAsia="en-AU"/>
              </w:rPr>
              <w:br/>
            </w:r>
            <w:r w:rsidRPr="009B65A9">
              <w:rPr>
                <w:rFonts w:eastAsiaTheme="minorEastAsia" w:cstheme="majorHAnsi"/>
                <w:iCs/>
                <w:color w:val="FFFFFF"/>
                <w:szCs w:val="19"/>
                <w:lang w:eastAsia="en-AU"/>
              </w:rPr>
              <w:t>estimate</w:t>
            </w:r>
          </w:p>
        </w:tc>
        <w:tc>
          <w:tcPr>
            <w:tcW w:w="850" w:type="dxa"/>
            <w:tcBorders>
              <w:top w:val="nil"/>
              <w:left w:val="nil"/>
              <w:right w:val="nil"/>
            </w:tcBorders>
            <w:shd w:val="solid" w:color="000000" w:fill="auto"/>
          </w:tcPr>
          <w:p w:rsidR="00CC0EB7" w:rsidRPr="009B65A9"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9B65A9">
              <w:rPr>
                <w:rFonts w:eastAsiaTheme="minorEastAsia" w:cstheme="majorHAnsi"/>
                <w:iCs/>
                <w:color w:val="FFFFFF"/>
                <w:szCs w:val="19"/>
                <w:lang w:eastAsia="en-AU"/>
              </w:rPr>
              <w:t>2021-22</w:t>
            </w:r>
            <w:r>
              <w:rPr>
                <w:rFonts w:eastAsiaTheme="minorEastAsia" w:cstheme="majorHAnsi"/>
                <w:iCs/>
                <w:color w:val="FFFFFF"/>
                <w:szCs w:val="19"/>
                <w:lang w:eastAsia="en-AU"/>
              </w:rPr>
              <w:br/>
            </w:r>
            <w:r w:rsidRPr="009B65A9">
              <w:rPr>
                <w:rFonts w:eastAsiaTheme="minorEastAsia" w:cstheme="majorHAnsi"/>
                <w:iCs/>
                <w:color w:val="FFFFFF"/>
                <w:szCs w:val="19"/>
                <w:lang w:eastAsia="en-AU"/>
              </w:rPr>
              <w:t>estimate</w:t>
            </w:r>
          </w:p>
        </w:tc>
      </w:tr>
      <w:tr w:rsidR="004B6846" w:rsidRPr="009B65A9"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B65A9" w:rsidRDefault="004B6846" w:rsidP="00CC0EB7">
            <w:pPr>
              <w:keepLines w:val="0"/>
              <w:autoSpaceDE w:val="0"/>
              <w:autoSpaceDN w:val="0"/>
              <w:adjustRightInd w:val="0"/>
              <w:rPr>
                <w:rFonts w:eastAsiaTheme="minorEastAsia" w:cstheme="majorHAnsi"/>
                <w:b/>
                <w:bCs/>
                <w:color w:val="000000"/>
                <w:szCs w:val="19"/>
                <w:lang w:eastAsia="en-AU"/>
              </w:rPr>
            </w:pPr>
            <w:r w:rsidRPr="009B65A9">
              <w:rPr>
                <w:rFonts w:eastAsiaTheme="minorEastAsia" w:cstheme="majorHAnsi"/>
                <w:b/>
                <w:bCs/>
                <w:color w:val="000000"/>
                <w:szCs w:val="19"/>
                <w:lang w:eastAsia="en-AU"/>
              </w:rPr>
              <w:t>Revenue</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 xml:space="preserve"> </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 xml:space="preserve"> </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 xml:space="preserve"> </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 xml:space="preserve"> </w:t>
            </w:r>
          </w:p>
        </w:tc>
      </w:tr>
      <w:tr w:rsidR="004B6846" w:rsidRPr="009B65A9"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B65A9" w:rsidRDefault="004B6846" w:rsidP="00CC0EB7">
            <w:pPr>
              <w:keepLines w:val="0"/>
              <w:autoSpaceDE w:val="0"/>
              <w:autoSpaceDN w:val="0"/>
              <w:adjustRightInd w:val="0"/>
              <w:rPr>
                <w:rFonts w:eastAsiaTheme="minorEastAsia" w:cstheme="majorHAnsi"/>
                <w:color w:val="000000"/>
                <w:szCs w:val="19"/>
                <w:lang w:eastAsia="en-AU"/>
              </w:rPr>
            </w:pPr>
            <w:r w:rsidRPr="009B65A9">
              <w:rPr>
                <w:rFonts w:eastAsiaTheme="minorEastAsia" w:cstheme="majorHAnsi"/>
                <w:color w:val="000000"/>
                <w:szCs w:val="19"/>
                <w:lang w:eastAsia="en-AU"/>
              </w:rPr>
              <w:t>Taxation revenue</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23 649</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24 600</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25 524</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26 789</w:t>
            </w:r>
          </w:p>
        </w:tc>
      </w:tr>
      <w:tr w:rsidR="004B6846" w:rsidRPr="009B65A9"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B65A9" w:rsidRDefault="004B6846" w:rsidP="00CC0EB7">
            <w:pPr>
              <w:keepLines w:val="0"/>
              <w:autoSpaceDE w:val="0"/>
              <w:autoSpaceDN w:val="0"/>
              <w:adjustRightInd w:val="0"/>
              <w:rPr>
                <w:rFonts w:eastAsiaTheme="minorEastAsia" w:cstheme="majorHAnsi"/>
                <w:color w:val="000000"/>
                <w:szCs w:val="19"/>
                <w:lang w:eastAsia="en-AU"/>
              </w:rPr>
            </w:pPr>
            <w:r w:rsidRPr="009B65A9">
              <w:rPr>
                <w:rFonts w:eastAsiaTheme="minorEastAsia" w:cstheme="majorHAnsi"/>
                <w:color w:val="000000"/>
                <w:szCs w:val="19"/>
                <w:lang w:eastAsia="en-AU"/>
              </w:rPr>
              <w:t>Dividends, income tax equivalent and interest</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1 035</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B65A9">
              <w:rPr>
                <w:rFonts w:eastAsiaTheme="minorEastAsia" w:cstheme="majorHAnsi"/>
                <w:color w:val="000000"/>
                <w:szCs w:val="19"/>
                <w:lang w:eastAsia="en-AU"/>
              </w:rPr>
              <w:t xml:space="preserve"> 541</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B65A9">
              <w:rPr>
                <w:rFonts w:eastAsiaTheme="minorEastAsia" w:cstheme="majorHAnsi"/>
                <w:color w:val="000000"/>
                <w:szCs w:val="19"/>
                <w:lang w:eastAsia="en-AU"/>
              </w:rPr>
              <w:t xml:space="preserve"> 587</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B65A9">
              <w:rPr>
                <w:rFonts w:eastAsiaTheme="minorEastAsia" w:cstheme="majorHAnsi"/>
                <w:color w:val="000000"/>
                <w:szCs w:val="19"/>
                <w:lang w:eastAsia="en-AU"/>
              </w:rPr>
              <w:t xml:space="preserve"> 589</w:t>
            </w:r>
          </w:p>
        </w:tc>
      </w:tr>
      <w:tr w:rsidR="004B6846" w:rsidRPr="009B65A9"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B65A9" w:rsidRDefault="004B6846" w:rsidP="00CC0EB7">
            <w:pPr>
              <w:keepLines w:val="0"/>
              <w:autoSpaceDE w:val="0"/>
              <w:autoSpaceDN w:val="0"/>
              <w:adjustRightInd w:val="0"/>
              <w:rPr>
                <w:rFonts w:eastAsiaTheme="minorEastAsia" w:cstheme="majorHAnsi"/>
                <w:color w:val="000000"/>
                <w:szCs w:val="19"/>
                <w:lang w:eastAsia="en-AU"/>
              </w:rPr>
            </w:pPr>
            <w:r w:rsidRPr="009B65A9">
              <w:rPr>
                <w:rFonts w:eastAsiaTheme="minorEastAsia" w:cstheme="majorHAnsi"/>
                <w:color w:val="000000"/>
                <w:szCs w:val="19"/>
                <w:lang w:eastAsia="en-AU"/>
              </w:rPr>
              <w:t>Sales of goods and services</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11 378</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12 355</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12 692</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13 184</w:t>
            </w:r>
          </w:p>
        </w:tc>
      </w:tr>
      <w:tr w:rsidR="004B6846" w:rsidRPr="009B65A9"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B65A9" w:rsidRDefault="004B6846" w:rsidP="00CC0EB7">
            <w:pPr>
              <w:keepLines w:val="0"/>
              <w:autoSpaceDE w:val="0"/>
              <w:autoSpaceDN w:val="0"/>
              <w:adjustRightInd w:val="0"/>
              <w:rPr>
                <w:rFonts w:eastAsiaTheme="minorEastAsia" w:cstheme="majorHAnsi"/>
                <w:color w:val="000000"/>
                <w:szCs w:val="19"/>
                <w:lang w:eastAsia="en-AU"/>
              </w:rPr>
            </w:pPr>
            <w:r w:rsidRPr="009B65A9">
              <w:rPr>
                <w:rFonts w:eastAsiaTheme="minorEastAsia" w:cstheme="majorHAnsi"/>
                <w:color w:val="000000"/>
                <w:szCs w:val="19"/>
                <w:lang w:eastAsia="en-AU"/>
              </w:rPr>
              <w:t>Grant revenue</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33 516</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33 699</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34 687</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35 943</w:t>
            </w:r>
          </w:p>
        </w:tc>
      </w:tr>
      <w:tr w:rsidR="004B6846" w:rsidRPr="009B65A9"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4B6846" w:rsidRPr="009B65A9" w:rsidRDefault="004B6846" w:rsidP="00CC0EB7">
            <w:pPr>
              <w:keepLines w:val="0"/>
              <w:autoSpaceDE w:val="0"/>
              <w:autoSpaceDN w:val="0"/>
              <w:adjustRightInd w:val="0"/>
              <w:rPr>
                <w:rFonts w:eastAsiaTheme="minorEastAsia" w:cstheme="majorHAnsi"/>
                <w:color w:val="000000"/>
                <w:szCs w:val="19"/>
                <w:lang w:eastAsia="en-AU"/>
              </w:rPr>
            </w:pPr>
            <w:r w:rsidRPr="009B65A9">
              <w:rPr>
                <w:rFonts w:eastAsiaTheme="minorEastAsia" w:cstheme="majorHAnsi"/>
                <w:color w:val="000000"/>
                <w:szCs w:val="19"/>
                <w:lang w:eastAsia="en-AU"/>
              </w:rPr>
              <w:t>Other current revenue</w:t>
            </w:r>
          </w:p>
        </w:tc>
        <w:tc>
          <w:tcPr>
            <w:tcW w:w="850" w:type="dxa"/>
            <w:tcBorders>
              <w:top w:val="nil"/>
              <w:left w:val="nil"/>
              <w:bottom w:val="single" w:sz="6" w:space="0" w:color="auto"/>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3 261</w:t>
            </w:r>
          </w:p>
        </w:tc>
        <w:tc>
          <w:tcPr>
            <w:tcW w:w="850" w:type="dxa"/>
            <w:tcBorders>
              <w:top w:val="nil"/>
              <w:left w:val="nil"/>
              <w:bottom w:val="single" w:sz="6" w:space="0" w:color="auto"/>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3 212</w:t>
            </w:r>
          </w:p>
        </w:tc>
        <w:tc>
          <w:tcPr>
            <w:tcW w:w="850" w:type="dxa"/>
            <w:tcBorders>
              <w:top w:val="nil"/>
              <w:left w:val="nil"/>
              <w:bottom w:val="single" w:sz="6" w:space="0" w:color="auto"/>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3 291</w:t>
            </w:r>
          </w:p>
        </w:tc>
        <w:tc>
          <w:tcPr>
            <w:tcW w:w="850" w:type="dxa"/>
            <w:tcBorders>
              <w:top w:val="nil"/>
              <w:left w:val="nil"/>
              <w:bottom w:val="single" w:sz="6" w:space="0" w:color="auto"/>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3 333</w:t>
            </w:r>
          </w:p>
        </w:tc>
      </w:tr>
      <w:tr w:rsidR="004B6846" w:rsidRPr="009B65A9"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B65A9" w:rsidRDefault="004B6846" w:rsidP="00CC0EB7">
            <w:pPr>
              <w:keepLines w:val="0"/>
              <w:autoSpaceDE w:val="0"/>
              <w:autoSpaceDN w:val="0"/>
              <w:adjustRightInd w:val="0"/>
              <w:rPr>
                <w:rFonts w:eastAsiaTheme="minorEastAsia" w:cstheme="majorHAnsi"/>
                <w:b/>
                <w:bCs/>
                <w:color w:val="000000"/>
                <w:szCs w:val="19"/>
                <w:lang w:eastAsia="en-AU"/>
              </w:rPr>
            </w:pPr>
            <w:r w:rsidRPr="009B65A9">
              <w:rPr>
                <w:rFonts w:eastAsiaTheme="minorEastAsia" w:cstheme="majorHAnsi"/>
                <w:b/>
                <w:bCs/>
                <w:color w:val="000000"/>
                <w:szCs w:val="19"/>
                <w:lang w:eastAsia="en-AU"/>
              </w:rPr>
              <w:t>Total revenue</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B65A9">
              <w:rPr>
                <w:rFonts w:eastAsiaTheme="minorEastAsia" w:cstheme="majorHAnsi"/>
                <w:b/>
                <w:bCs/>
                <w:color w:val="000000"/>
                <w:szCs w:val="19"/>
                <w:lang w:eastAsia="en-AU"/>
              </w:rPr>
              <w:t>72 840</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B65A9">
              <w:rPr>
                <w:rFonts w:eastAsiaTheme="minorEastAsia" w:cstheme="majorHAnsi"/>
                <w:b/>
                <w:bCs/>
                <w:color w:val="000000"/>
                <w:szCs w:val="19"/>
                <w:lang w:eastAsia="en-AU"/>
              </w:rPr>
              <w:t>74 406</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B65A9">
              <w:rPr>
                <w:rFonts w:eastAsiaTheme="minorEastAsia" w:cstheme="majorHAnsi"/>
                <w:b/>
                <w:bCs/>
                <w:color w:val="000000"/>
                <w:szCs w:val="19"/>
                <w:lang w:eastAsia="en-AU"/>
              </w:rPr>
              <w:t>76 781</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B65A9">
              <w:rPr>
                <w:rFonts w:eastAsiaTheme="minorEastAsia" w:cstheme="majorHAnsi"/>
                <w:b/>
                <w:bCs/>
                <w:color w:val="000000"/>
                <w:szCs w:val="19"/>
                <w:lang w:eastAsia="en-AU"/>
              </w:rPr>
              <w:t>79 838</w:t>
            </w:r>
          </w:p>
        </w:tc>
      </w:tr>
      <w:tr w:rsidR="004B6846" w:rsidRPr="009B65A9"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B65A9" w:rsidRDefault="004B6846" w:rsidP="00CC0EB7">
            <w:pPr>
              <w:keepLines w:val="0"/>
              <w:autoSpaceDE w:val="0"/>
              <w:autoSpaceDN w:val="0"/>
              <w:adjustRightInd w:val="0"/>
              <w:rPr>
                <w:rFonts w:eastAsiaTheme="minorEastAsia" w:cstheme="majorHAnsi"/>
                <w:i/>
                <w:iCs/>
                <w:color w:val="000000"/>
                <w:szCs w:val="19"/>
                <w:lang w:eastAsia="en-AU"/>
              </w:rPr>
            </w:pPr>
            <w:r w:rsidRPr="009B65A9">
              <w:rPr>
                <w:rFonts w:eastAsiaTheme="minorEastAsia" w:cstheme="majorHAnsi"/>
                <w:i/>
                <w:iCs/>
                <w:color w:val="000000"/>
                <w:szCs w:val="19"/>
                <w:lang w:eastAsia="en-AU"/>
              </w:rPr>
              <w:t>% change</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7.2</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2.1</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3.2</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4.0</w:t>
            </w:r>
          </w:p>
        </w:tc>
      </w:tr>
      <w:tr w:rsidR="004B6846" w:rsidRPr="009B65A9"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B65A9" w:rsidRDefault="004B6846" w:rsidP="00CC0EB7">
            <w:pPr>
              <w:keepLines w:val="0"/>
              <w:autoSpaceDE w:val="0"/>
              <w:autoSpaceDN w:val="0"/>
              <w:adjustRightInd w:val="0"/>
              <w:rPr>
                <w:rFonts w:eastAsiaTheme="minorEastAsia" w:cstheme="majorHAnsi"/>
                <w:b/>
                <w:bCs/>
                <w:color w:val="000000"/>
                <w:szCs w:val="19"/>
                <w:lang w:eastAsia="en-AU"/>
              </w:rPr>
            </w:pPr>
            <w:r w:rsidRPr="009B65A9">
              <w:rPr>
                <w:rFonts w:eastAsiaTheme="minorEastAsia" w:cstheme="majorHAnsi"/>
                <w:b/>
                <w:bCs/>
                <w:color w:val="000000"/>
                <w:szCs w:val="19"/>
                <w:lang w:eastAsia="en-AU"/>
              </w:rPr>
              <w:t>Expenses</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 xml:space="preserve"> </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 xml:space="preserve"> </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 xml:space="preserve"> </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 xml:space="preserve"> </w:t>
            </w:r>
          </w:p>
        </w:tc>
      </w:tr>
      <w:tr w:rsidR="004B6846" w:rsidRPr="009B65A9"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B65A9" w:rsidRDefault="004B6846" w:rsidP="00CC0EB7">
            <w:pPr>
              <w:keepLines w:val="0"/>
              <w:autoSpaceDE w:val="0"/>
              <w:autoSpaceDN w:val="0"/>
              <w:adjustRightInd w:val="0"/>
              <w:rPr>
                <w:rFonts w:eastAsiaTheme="minorEastAsia" w:cstheme="majorHAnsi"/>
                <w:color w:val="000000"/>
                <w:szCs w:val="19"/>
                <w:lang w:eastAsia="en-AU"/>
              </w:rPr>
            </w:pPr>
            <w:r w:rsidRPr="009B65A9">
              <w:rPr>
                <w:rFonts w:eastAsiaTheme="minorEastAsia" w:cstheme="majorHAnsi"/>
                <w:color w:val="000000"/>
                <w:szCs w:val="19"/>
                <w:lang w:eastAsia="en-AU"/>
              </w:rPr>
              <w:t>Employee expenses</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26 264</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27 756</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28 830</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29 936</w:t>
            </w:r>
          </w:p>
        </w:tc>
      </w:tr>
      <w:tr w:rsidR="004B6846" w:rsidRPr="009B65A9"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B65A9" w:rsidRDefault="004B6846" w:rsidP="00CC0EB7">
            <w:pPr>
              <w:keepLines w:val="0"/>
              <w:autoSpaceDE w:val="0"/>
              <w:autoSpaceDN w:val="0"/>
              <w:adjustRightInd w:val="0"/>
              <w:rPr>
                <w:rFonts w:eastAsiaTheme="minorEastAsia" w:cstheme="majorHAnsi"/>
                <w:color w:val="000000"/>
                <w:szCs w:val="19"/>
                <w:lang w:eastAsia="en-AU"/>
              </w:rPr>
            </w:pPr>
            <w:r w:rsidRPr="009B65A9">
              <w:rPr>
                <w:rFonts w:eastAsiaTheme="minorEastAsia" w:cstheme="majorHAnsi"/>
                <w:color w:val="000000"/>
                <w:szCs w:val="19"/>
                <w:lang w:eastAsia="en-AU"/>
              </w:rPr>
              <w:t xml:space="preserve">Superannuation </w:t>
            </w:r>
            <w:r w:rsidRPr="009B65A9">
              <w:rPr>
                <w:rFonts w:eastAsiaTheme="minorEastAsia" w:cstheme="majorHAnsi"/>
                <w:color w:val="000000"/>
                <w:szCs w:val="19"/>
                <w:vertAlign w:val="superscript"/>
                <w:lang w:eastAsia="en-AU"/>
              </w:rPr>
              <w:t>(b)</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3 572</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3 578</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3 622</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3 717</w:t>
            </w:r>
          </w:p>
        </w:tc>
      </w:tr>
      <w:tr w:rsidR="004B6846" w:rsidRPr="009B65A9"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B65A9" w:rsidRDefault="004B6846" w:rsidP="00CC0EB7">
            <w:pPr>
              <w:keepLines w:val="0"/>
              <w:autoSpaceDE w:val="0"/>
              <w:autoSpaceDN w:val="0"/>
              <w:adjustRightInd w:val="0"/>
              <w:rPr>
                <w:rFonts w:eastAsiaTheme="minorEastAsia" w:cstheme="majorHAnsi"/>
                <w:color w:val="000000"/>
                <w:szCs w:val="19"/>
                <w:lang w:eastAsia="en-AU"/>
              </w:rPr>
            </w:pPr>
            <w:r w:rsidRPr="009B65A9">
              <w:rPr>
                <w:rFonts w:eastAsiaTheme="minorEastAsia" w:cstheme="majorHAnsi"/>
                <w:color w:val="000000"/>
                <w:szCs w:val="19"/>
                <w:lang w:eastAsia="en-AU"/>
              </w:rPr>
              <w:t xml:space="preserve">Depreciation </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5 271</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5 482</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5 941</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6 255</w:t>
            </w:r>
          </w:p>
        </w:tc>
      </w:tr>
      <w:tr w:rsidR="004B6846" w:rsidRPr="009B65A9"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B65A9" w:rsidRDefault="004B6846" w:rsidP="00CC0EB7">
            <w:pPr>
              <w:keepLines w:val="0"/>
              <w:autoSpaceDE w:val="0"/>
              <w:autoSpaceDN w:val="0"/>
              <w:adjustRightInd w:val="0"/>
              <w:rPr>
                <w:rFonts w:eastAsiaTheme="minorEastAsia" w:cstheme="majorHAnsi"/>
                <w:color w:val="000000"/>
                <w:szCs w:val="19"/>
                <w:lang w:eastAsia="en-AU"/>
              </w:rPr>
            </w:pPr>
            <w:r w:rsidRPr="009B65A9">
              <w:rPr>
                <w:rFonts w:eastAsiaTheme="minorEastAsia" w:cstheme="majorHAnsi"/>
                <w:color w:val="000000"/>
                <w:szCs w:val="19"/>
                <w:lang w:eastAsia="en-AU"/>
              </w:rPr>
              <w:t>Interest expense</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2 508</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2 612</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2 747</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2 815</w:t>
            </w:r>
          </w:p>
        </w:tc>
      </w:tr>
      <w:tr w:rsidR="004B6846" w:rsidRPr="009B65A9"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B65A9" w:rsidRDefault="004B6846" w:rsidP="00CC0EB7">
            <w:pPr>
              <w:keepLines w:val="0"/>
              <w:autoSpaceDE w:val="0"/>
              <w:autoSpaceDN w:val="0"/>
              <w:adjustRightInd w:val="0"/>
              <w:rPr>
                <w:rFonts w:eastAsiaTheme="minorEastAsia" w:cstheme="majorHAnsi"/>
                <w:color w:val="000000"/>
                <w:szCs w:val="19"/>
                <w:lang w:eastAsia="en-AU"/>
              </w:rPr>
            </w:pPr>
            <w:r w:rsidRPr="009B65A9">
              <w:rPr>
                <w:rFonts w:eastAsiaTheme="minorEastAsia" w:cstheme="majorHAnsi"/>
                <w:color w:val="000000"/>
                <w:szCs w:val="19"/>
                <w:lang w:eastAsia="en-AU"/>
              </w:rPr>
              <w:t>Grant expense</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9 128</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10 365</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10 388</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10 828</w:t>
            </w:r>
          </w:p>
        </w:tc>
      </w:tr>
      <w:tr w:rsidR="004B6846" w:rsidRPr="009B65A9"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4B6846" w:rsidRPr="009B65A9" w:rsidRDefault="004B6846" w:rsidP="00CC0EB7">
            <w:pPr>
              <w:keepLines w:val="0"/>
              <w:autoSpaceDE w:val="0"/>
              <w:autoSpaceDN w:val="0"/>
              <w:adjustRightInd w:val="0"/>
              <w:rPr>
                <w:rFonts w:eastAsiaTheme="minorEastAsia" w:cstheme="majorHAnsi"/>
                <w:color w:val="000000"/>
                <w:szCs w:val="19"/>
                <w:lang w:eastAsia="en-AU"/>
              </w:rPr>
            </w:pPr>
            <w:r w:rsidRPr="009B65A9">
              <w:rPr>
                <w:rFonts w:eastAsiaTheme="minorEastAsia" w:cstheme="majorHAnsi"/>
                <w:color w:val="000000"/>
                <w:szCs w:val="19"/>
                <w:lang w:eastAsia="en-AU"/>
              </w:rPr>
              <w:t>Other operating expenses</w:t>
            </w:r>
          </w:p>
        </w:tc>
        <w:tc>
          <w:tcPr>
            <w:tcW w:w="850" w:type="dxa"/>
            <w:tcBorders>
              <w:top w:val="nil"/>
              <w:left w:val="nil"/>
              <w:bottom w:val="single" w:sz="6" w:space="0" w:color="auto"/>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24 602</w:t>
            </w:r>
          </w:p>
        </w:tc>
        <w:tc>
          <w:tcPr>
            <w:tcW w:w="850" w:type="dxa"/>
            <w:tcBorders>
              <w:top w:val="nil"/>
              <w:left w:val="nil"/>
              <w:bottom w:val="single" w:sz="6" w:space="0" w:color="auto"/>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23 493</w:t>
            </w:r>
          </w:p>
        </w:tc>
        <w:tc>
          <w:tcPr>
            <w:tcW w:w="850" w:type="dxa"/>
            <w:tcBorders>
              <w:top w:val="nil"/>
              <w:left w:val="nil"/>
              <w:bottom w:val="single" w:sz="6" w:space="0" w:color="auto"/>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23 348</w:t>
            </w:r>
          </w:p>
        </w:tc>
        <w:tc>
          <w:tcPr>
            <w:tcW w:w="850" w:type="dxa"/>
            <w:tcBorders>
              <w:top w:val="nil"/>
              <w:left w:val="nil"/>
              <w:bottom w:val="single" w:sz="6" w:space="0" w:color="auto"/>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24 144</w:t>
            </w:r>
          </w:p>
        </w:tc>
      </w:tr>
      <w:tr w:rsidR="004B6846" w:rsidRPr="009B65A9"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B65A9" w:rsidRDefault="004B6846" w:rsidP="00CC0EB7">
            <w:pPr>
              <w:keepLines w:val="0"/>
              <w:autoSpaceDE w:val="0"/>
              <w:autoSpaceDN w:val="0"/>
              <w:adjustRightInd w:val="0"/>
              <w:rPr>
                <w:rFonts w:eastAsiaTheme="minorEastAsia" w:cstheme="majorHAnsi"/>
                <w:b/>
                <w:bCs/>
                <w:color w:val="000000"/>
                <w:szCs w:val="19"/>
                <w:lang w:eastAsia="en-AU"/>
              </w:rPr>
            </w:pPr>
            <w:r w:rsidRPr="009B65A9">
              <w:rPr>
                <w:rFonts w:eastAsiaTheme="minorEastAsia" w:cstheme="majorHAnsi"/>
                <w:b/>
                <w:bCs/>
                <w:color w:val="000000"/>
                <w:szCs w:val="19"/>
                <w:lang w:eastAsia="en-AU"/>
              </w:rPr>
              <w:t>Total expenses</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B65A9">
              <w:rPr>
                <w:rFonts w:eastAsiaTheme="minorEastAsia" w:cstheme="majorHAnsi"/>
                <w:b/>
                <w:bCs/>
                <w:color w:val="000000"/>
                <w:szCs w:val="19"/>
                <w:lang w:eastAsia="en-AU"/>
              </w:rPr>
              <w:t>71 346</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B65A9">
              <w:rPr>
                <w:rFonts w:eastAsiaTheme="minorEastAsia" w:cstheme="majorHAnsi"/>
                <w:b/>
                <w:bCs/>
                <w:color w:val="000000"/>
                <w:szCs w:val="19"/>
                <w:lang w:eastAsia="en-AU"/>
              </w:rPr>
              <w:t>73 286</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B65A9">
              <w:rPr>
                <w:rFonts w:eastAsiaTheme="minorEastAsia" w:cstheme="majorHAnsi"/>
                <w:b/>
                <w:bCs/>
                <w:color w:val="000000"/>
                <w:szCs w:val="19"/>
                <w:lang w:eastAsia="en-AU"/>
              </w:rPr>
              <w:t>74 877</w:t>
            </w:r>
          </w:p>
        </w:tc>
        <w:tc>
          <w:tcPr>
            <w:tcW w:w="850" w:type="dxa"/>
            <w:tcBorders>
              <w:top w:val="nil"/>
              <w:left w:val="nil"/>
              <w:bottom w:val="nil"/>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B65A9">
              <w:rPr>
                <w:rFonts w:eastAsiaTheme="minorEastAsia" w:cstheme="majorHAnsi"/>
                <w:b/>
                <w:bCs/>
                <w:color w:val="000000"/>
                <w:szCs w:val="19"/>
                <w:lang w:eastAsia="en-AU"/>
              </w:rPr>
              <w:t>77 694</w:t>
            </w:r>
          </w:p>
        </w:tc>
      </w:tr>
      <w:tr w:rsidR="004B6846" w:rsidRPr="009B65A9"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4B6846" w:rsidRPr="009B65A9" w:rsidRDefault="004B6846" w:rsidP="00CC0EB7">
            <w:pPr>
              <w:keepLines w:val="0"/>
              <w:autoSpaceDE w:val="0"/>
              <w:autoSpaceDN w:val="0"/>
              <w:adjustRightInd w:val="0"/>
              <w:rPr>
                <w:rFonts w:eastAsiaTheme="minorEastAsia" w:cstheme="majorHAnsi"/>
                <w:i/>
                <w:iCs/>
                <w:color w:val="000000"/>
                <w:szCs w:val="19"/>
                <w:lang w:eastAsia="en-AU"/>
              </w:rPr>
            </w:pPr>
            <w:r w:rsidRPr="009B65A9">
              <w:rPr>
                <w:rFonts w:eastAsiaTheme="minorEastAsia" w:cstheme="majorHAnsi"/>
                <w:i/>
                <w:iCs/>
                <w:color w:val="000000"/>
                <w:szCs w:val="19"/>
                <w:lang w:eastAsia="en-AU"/>
              </w:rPr>
              <w:t>% change</w:t>
            </w:r>
          </w:p>
        </w:tc>
        <w:tc>
          <w:tcPr>
            <w:tcW w:w="850" w:type="dxa"/>
            <w:tcBorders>
              <w:top w:val="nil"/>
              <w:left w:val="nil"/>
              <w:bottom w:val="single" w:sz="6" w:space="0" w:color="auto"/>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8.1</w:t>
            </w:r>
          </w:p>
        </w:tc>
        <w:tc>
          <w:tcPr>
            <w:tcW w:w="850" w:type="dxa"/>
            <w:tcBorders>
              <w:top w:val="nil"/>
              <w:left w:val="nil"/>
              <w:bottom w:val="single" w:sz="6" w:space="0" w:color="auto"/>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2.7</w:t>
            </w:r>
          </w:p>
        </w:tc>
        <w:tc>
          <w:tcPr>
            <w:tcW w:w="850" w:type="dxa"/>
            <w:tcBorders>
              <w:top w:val="nil"/>
              <w:left w:val="nil"/>
              <w:bottom w:val="single" w:sz="6" w:space="0" w:color="auto"/>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2.2</w:t>
            </w:r>
          </w:p>
        </w:tc>
        <w:tc>
          <w:tcPr>
            <w:tcW w:w="850" w:type="dxa"/>
            <w:tcBorders>
              <w:top w:val="nil"/>
              <w:left w:val="nil"/>
              <w:bottom w:val="single" w:sz="6" w:space="0" w:color="auto"/>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B65A9">
              <w:rPr>
                <w:rFonts w:eastAsiaTheme="minorEastAsia" w:cstheme="majorHAnsi"/>
                <w:color w:val="000000"/>
                <w:szCs w:val="19"/>
                <w:lang w:eastAsia="en-AU"/>
              </w:rPr>
              <w:t>3.8</w:t>
            </w:r>
          </w:p>
        </w:tc>
      </w:tr>
      <w:tr w:rsidR="004B6846" w:rsidRPr="009B65A9"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4B6846" w:rsidRPr="009B65A9" w:rsidRDefault="004B6846" w:rsidP="00CC0EB7">
            <w:pPr>
              <w:keepLines w:val="0"/>
              <w:autoSpaceDE w:val="0"/>
              <w:autoSpaceDN w:val="0"/>
              <w:adjustRightInd w:val="0"/>
              <w:rPr>
                <w:rFonts w:eastAsiaTheme="minorEastAsia" w:cstheme="majorHAnsi"/>
                <w:b/>
                <w:bCs/>
                <w:color w:val="000000"/>
                <w:szCs w:val="19"/>
                <w:lang w:eastAsia="en-AU"/>
              </w:rPr>
            </w:pPr>
            <w:r w:rsidRPr="009B65A9">
              <w:rPr>
                <w:rFonts w:eastAsiaTheme="minorEastAsia" w:cstheme="majorHAnsi"/>
                <w:b/>
                <w:bCs/>
                <w:color w:val="000000"/>
                <w:szCs w:val="19"/>
                <w:lang w:eastAsia="en-AU"/>
              </w:rPr>
              <w:t>Net result from transactions</w:t>
            </w:r>
          </w:p>
        </w:tc>
        <w:tc>
          <w:tcPr>
            <w:tcW w:w="850" w:type="dxa"/>
            <w:tcBorders>
              <w:top w:val="nil"/>
              <w:left w:val="nil"/>
              <w:bottom w:val="single" w:sz="6" w:space="0" w:color="auto"/>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B65A9">
              <w:rPr>
                <w:rFonts w:eastAsiaTheme="minorEastAsia" w:cstheme="majorHAnsi"/>
                <w:b/>
                <w:bCs/>
                <w:color w:val="000000"/>
                <w:szCs w:val="19"/>
                <w:lang w:eastAsia="en-AU"/>
              </w:rPr>
              <w:t>1 495</w:t>
            </w:r>
          </w:p>
        </w:tc>
        <w:tc>
          <w:tcPr>
            <w:tcW w:w="850" w:type="dxa"/>
            <w:tcBorders>
              <w:top w:val="nil"/>
              <w:left w:val="nil"/>
              <w:bottom w:val="single" w:sz="6" w:space="0" w:color="auto"/>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B65A9">
              <w:rPr>
                <w:rFonts w:eastAsiaTheme="minorEastAsia" w:cstheme="majorHAnsi"/>
                <w:b/>
                <w:bCs/>
                <w:color w:val="000000"/>
                <w:szCs w:val="19"/>
                <w:lang w:eastAsia="en-AU"/>
              </w:rPr>
              <w:t>1 120</w:t>
            </w:r>
          </w:p>
        </w:tc>
        <w:tc>
          <w:tcPr>
            <w:tcW w:w="850" w:type="dxa"/>
            <w:tcBorders>
              <w:top w:val="nil"/>
              <w:left w:val="nil"/>
              <w:bottom w:val="single" w:sz="6" w:space="0" w:color="auto"/>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B65A9">
              <w:rPr>
                <w:rFonts w:eastAsiaTheme="minorEastAsia" w:cstheme="majorHAnsi"/>
                <w:b/>
                <w:bCs/>
                <w:color w:val="000000"/>
                <w:szCs w:val="19"/>
                <w:lang w:eastAsia="en-AU"/>
              </w:rPr>
              <w:t>1 904</w:t>
            </w:r>
          </w:p>
        </w:tc>
        <w:tc>
          <w:tcPr>
            <w:tcW w:w="850" w:type="dxa"/>
            <w:tcBorders>
              <w:top w:val="nil"/>
              <w:left w:val="nil"/>
              <w:bottom w:val="single" w:sz="6" w:space="0" w:color="auto"/>
              <w:right w:val="nil"/>
            </w:tcBorders>
          </w:tcPr>
          <w:p w:rsidR="004B6846" w:rsidRPr="009B65A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B65A9">
              <w:rPr>
                <w:rFonts w:eastAsiaTheme="minorEastAsia" w:cstheme="majorHAnsi"/>
                <w:b/>
                <w:bCs/>
                <w:color w:val="000000"/>
                <w:szCs w:val="19"/>
                <w:lang w:eastAsia="en-AU"/>
              </w:rPr>
              <w:t>2 144</w:t>
            </w:r>
          </w:p>
        </w:tc>
      </w:tr>
    </w:tbl>
    <w:p w:rsidR="004B6846" w:rsidRDefault="004B6846" w:rsidP="00CC0EB7">
      <w:pPr>
        <w:pStyle w:val="Source"/>
      </w:pPr>
      <w:r>
        <w:t>Source: Department of Treasury and Finance</w:t>
      </w:r>
    </w:p>
    <w:p w:rsidR="004B6846" w:rsidRDefault="004B6846" w:rsidP="00CC0EB7">
      <w:pPr>
        <w:pStyle w:val="Note"/>
      </w:pPr>
      <w:r>
        <w:t>Notes:</w:t>
      </w:r>
    </w:p>
    <w:p w:rsidR="004B6846" w:rsidRDefault="004B6846" w:rsidP="00CC0EB7">
      <w:pPr>
        <w:pStyle w:val="Note"/>
      </w:pPr>
      <w:r>
        <w:t>(a)</w:t>
      </w:r>
      <w:r>
        <w:tab/>
        <w:t xml:space="preserve">This is a summary operating statement. Figures in this table are subject to rounding to the nearest million and may not add up to totals. </w:t>
      </w:r>
    </w:p>
    <w:p w:rsidR="004B6846" w:rsidRDefault="004B6846" w:rsidP="00CC0EB7">
      <w:pPr>
        <w:pStyle w:val="Note"/>
      </w:pPr>
      <w:r>
        <w:t>(b)</w:t>
      </w:r>
      <w:r>
        <w:tab/>
        <w:t>Comprises superannuation interest expense and other superannuation expenses.</w:t>
      </w:r>
    </w:p>
    <w:p w:rsidR="004B6846" w:rsidRDefault="004B6846" w:rsidP="00CC0EB7"/>
    <w:p w:rsidR="004B6846" w:rsidRDefault="004B6846" w:rsidP="00CC0EB7">
      <w:r>
        <w:t>The net result from transactions of the NFPS is projected to reach $2.1</w:t>
      </w:r>
      <w:r w:rsidRPr="006A7C8A">
        <w:t> billion</w:t>
      </w:r>
      <w:r>
        <w:t xml:space="preserve"> by 2021</w:t>
      </w:r>
      <w:r>
        <w:noBreakHyphen/>
        <w:t>22. This is largely due to the general government sector surplus projected to increase from $2.2</w:t>
      </w:r>
      <w:r w:rsidRPr="006A7C8A">
        <w:t> billion</w:t>
      </w:r>
      <w:r>
        <w:t xml:space="preserve"> in </w:t>
      </w:r>
      <w:r w:rsidRPr="006A7C8A">
        <w:t>201</w:t>
      </w:r>
      <w:r>
        <w:t>8</w:t>
      </w:r>
      <w:r>
        <w:noBreakHyphen/>
        <w:t>19 to $3.0</w:t>
      </w:r>
      <w:r w:rsidRPr="006A7C8A">
        <w:t> billion</w:t>
      </w:r>
      <w:r>
        <w:t xml:space="preserve"> by 2021</w:t>
      </w:r>
      <w:r>
        <w:noBreakHyphen/>
        <w:t>22.</w:t>
      </w:r>
    </w:p>
    <w:p w:rsidR="004B6846" w:rsidRDefault="004B6846">
      <w:pPr>
        <w:keepLines w:val="0"/>
      </w:pPr>
      <w:r>
        <w:br w:type="page"/>
      </w:r>
    </w:p>
    <w:p w:rsidR="004B6846" w:rsidRDefault="004B6846" w:rsidP="00CC0EB7">
      <w:r>
        <w:lastRenderedPageBreak/>
        <w:t>The net result from transactions of the PNFC sector is projected to be an average deficit of $566</w:t>
      </w:r>
      <w:r w:rsidRPr="006A7C8A">
        <w:t> million</w:t>
      </w:r>
      <w:r>
        <w:t xml:space="preserve"> across the budget and forward estimates period. The deficits mainly reflect:</w:t>
      </w:r>
    </w:p>
    <w:p w:rsidR="004B6846" w:rsidRPr="00393CA4" w:rsidRDefault="004B6846" w:rsidP="00393CA4">
      <w:pPr>
        <w:pStyle w:val="ListBullet"/>
      </w:pPr>
      <w:r w:rsidRPr="00393CA4">
        <w:t xml:space="preserve">depreciation expenses of VicTrack. However, VicTrack is estimated to generate an average operating cash flow surplus of $95.9 million over the budget and forward estimates period; and </w:t>
      </w:r>
    </w:p>
    <w:p w:rsidR="004B6846" w:rsidRPr="00393CA4" w:rsidRDefault="004B6846" w:rsidP="00393CA4">
      <w:pPr>
        <w:pStyle w:val="ListBullet"/>
      </w:pPr>
      <w:r w:rsidRPr="00393CA4">
        <w:t>depreciation expenses and costs associated with the Director of Housing managing a large and ageing asset portfolio. However, the Director of Housing is estimated to generate an average operating cash flow surplus of $94.9 million over the budget and forward estimates period.</w:t>
      </w:r>
    </w:p>
    <w:p w:rsidR="004B6846" w:rsidRDefault="004B6846" w:rsidP="00CC0EB7">
      <w:r>
        <w:t>Despite the projected deficits, the PNFC sector is forecast to remain in a strong and sustainable position with operating cash flow surpluses averaging $1.5 billion over the budget and forward estimates period.</w:t>
      </w:r>
    </w:p>
    <w:p w:rsidR="004B6846" w:rsidRDefault="004B6846" w:rsidP="00CC0EB7">
      <w:pPr>
        <w:pStyle w:val="Heading20"/>
      </w:pPr>
      <w:r>
        <w:t xml:space="preserve">Application </w:t>
      </w:r>
      <w:r w:rsidRPr="00FE5146">
        <w:t>of</w:t>
      </w:r>
      <w:r>
        <w:t xml:space="preserve"> cash resources</w:t>
      </w:r>
    </w:p>
    <w:p w:rsidR="004B6846" w:rsidRDefault="004B6846" w:rsidP="00CC0EB7">
      <w:r>
        <w:t>The NFPS is forecast to record operating cash flow surpluses averaging $6.1 billion across the budget and forward estimates period. This will fund 62 per cent of the NFPS infrastructure program. This enables the State to deliver infrastructure projects without unduly impacting debt sustainability.</w:t>
      </w:r>
    </w:p>
    <w:p w:rsidR="004B6846" w:rsidRPr="00FA7528" w:rsidRDefault="004B6846" w:rsidP="00FA7528">
      <w:pPr>
        <w:pStyle w:val="TableHeading"/>
      </w:pPr>
      <w:r>
        <w:t xml:space="preserve">Table 3.6: </w:t>
      </w:r>
      <w:r>
        <w:tab/>
        <w:t xml:space="preserve">Application of cash resources for the </w:t>
      </w:r>
      <w:r w:rsidRPr="006A7C8A">
        <w:t>non</w:t>
      </w:r>
      <w:r w:rsidRPr="006A7C8A">
        <w:noBreakHyphen/>
      </w:r>
      <w:r>
        <w:t xml:space="preserve">financial public sector </w:t>
      </w:r>
      <w:r w:rsidRPr="006A7C8A">
        <w:rPr>
          <w:vertAlign w:val="superscript"/>
        </w:rPr>
        <w:t>(a)</w:t>
      </w:r>
      <w:r w:rsidRPr="00D3308C">
        <w:tab/>
        <w:t>($ million)</w:t>
      </w:r>
    </w:p>
    <w:tbl>
      <w:tblPr>
        <w:tblStyle w:val="DTFTable"/>
        <w:tblW w:w="7711" w:type="dxa"/>
        <w:tblInd w:w="45" w:type="dxa"/>
        <w:tblLayout w:type="fixed"/>
        <w:tblCellMar>
          <w:left w:w="45" w:type="dxa"/>
          <w:right w:w="45" w:type="dxa"/>
        </w:tblCellMar>
        <w:tblLook w:val="06A0" w:firstRow="1" w:lastRow="0" w:firstColumn="1" w:lastColumn="0" w:noHBand="1" w:noVBand="1"/>
      </w:tblPr>
      <w:tblGrid>
        <w:gridCol w:w="4334"/>
        <w:gridCol w:w="845"/>
        <w:gridCol w:w="844"/>
        <w:gridCol w:w="844"/>
        <w:gridCol w:w="844"/>
      </w:tblGrid>
      <w:tr w:rsidR="00CC0EB7" w:rsidRPr="001169FA" w:rsidTr="00FA7528">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auto"/>
          </w:tcPr>
          <w:p w:rsidR="00CC0EB7" w:rsidRPr="001169FA" w:rsidRDefault="00CC0EB7" w:rsidP="00CC0EB7">
            <w:pPr>
              <w:pStyle w:val="Source"/>
              <w:rPr>
                <w:rFonts w:eastAsiaTheme="minorEastAsia" w:cstheme="majorHAnsi"/>
                <w:i/>
                <w:iCs/>
                <w:color w:val="FFFFFF"/>
                <w:sz w:val="17"/>
                <w:szCs w:val="19"/>
                <w:lang w:eastAsia="en-AU"/>
              </w:rPr>
            </w:pPr>
            <w:r w:rsidRPr="001169FA">
              <w:rPr>
                <w:rFonts w:eastAsiaTheme="minorEastAsia" w:cstheme="majorHAnsi"/>
                <w:i/>
                <w:iCs/>
                <w:color w:val="FFFFFF"/>
                <w:sz w:val="17"/>
                <w:szCs w:val="19"/>
                <w:lang w:eastAsia="en-AU"/>
              </w:rPr>
              <w:t xml:space="preserve"> </w:t>
            </w:r>
            <w:r w:rsidRPr="001169FA">
              <w:rPr>
                <w:rFonts w:eastAsiaTheme="minorEastAsia" w:cstheme="majorHAnsi"/>
                <w:i/>
                <w:iCs/>
                <w:color w:val="FFFFFF"/>
                <w:szCs w:val="19"/>
                <w:lang w:eastAsia="en-AU"/>
              </w:rPr>
              <w:t xml:space="preserve"> </w:t>
            </w:r>
          </w:p>
        </w:tc>
        <w:tc>
          <w:tcPr>
            <w:tcW w:w="850" w:type="dxa"/>
            <w:tcBorders>
              <w:top w:val="nil"/>
              <w:left w:val="nil"/>
              <w:right w:val="nil"/>
            </w:tcBorders>
            <w:shd w:val="solid" w:color="000000" w:fill="auto"/>
          </w:tcPr>
          <w:p w:rsidR="00CC0EB7" w:rsidRPr="001169FA"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1169FA">
              <w:rPr>
                <w:rFonts w:eastAsiaTheme="minorEastAsia" w:cstheme="majorHAnsi"/>
                <w:iCs/>
                <w:color w:val="FFFFFF"/>
                <w:szCs w:val="19"/>
                <w:lang w:eastAsia="en-AU"/>
              </w:rPr>
              <w:t>2018-19</w:t>
            </w:r>
            <w:r>
              <w:rPr>
                <w:rFonts w:eastAsiaTheme="minorEastAsia" w:cstheme="majorHAnsi"/>
                <w:iCs/>
                <w:color w:val="FFFFFF"/>
                <w:szCs w:val="19"/>
                <w:lang w:eastAsia="en-AU"/>
              </w:rPr>
              <w:br/>
            </w:r>
            <w:r w:rsidRPr="001169FA">
              <w:rPr>
                <w:rFonts w:eastAsiaTheme="minorEastAsia" w:cstheme="majorHAnsi"/>
                <w:iCs/>
                <w:color w:val="FFFFFF"/>
                <w:szCs w:val="19"/>
                <w:lang w:eastAsia="en-AU"/>
              </w:rPr>
              <w:t>revised</w:t>
            </w:r>
          </w:p>
        </w:tc>
        <w:tc>
          <w:tcPr>
            <w:tcW w:w="850" w:type="dxa"/>
            <w:tcBorders>
              <w:top w:val="nil"/>
              <w:left w:val="nil"/>
              <w:right w:val="nil"/>
            </w:tcBorders>
            <w:shd w:val="solid" w:color="000000" w:fill="auto"/>
          </w:tcPr>
          <w:p w:rsidR="00CC0EB7" w:rsidRPr="001169FA"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1169FA">
              <w:rPr>
                <w:rFonts w:eastAsiaTheme="minorEastAsia" w:cstheme="majorHAnsi"/>
                <w:iCs/>
                <w:color w:val="FFFFFF"/>
                <w:szCs w:val="19"/>
                <w:lang w:eastAsia="en-AU"/>
              </w:rPr>
              <w:t>2019-20</w:t>
            </w:r>
            <w:r>
              <w:rPr>
                <w:rFonts w:eastAsiaTheme="minorEastAsia" w:cstheme="majorHAnsi"/>
                <w:iCs/>
                <w:color w:val="FFFFFF"/>
                <w:szCs w:val="19"/>
                <w:lang w:eastAsia="en-AU"/>
              </w:rPr>
              <w:br/>
            </w:r>
            <w:r w:rsidRPr="001169FA">
              <w:rPr>
                <w:rFonts w:eastAsiaTheme="minorEastAsia" w:cstheme="majorHAnsi"/>
                <w:iCs/>
                <w:color w:val="FFFFFF"/>
                <w:szCs w:val="19"/>
                <w:lang w:eastAsia="en-AU"/>
              </w:rPr>
              <w:t>estimate</w:t>
            </w:r>
          </w:p>
        </w:tc>
        <w:tc>
          <w:tcPr>
            <w:tcW w:w="850" w:type="dxa"/>
            <w:tcBorders>
              <w:top w:val="nil"/>
              <w:left w:val="nil"/>
              <w:right w:val="nil"/>
            </w:tcBorders>
            <w:shd w:val="solid" w:color="000000" w:fill="auto"/>
          </w:tcPr>
          <w:p w:rsidR="00CC0EB7" w:rsidRPr="001169FA"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1169FA">
              <w:rPr>
                <w:rFonts w:eastAsiaTheme="minorEastAsia" w:cstheme="majorHAnsi"/>
                <w:iCs/>
                <w:color w:val="FFFFFF"/>
                <w:szCs w:val="19"/>
                <w:lang w:eastAsia="en-AU"/>
              </w:rPr>
              <w:t>2020-21</w:t>
            </w:r>
            <w:r>
              <w:rPr>
                <w:rFonts w:eastAsiaTheme="minorEastAsia" w:cstheme="majorHAnsi"/>
                <w:iCs/>
                <w:color w:val="FFFFFF"/>
                <w:szCs w:val="19"/>
                <w:lang w:eastAsia="en-AU"/>
              </w:rPr>
              <w:br/>
            </w:r>
            <w:r w:rsidRPr="001169FA">
              <w:rPr>
                <w:rFonts w:eastAsiaTheme="minorEastAsia" w:cstheme="majorHAnsi"/>
                <w:iCs/>
                <w:color w:val="FFFFFF"/>
                <w:szCs w:val="19"/>
                <w:lang w:eastAsia="en-AU"/>
              </w:rPr>
              <w:t>estimate</w:t>
            </w:r>
          </w:p>
        </w:tc>
        <w:tc>
          <w:tcPr>
            <w:tcW w:w="850" w:type="dxa"/>
            <w:tcBorders>
              <w:top w:val="nil"/>
              <w:left w:val="nil"/>
              <w:right w:val="nil"/>
            </w:tcBorders>
            <w:shd w:val="solid" w:color="000000" w:fill="auto"/>
          </w:tcPr>
          <w:p w:rsidR="00CC0EB7" w:rsidRPr="001169FA"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1169FA">
              <w:rPr>
                <w:rFonts w:eastAsiaTheme="minorEastAsia" w:cstheme="majorHAnsi"/>
                <w:iCs/>
                <w:color w:val="FFFFFF"/>
                <w:szCs w:val="19"/>
                <w:lang w:eastAsia="en-AU"/>
              </w:rPr>
              <w:t>2021-22</w:t>
            </w:r>
            <w:r>
              <w:rPr>
                <w:rFonts w:eastAsiaTheme="minorEastAsia" w:cstheme="majorHAnsi"/>
                <w:iCs/>
                <w:color w:val="FFFFFF"/>
                <w:szCs w:val="19"/>
                <w:lang w:eastAsia="en-AU"/>
              </w:rPr>
              <w:br/>
            </w:r>
            <w:r w:rsidRPr="001169FA">
              <w:rPr>
                <w:rFonts w:eastAsiaTheme="minorEastAsia" w:cstheme="majorHAnsi"/>
                <w:iCs/>
                <w:color w:val="FFFFFF"/>
                <w:szCs w:val="19"/>
                <w:lang w:eastAsia="en-AU"/>
              </w:rPr>
              <w:t>estimate</w:t>
            </w:r>
          </w:p>
        </w:tc>
      </w:tr>
      <w:tr w:rsidR="004B6846" w:rsidRPr="001169FA"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1169FA" w:rsidRDefault="004B6846" w:rsidP="00CC0EB7">
            <w:pPr>
              <w:keepLines w:val="0"/>
              <w:autoSpaceDE w:val="0"/>
              <w:autoSpaceDN w:val="0"/>
              <w:adjustRightInd w:val="0"/>
              <w:rPr>
                <w:rFonts w:eastAsiaTheme="minorEastAsia" w:cstheme="majorHAnsi"/>
                <w:b/>
                <w:bCs/>
                <w:color w:val="000000"/>
                <w:szCs w:val="19"/>
                <w:lang w:eastAsia="en-AU"/>
              </w:rPr>
            </w:pPr>
            <w:r w:rsidRPr="001169FA">
              <w:rPr>
                <w:rFonts w:eastAsiaTheme="minorEastAsia" w:cstheme="majorHAnsi"/>
                <w:b/>
                <w:bCs/>
                <w:color w:val="000000"/>
                <w:szCs w:val="19"/>
                <w:lang w:eastAsia="en-AU"/>
              </w:rPr>
              <w:t>Net result from transactions</w:t>
            </w:r>
          </w:p>
        </w:tc>
        <w:tc>
          <w:tcPr>
            <w:tcW w:w="850" w:type="dxa"/>
            <w:tcBorders>
              <w:top w:val="nil"/>
              <w:left w:val="nil"/>
              <w:bottom w:val="nil"/>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1 495</w:t>
            </w:r>
          </w:p>
        </w:tc>
        <w:tc>
          <w:tcPr>
            <w:tcW w:w="850" w:type="dxa"/>
            <w:tcBorders>
              <w:top w:val="nil"/>
              <w:left w:val="nil"/>
              <w:bottom w:val="nil"/>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1 120</w:t>
            </w:r>
          </w:p>
        </w:tc>
        <w:tc>
          <w:tcPr>
            <w:tcW w:w="850" w:type="dxa"/>
            <w:tcBorders>
              <w:top w:val="nil"/>
              <w:left w:val="nil"/>
              <w:bottom w:val="nil"/>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1 904</w:t>
            </w:r>
          </w:p>
        </w:tc>
        <w:tc>
          <w:tcPr>
            <w:tcW w:w="850" w:type="dxa"/>
            <w:tcBorders>
              <w:top w:val="nil"/>
              <w:left w:val="nil"/>
              <w:bottom w:val="nil"/>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2 144</w:t>
            </w:r>
          </w:p>
        </w:tc>
      </w:tr>
      <w:tr w:rsidR="004B6846" w:rsidRPr="001169FA"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4B6846" w:rsidRPr="001169FA" w:rsidRDefault="004B6846" w:rsidP="00CC0EB7">
            <w:pPr>
              <w:keepLines w:val="0"/>
              <w:autoSpaceDE w:val="0"/>
              <w:autoSpaceDN w:val="0"/>
              <w:adjustRightInd w:val="0"/>
              <w:rPr>
                <w:rFonts w:eastAsiaTheme="minorEastAsia" w:cstheme="majorHAnsi"/>
                <w:color w:val="000000"/>
                <w:szCs w:val="19"/>
                <w:lang w:eastAsia="en-AU"/>
              </w:rPr>
            </w:pPr>
            <w:r w:rsidRPr="001169FA">
              <w:rPr>
                <w:rFonts w:eastAsiaTheme="minorEastAsia" w:cstheme="majorHAnsi"/>
                <w:color w:val="000000"/>
                <w:szCs w:val="19"/>
                <w:lang w:eastAsia="en-AU"/>
              </w:rPr>
              <w:t xml:space="preserve">Add back: non-cash income and expenses (net) </w:t>
            </w:r>
            <w:r w:rsidRPr="001169FA">
              <w:rPr>
                <w:rFonts w:eastAsiaTheme="minorEastAsia" w:cstheme="majorHAnsi"/>
                <w:color w:val="000000"/>
                <w:szCs w:val="19"/>
                <w:vertAlign w:val="superscript"/>
                <w:lang w:eastAsia="en-AU"/>
              </w:rPr>
              <w:t>(b)</w:t>
            </w:r>
          </w:p>
        </w:tc>
        <w:tc>
          <w:tcPr>
            <w:tcW w:w="850" w:type="dxa"/>
            <w:tcBorders>
              <w:top w:val="nil"/>
              <w:left w:val="nil"/>
              <w:bottom w:val="single" w:sz="6" w:space="0" w:color="auto"/>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6 735</w:t>
            </w:r>
          </w:p>
        </w:tc>
        <w:tc>
          <w:tcPr>
            <w:tcW w:w="850" w:type="dxa"/>
            <w:tcBorders>
              <w:top w:val="nil"/>
              <w:left w:val="nil"/>
              <w:bottom w:val="single" w:sz="6" w:space="0" w:color="auto"/>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3 394</w:t>
            </w:r>
          </w:p>
        </w:tc>
        <w:tc>
          <w:tcPr>
            <w:tcW w:w="850" w:type="dxa"/>
            <w:tcBorders>
              <w:top w:val="nil"/>
              <w:left w:val="nil"/>
              <w:bottom w:val="single" w:sz="6" w:space="0" w:color="auto"/>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3 314</w:t>
            </w:r>
          </w:p>
        </w:tc>
        <w:tc>
          <w:tcPr>
            <w:tcW w:w="850" w:type="dxa"/>
            <w:tcBorders>
              <w:top w:val="nil"/>
              <w:left w:val="nil"/>
              <w:bottom w:val="single" w:sz="6" w:space="0" w:color="auto"/>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4 248</w:t>
            </w:r>
          </w:p>
        </w:tc>
      </w:tr>
      <w:tr w:rsidR="004B6846" w:rsidRPr="001169FA"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1169FA" w:rsidRDefault="004B6846" w:rsidP="00CC0EB7">
            <w:pPr>
              <w:keepLines w:val="0"/>
              <w:autoSpaceDE w:val="0"/>
              <w:autoSpaceDN w:val="0"/>
              <w:adjustRightInd w:val="0"/>
              <w:rPr>
                <w:rFonts w:eastAsiaTheme="minorEastAsia" w:cstheme="majorHAnsi"/>
                <w:b/>
                <w:bCs/>
                <w:color w:val="000000"/>
                <w:szCs w:val="19"/>
                <w:lang w:eastAsia="en-AU"/>
              </w:rPr>
            </w:pPr>
            <w:r w:rsidRPr="001169FA">
              <w:rPr>
                <w:rFonts w:eastAsiaTheme="minorEastAsia" w:cstheme="majorHAnsi"/>
                <w:b/>
                <w:bCs/>
                <w:color w:val="000000"/>
                <w:szCs w:val="19"/>
                <w:lang w:eastAsia="en-AU"/>
              </w:rPr>
              <w:t>Net cash flow from operating activities</w:t>
            </w:r>
          </w:p>
        </w:tc>
        <w:tc>
          <w:tcPr>
            <w:tcW w:w="850" w:type="dxa"/>
            <w:tcBorders>
              <w:top w:val="nil"/>
              <w:left w:val="nil"/>
              <w:bottom w:val="nil"/>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1169FA">
              <w:rPr>
                <w:rFonts w:eastAsiaTheme="minorEastAsia" w:cstheme="majorHAnsi"/>
                <w:b/>
                <w:bCs/>
                <w:color w:val="000000"/>
                <w:szCs w:val="19"/>
                <w:lang w:eastAsia="en-AU"/>
              </w:rPr>
              <w:t>8 230</w:t>
            </w:r>
          </w:p>
        </w:tc>
        <w:tc>
          <w:tcPr>
            <w:tcW w:w="850" w:type="dxa"/>
            <w:tcBorders>
              <w:top w:val="nil"/>
              <w:left w:val="nil"/>
              <w:bottom w:val="nil"/>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1169FA">
              <w:rPr>
                <w:rFonts w:eastAsiaTheme="minorEastAsia" w:cstheme="majorHAnsi"/>
                <w:b/>
                <w:bCs/>
                <w:color w:val="000000"/>
                <w:szCs w:val="19"/>
                <w:lang w:eastAsia="en-AU"/>
              </w:rPr>
              <w:t>4 514</w:t>
            </w:r>
          </w:p>
        </w:tc>
        <w:tc>
          <w:tcPr>
            <w:tcW w:w="850" w:type="dxa"/>
            <w:tcBorders>
              <w:top w:val="nil"/>
              <w:left w:val="nil"/>
              <w:bottom w:val="nil"/>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1169FA">
              <w:rPr>
                <w:rFonts w:eastAsiaTheme="minorEastAsia" w:cstheme="majorHAnsi"/>
                <w:b/>
                <w:bCs/>
                <w:color w:val="000000"/>
                <w:szCs w:val="19"/>
                <w:lang w:eastAsia="en-AU"/>
              </w:rPr>
              <w:t>5 218</w:t>
            </w:r>
          </w:p>
        </w:tc>
        <w:tc>
          <w:tcPr>
            <w:tcW w:w="850" w:type="dxa"/>
            <w:tcBorders>
              <w:top w:val="nil"/>
              <w:left w:val="nil"/>
              <w:bottom w:val="nil"/>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1169FA">
              <w:rPr>
                <w:rFonts w:eastAsiaTheme="minorEastAsia" w:cstheme="majorHAnsi"/>
                <w:b/>
                <w:bCs/>
                <w:color w:val="000000"/>
                <w:szCs w:val="19"/>
                <w:lang w:eastAsia="en-AU"/>
              </w:rPr>
              <w:t>6 392</w:t>
            </w:r>
          </w:p>
        </w:tc>
      </w:tr>
      <w:tr w:rsidR="004B6846" w:rsidRPr="001169FA"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4" w:space="0" w:color="auto"/>
              <w:right w:val="nil"/>
            </w:tcBorders>
          </w:tcPr>
          <w:p w:rsidR="004B6846" w:rsidRPr="001169FA" w:rsidRDefault="004B6846" w:rsidP="00CC0EB7">
            <w:pPr>
              <w:keepLines w:val="0"/>
              <w:autoSpaceDE w:val="0"/>
              <w:autoSpaceDN w:val="0"/>
              <w:adjustRightInd w:val="0"/>
              <w:rPr>
                <w:b/>
              </w:rPr>
            </w:pPr>
            <w:r w:rsidRPr="001169FA">
              <w:rPr>
                <w:rFonts w:eastAsiaTheme="minorEastAsia" w:cstheme="majorHAnsi"/>
                <w:b/>
                <w:color w:val="000000"/>
                <w:szCs w:val="19"/>
                <w:lang w:eastAsia="en-AU"/>
              </w:rPr>
              <w:t>Total net</w:t>
            </w:r>
            <w:r w:rsidRPr="001169FA">
              <w:rPr>
                <w:b/>
              </w:rPr>
              <w:t xml:space="preserve"> investment in fixed assets </w:t>
            </w:r>
            <w:r w:rsidRPr="00FA7528">
              <w:rPr>
                <w:b/>
                <w:vertAlign w:val="superscript"/>
              </w:rPr>
              <w:t>(c)</w:t>
            </w:r>
          </w:p>
        </w:tc>
        <w:tc>
          <w:tcPr>
            <w:tcW w:w="850" w:type="dxa"/>
            <w:tcBorders>
              <w:top w:val="nil"/>
              <w:left w:val="nil"/>
              <w:bottom w:val="single" w:sz="4" w:space="0" w:color="auto"/>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b/>
              </w:rPr>
            </w:pPr>
            <w:r w:rsidRPr="001169FA">
              <w:rPr>
                <w:rFonts w:eastAsiaTheme="minorEastAsia" w:cstheme="majorHAnsi"/>
                <w:b/>
                <w:color w:val="000000"/>
                <w:szCs w:val="19"/>
                <w:lang w:eastAsia="en-AU"/>
              </w:rPr>
              <w:t xml:space="preserve">12 </w:t>
            </w:r>
            <w:r w:rsidRPr="001169FA">
              <w:rPr>
                <w:b/>
              </w:rPr>
              <w:t>085</w:t>
            </w:r>
          </w:p>
        </w:tc>
        <w:tc>
          <w:tcPr>
            <w:tcW w:w="850" w:type="dxa"/>
            <w:tcBorders>
              <w:top w:val="nil"/>
              <w:left w:val="nil"/>
              <w:bottom w:val="single" w:sz="4" w:space="0" w:color="auto"/>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b/>
              </w:rPr>
            </w:pPr>
            <w:r w:rsidRPr="001169FA">
              <w:rPr>
                <w:rFonts w:eastAsiaTheme="minorEastAsia" w:cstheme="majorHAnsi"/>
                <w:b/>
                <w:color w:val="000000"/>
                <w:szCs w:val="19"/>
                <w:lang w:eastAsia="en-AU"/>
              </w:rPr>
              <w:t xml:space="preserve">9 </w:t>
            </w:r>
            <w:r w:rsidRPr="001169FA">
              <w:rPr>
                <w:b/>
              </w:rPr>
              <w:t>459</w:t>
            </w:r>
          </w:p>
        </w:tc>
        <w:tc>
          <w:tcPr>
            <w:tcW w:w="850" w:type="dxa"/>
            <w:tcBorders>
              <w:top w:val="nil"/>
              <w:left w:val="nil"/>
              <w:bottom w:val="single" w:sz="4" w:space="0" w:color="auto"/>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b/>
              </w:rPr>
            </w:pPr>
            <w:r w:rsidRPr="001169FA">
              <w:rPr>
                <w:rFonts w:eastAsiaTheme="minorEastAsia" w:cstheme="majorHAnsi"/>
                <w:b/>
                <w:color w:val="000000"/>
                <w:szCs w:val="19"/>
                <w:lang w:eastAsia="en-AU"/>
              </w:rPr>
              <w:t xml:space="preserve">7 </w:t>
            </w:r>
            <w:r w:rsidRPr="001169FA">
              <w:rPr>
                <w:b/>
              </w:rPr>
              <w:t>718</w:t>
            </w:r>
          </w:p>
        </w:tc>
        <w:tc>
          <w:tcPr>
            <w:tcW w:w="850" w:type="dxa"/>
            <w:tcBorders>
              <w:top w:val="nil"/>
              <w:left w:val="nil"/>
              <w:bottom w:val="single" w:sz="4" w:space="0" w:color="auto"/>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b/>
              </w:rPr>
            </w:pPr>
            <w:r w:rsidRPr="001169FA">
              <w:rPr>
                <w:rFonts w:eastAsiaTheme="minorEastAsia" w:cstheme="majorHAnsi"/>
                <w:b/>
                <w:color w:val="000000"/>
                <w:szCs w:val="19"/>
                <w:lang w:eastAsia="en-AU"/>
              </w:rPr>
              <w:t xml:space="preserve">7 </w:t>
            </w:r>
            <w:r w:rsidRPr="001169FA">
              <w:rPr>
                <w:b/>
              </w:rPr>
              <w:t>730</w:t>
            </w:r>
          </w:p>
        </w:tc>
      </w:tr>
      <w:tr w:rsidR="004B6846" w:rsidRPr="001169FA" w:rsidTr="00FA7528">
        <w:tc>
          <w:tcPr>
            <w:cnfStyle w:val="001000000000" w:firstRow="0" w:lastRow="0" w:firstColumn="1" w:lastColumn="0" w:oddVBand="0" w:evenVBand="0" w:oddHBand="0" w:evenHBand="0" w:firstRowFirstColumn="0" w:firstRowLastColumn="0" w:lastRowFirstColumn="0" w:lastRowLastColumn="0"/>
            <w:tcW w:w="4365" w:type="dxa"/>
            <w:tcBorders>
              <w:top w:val="single" w:sz="4" w:space="0" w:color="auto"/>
              <w:left w:val="nil"/>
              <w:bottom w:val="nil"/>
              <w:right w:val="nil"/>
            </w:tcBorders>
          </w:tcPr>
          <w:p w:rsidR="004B6846" w:rsidRPr="001169FA" w:rsidRDefault="004B6846" w:rsidP="00CC0EB7">
            <w:pPr>
              <w:keepLines w:val="0"/>
              <w:autoSpaceDE w:val="0"/>
              <w:autoSpaceDN w:val="0"/>
              <w:adjustRightInd w:val="0"/>
              <w:rPr>
                <w:b/>
              </w:rPr>
            </w:pPr>
            <w:r w:rsidRPr="001169FA">
              <w:rPr>
                <w:rFonts w:eastAsiaTheme="minorEastAsia" w:cstheme="majorHAnsi"/>
                <w:b/>
                <w:color w:val="000000"/>
                <w:szCs w:val="19"/>
                <w:lang w:eastAsia="en-AU"/>
              </w:rPr>
              <w:t xml:space="preserve">Surplus/(deficit) of cash from operations after </w:t>
            </w:r>
            <w:r w:rsidRPr="001169FA">
              <w:rPr>
                <w:b/>
              </w:rPr>
              <w:t xml:space="preserve">funding </w:t>
            </w:r>
            <w:r w:rsidR="00FA7528">
              <w:rPr>
                <w:b/>
              </w:rPr>
              <w:br/>
            </w:r>
            <w:r w:rsidRPr="001169FA">
              <w:rPr>
                <w:b/>
              </w:rPr>
              <w:t>net investments in fixed assets</w:t>
            </w:r>
          </w:p>
        </w:tc>
        <w:tc>
          <w:tcPr>
            <w:tcW w:w="850" w:type="dxa"/>
            <w:tcBorders>
              <w:top w:val="single" w:sz="4" w:space="0" w:color="auto"/>
              <w:left w:val="nil"/>
              <w:bottom w:val="nil"/>
              <w:right w:val="nil"/>
            </w:tcBorders>
          </w:tcPr>
          <w:p w:rsidR="004B6846" w:rsidRPr="001169FA" w:rsidRDefault="00FA7528"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b/>
              </w:rPr>
            </w:pPr>
            <w:r>
              <w:rPr>
                <w:rFonts w:eastAsiaTheme="minorEastAsia" w:cstheme="majorHAnsi"/>
                <w:b/>
                <w:color w:val="000000"/>
                <w:szCs w:val="19"/>
                <w:lang w:eastAsia="en-AU"/>
              </w:rPr>
              <w:t>(3 855)</w:t>
            </w:r>
          </w:p>
        </w:tc>
        <w:tc>
          <w:tcPr>
            <w:tcW w:w="850" w:type="dxa"/>
            <w:tcBorders>
              <w:top w:val="single" w:sz="4" w:space="0" w:color="auto"/>
              <w:left w:val="nil"/>
              <w:bottom w:val="nil"/>
              <w:right w:val="nil"/>
            </w:tcBorders>
          </w:tcPr>
          <w:p w:rsidR="004B6846" w:rsidRPr="001169FA" w:rsidRDefault="00FA7528"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b/>
              </w:rPr>
            </w:pPr>
            <w:r>
              <w:rPr>
                <w:rFonts w:eastAsiaTheme="minorEastAsia" w:cstheme="majorHAnsi"/>
                <w:b/>
                <w:color w:val="000000"/>
                <w:szCs w:val="19"/>
                <w:lang w:eastAsia="en-AU"/>
              </w:rPr>
              <w:t>(4 945)</w:t>
            </w:r>
          </w:p>
        </w:tc>
        <w:tc>
          <w:tcPr>
            <w:tcW w:w="850" w:type="dxa"/>
            <w:tcBorders>
              <w:top w:val="single" w:sz="4" w:space="0" w:color="auto"/>
              <w:left w:val="nil"/>
              <w:bottom w:val="nil"/>
              <w:right w:val="nil"/>
            </w:tcBorders>
          </w:tcPr>
          <w:p w:rsidR="004B6846" w:rsidRPr="001169FA" w:rsidRDefault="00FA7528"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b/>
              </w:rPr>
            </w:pPr>
            <w:r>
              <w:rPr>
                <w:rFonts w:eastAsiaTheme="minorEastAsia" w:cstheme="majorHAnsi"/>
                <w:b/>
                <w:color w:val="000000"/>
                <w:szCs w:val="19"/>
                <w:lang w:eastAsia="en-AU"/>
              </w:rPr>
              <w:t>(2 500)</w:t>
            </w:r>
          </w:p>
        </w:tc>
        <w:tc>
          <w:tcPr>
            <w:tcW w:w="850" w:type="dxa"/>
            <w:tcBorders>
              <w:top w:val="single" w:sz="4" w:space="0" w:color="auto"/>
              <w:left w:val="nil"/>
              <w:bottom w:val="nil"/>
              <w:right w:val="nil"/>
            </w:tcBorders>
          </w:tcPr>
          <w:p w:rsidR="004B6846" w:rsidRPr="001169FA" w:rsidRDefault="00FA7528"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b/>
              </w:rPr>
            </w:pPr>
            <w:r>
              <w:rPr>
                <w:rFonts w:eastAsiaTheme="minorEastAsia" w:cstheme="majorHAnsi"/>
                <w:b/>
                <w:color w:val="000000"/>
                <w:szCs w:val="19"/>
                <w:lang w:eastAsia="en-AU"/>
              </w:rPr>
              <w:t>(1 337)</w:t>
            </w:r>
          </w:p>
        </w:tc>
      </w:tr>
      <w:tr w:rsidR="004B6846" w:rsidRPr="001169FA"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1169FA" w:rsidRDefault="004B6846" w:rsidP="00CC0EB7">
            <w:pPr>
              <w:keepLines w:val="0"/>
              <w:autoSpaceDE w:val="0"/>
              <w:autoSpaceDN w:val="0"/>
              <w:adjustRightInd w:val="0"/>
              <w:rPr>
                <w:rFonts w:eastAsiaTheme="minorEastAsia" w:cstheme="majorHAnsi"/>
                <w:color w:val="000000"/>
                <w:szCs w:val="19"/>
                <w:lang w:eastAsia="en-AU"/>
              </w:rPr>
            </w:pPr>
            <w:r w:rsidRPr="001169FA">
              <w:rPr>
                <w:rFonts w:eastAsiaTheme="minorEastAsia" w:cstheme="majorHAnsi"/>
                <w:color w:val="000000"/>
                <w:szCs w:val="19"/>
                <w:lang w:eastAsia="en-AU"/>
              </w:rPr>
              <w:t xml:space="preserve">Finance leases </w:t>
            </w:r>
            <w:r w:rsidRPr="00FA7528">
              <w:rPr>
                <w:rFonts w:eastAsiaTheme="minorEastAsia" w:cstheme="majorHAnsi"/>
                <w:color w:val="000000"/>
                <w:szCs w:val="19"/>
                <w:vertAlign w:val="superscript"/>
                <w:lang w:eastAsia="en-AU"/>
              </w:rPr>
              <w:t>(d)</w:t>
            </w:r>
          </w:p>
        </w:tc>
        <w:tc>
          <w:tcPr>
            <w:tcW w:w="850" w:type="dxa"/>
            <w:tcBorders>
              <w:top w:val="nil"/>
              <w:left w:val="nil"/>
              <w:bottom w:val="nil"/>
              <w:right w:val="nil"/>
            </w:tcBorders>
          </w:tcPr>
          <w:p w:rsidR="004B6846" w:rsidRPr="001169FA" w:rsidRDefault="00FA7528"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451</w:t>
            </w:r>
          </w:p>
        </w:tc>
        <w:tc>
          <w:tcPr>
            <w:tcW w:w="850" w:type="dxa"/>
            <w:tcBorders>
              <w:top w:val="nil"/>
              <w:left w:val="nil"/>
              <w:bottom w:val="nil"/>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1 034</w:t>
            </w:r>
          </w:p>
        </w:tc>
        <w:tc>
          <w:tcPr>
            <w:tcW w:w="850" w:type="dxa"/>
            <w:tcBorders>
              <w:top w:val="nil"/>
              <w:left w:val="nil"/>
              <w:bottom w:val="nil"/>
              <w:right w:val="nil"/>
            </w:tcBorders>
          </w:tcPr>
          <w:p w:rsidR="004B6846" w:rsidRPr="001169FA" w:rsidRDefault="00FA7528"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Pr>
                <w:rFonts w:eastAsiaTheme="minorEastAsia" w:cstheme="majorHAnsi"/>
                <w:color w:val="000000"/>
                <w:szCs w:val="19"/>
                <w:lang w:eastAsia="en-AU"/>
              </w:rPr>
              <w:t>526</w:t>
            </w:r>
          </w:p>
        </w:tc>
        <w:tc>
          <w:tcPr>
            <w:tcW w:w="850" w:type="dxa"/>
            <w:tcBorders>
              <w:top w:val="nil"/>
              <w:left w:val="nil"/>
              <w:bottom w:val="nil"/>
              <w:right w:val="nil"/>
            </w:tcBorders>
          </w:tcPr>
          <w:p w:rsidR="004B6846" w:rsidRPr="001169FA" w:rsidRDefault="00FA7528"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448</w:t>
            </w:r>
          </w:p>
        </w:tc>
      </w:tr>
      <w:tr w:rsidR="004B6846" w:rsidRPr="001169FA" w:rsidTr="00FA7528">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4B6846" w:rsidRPr="001169FA" w:rsidRDefault="004B6846" w:rsidP="00CC0EB7">
            <w:pPr>
              <w:keepLines w:val="0"/>
              <w:autoSpaceDE w:val="0"/>
              <w:autoSpaceDN w:val="0"/>
              <w:adjustRightInd w:val="0"/>
              <w:rPr>
                <w:rFonts w:eastAsiaTheme="minorEastAsia" w:cstheme="majorHAnsi"/>
                <w:bCs/>
                <w:color w:val="000000"/>
                <w:szCs w:val="19"/>
                <w:lang w:eastAsia="en-AU"/>
              </w:rPr>
            </w:pPr>
            <w:r w:rsidRPr="001169FA">
              <w:rPr>
                <w:rFonts w:eastAsiaTheme="minorEastAsia" w:cstheme="majorHAnsi"/>
                <w:bCs/>
                <w:color w:val="000000"/>
                <w:szCs w:val="19"/>
                <w:lang w:eastAsia="en-AU"/>
              </w:rPr>
              <w:t>Other movements</w:t>
            </w:r>
          </w:p>
        </w:tc>
        <w:tc>
          <w:tcPr>
            <w:tcW w:w="850" w:type="dxa"/>
            <w:tcBorders>
              <w:top w:val="nil"/>
              <w:left w:val="nil"/>
              <w:bottom w:val="single" w:sz="6" w:space="0" w:color="auto"/>
              <w:right w:val="nil"/>
            </w:tcBorders>
          </w:tcPr>
          <w:p w:rsidR="004B6846" w:rsidRPr="001169FA" w:rsidRDefault="00FA7528"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Cs/>
                <w:color w:val="000000"/>
                <w:szCs w:val="19"/>
                <w:lang w:eastAsia="en-AU"/>
              </w:rPr>
              <w:t>(143)</w:t>
            </w:r>
          </w:p>
        </w:tc>
        <w:tc>
          <w:tcPr>
            <w:tcW w:w="850" w:type="dxa"/>
            <w:tcBorders>
              <w:top w:val="nil"/>
              <w:left w:val="nil"/>
              <w:bottom w:val="single" w:sz="6" w:space="0" w:color="auto"/>
              <w:right w:val="nil"/>
            </w:tcBorders>
          </w:tcPr>
          <w:p w:rsidR="004B6846" w:rsidRPr="001169FA" w:rsidRDefault="00FA7528"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Cs w:val="19"/>
                <w:lang w:eastAsia="en-AU"/>
              </w:rPr>
            </w:pPr>
            <w:r>
              <w:rPr>
                <w:rFonts w:eastAsiaTheme="minorEastAsia" w:cstheme="majorHAnsi"/>
                <w:bCs/>
                <w:color w:val="000000"/>
                <w:szCs w:val="19"/>
                <w:lang w:eastAsia="en-AU"/>
              </w:rPr>
              <w:t>107</w:t>
            </w:r>
          </w:p>
        </w:tc>
        <w:tc>
          <w:tcPr>
            <w:tcW w:w="850" w:type="dxa"/>
            <w:tcBorders>
              <w:top w:val="nil"/>
              <w:left w:val="nil"/>
              <w:bottom w:val="single" w:sz="6" w:space="0" w:color="auto"/>
              <w:right w:val="nil"/>
            </w:tcBorders>
          </w:tcPr>
          <w:p w:rsidR="004B6846" w:rsidRPr="001169FA" w:rsidRDefault="00FA7528"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Cs/>
                <w:color w:val="000000"/>
                <w:szCs w:val="19"/>
                <w:lang w:eastAsia="en-AU"/>
              </w:rPr>
              <w:t>(6)</w:t>
            </w:r>
          </w:p>
        </w:tc>
        <w:tc>
          <w:tcPr>
            <w:tcW w:w="850" w:type="dxa"/>
            <w:tcBorders>
              <w:top w:val="nil"/>
              <w:left w:val="nil"/>
              <w:bottom w:val="single" w:sz="6" w:space="0" w:color="auto"/>
              <w:right w:val="nil"/>
            </w:tcBorders>
          </w:tcPr>
          <w:p w:rsidR="004B6846" w:rsidRPr="001169FA" w:rsidRDefault="00FA7528"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Cs/>
                <w:color w:val="000000"/>
                <w:szCs w:val="19"/>
                <w:lang w:eastAsia="en-AU"/>
              </w:rPr>
              <w:t>(71)</w:t>
            </w:r>
          </w:p>
        </w:tc>
      </w:tr>
      <w:tr w:rsidR="004B6846" w:rsidRPr="001169FA" w:rsidTr="00FA7528">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4B6846" w:rsidRPr="001169FA" w:rsidRDefault="004B6846" w:rsidP="00CC0EB7">
            <w:pPr>
              <w:keepLines w:val="0"/>
              <w:autoSpaceDE w:val="0"/>
              <w:autoSpaceDN w:val="0"/>
              <w:adjustRightInd w:val="0"/>
              <w:rPr>
                <w:rFonts w:eastAsiaTheme="minorEastAsia" w:cstheme="majorHAnsi"/>
                <w:b/>
                <w:bCs/>
                <w:color w:val="000000"/>
                <w:szCs w:val="19"/>
                <w:lang w:eastAsia="en-AU"/>
              </w:rPr>
            </w:pPr>
            <w:r w:rsidRPr="001169FA">
              <w:rPr>
                <w:rFonts w:eastAsiaTheme="minorEastAsia" w:cstheme="majorHAnsi"/>
                <w:b/>
                <w:bCs/>
                <w:color w:val="000000"/>
                <w:szCs w:val="19"/>
                <w:lang w:eastAsia="en-AU"/>
              </w:rPr>
              <w:t>Decrease/(increase) in net debt</w:t>
            </w:r>
          </w:p>
        </w:tc>
        <w:tc>
          <w:tcPr>
            <w:tcW w:w="850" w:type="dxa"/>
            <w:tcBorders>
              <w:top w:val="single" w:sz="6" w:space="0" w:color="auto"/>
              <w:left w:val="nil"/>
              <w:bottom w:val="single" w:sz="6" w:space="0" w:color="auto"/>
              <w:right w:val="nil"/>
            </w:tcBorders>
          </w:tcPr>
          <w:p w:rsidR="004B6846" w:rsidRPr="001169FA" w:rsidRDefault="00FA7528"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9"/>
                <w:lang w:eastAsia="en-AU"/>
              </w:rPr>
              <w:t>(4 164)</w:t>
            </w:r>
          </w:p>
        </w:tc>
        <w:tc>
          <w:tcPr>
            <w:tcW w:w="850" w:type="dxa"/>
            <w:tcBorders>
              <w:top w:val="single" w:sz="6" w:space="0" w:color="auto"/>
              <w:left w:val="nil"/>
              <w:bottom w:val="single" w:sz="6" w:space="0" w:color="auto"/>
              <w:right w:val="nil"/>
            </w:tcBorders>
          </w:tcPr>
          <w:p w:rsidR="004B6846" w:rsidRPr="001169FA" w:rsidRDefault="00FA7528"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9"/>
                <w:lang w:eastAsia="en-AU"/>
              </w:rPr>
              <w:t>(6 086)</w:t>
            </w:r>
          </w:p>
        </w:tc>
        <w:tc>
          <w:tcPr>
            <w:tcW w:w="850" w:type="dxa"/>
            <w:tcBorders>
              <w:top w:val="single" w:sz="6" w:space="0" w:color="auto"/>
              <w:left w:val="nil"/>
              <w:bottom w:val="single" w:sz="6" w:space="0" w:color="auto"/>
              <w:right w:val="nil"/>
            </w:tcBorders>
          </w:tcPr>
          <w:p w:rsidR="004B6846" w:rsidRPr="001169FA" w:rsidRDefault="00FA7528"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9"/>
                <w:lang w:eastAsia="en-AU"/>
              </w:rPr>
              <w:t>(3 020)</w:t>
            </w:r>
          </w:p>
        </w:tc>
        <w:tc>
          <w:tcPr>
            <w:tcW w:w="850" w:type="dxa"/>
            <w:tcBorders>
              <w:top w:val="single" w:sz="6" w:space="0" w:color="auto"/>
              <w:left w:val="nil"/>
              <w:bottom w:val="single" w:sz="6" w:space="0" w:color="auto"/>
              <w:right w:val="nil"/>
            </w:tcBorders>
          </w:tcPr>
          <w:p w:rsidR="004B6846" w:rsidRPr="001169FA" w:rsidRDefault="00FA7528"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9"/>
                <w:lang w:eastAsia="en-AU"/>
              </w:rPr>
              <w:t>(1 715)</w:t>
            </w:r>
          </w:p>
        </w:tc>
      </w:tr>
    </w:tbl>
    <w:p w:rsidR="004B6846" w:rsidRDefault="004B6846" w:rsidP="00CC0EB7">
      <w:pPr>
        <w:pStyle w:val="Source"/>
      </w:pPr>
      <w:r>
        <w:t>Source: Department of Treasury and Finance</w:t>
      </w:r>
    </w:p>
    <w:p w:rsidR="004B6846" w:rsidRDefault="004B6846" w:rsidP="00CC0EB7">
      <w:pPr>
        <w:pStyle w:val="Note"/>
      </w:pPr>
      <w:r>
        <w:t>Notes:</w:t>
      </w:r>
    </w:p>
    <w:p w:rsidR="004B6846" w:rsidRDefault="004B6846" w:rsidP="00CC0EB7">
      <w:pPr>
        <w:pStyle w:val="Note"/>
      </w:pPr>
      <w:r>
        <w:t>(a)</w:t>
      </w:r>
      <w:r>
        <w:tab/>
        <w:t xml:space="preserve">Figures in this table are subject to rounding to the nearest million and may not add up to totals. </w:t>
      </w:r>
    </w:p>
    <w:p w:rsidR="004B6846" w:rsidRDefault="004B6846" w:rsidP="00CC0EB7">
      <w:pPr>
        <w:pStyle w:val="Note"/>
      </w:pPr>
      <w:r>
        <w:t>(b)</w:t>
      </w:r>
      <w:r>
        <w:tab/>
        <w:t>Includes depreciation, prepayments and movements in the unfunded superannuation liability and liability for employee benefits, as well as operating cash flows not required to be recognised in the operating statement for the respective year.</w:t>
      </w:r>
    </w:p>
    <w:p w:rsidR="004B6846" w:rsidRDefault="004B6846" w:rsidP="00CC0EB7">
      <w:pPr>
        <w:pStyle w:val="Note"/>
      </w:pPr>
      <w:r>
        <w:t>(c)</w:t>
      </w:r>
      <w:r>
        <w:tab/>
      </w:r>
      <w:r w:rsidRPr="00AA50E5">
        <w:t xml:space="preserve">Includes total purchases of plant, property and equipment, and net capital contributions to other sectors of government net of proceeds from asset recycling. </w:t>
      </w:r>
    </w:p>
    <w:p w:rsidR="004B6846" w:rsidRDefault="004B6846" w:rsidP="00CC0EB7">
      <w:pPr>
        <w:pStyle w:val="Note"/>
      </w:pPr>
      <w:r>
        <w:t>(d)</w:t>
      </w:r>
      <w:r>
        <w:tab/>
      </w:r>
      <w:r w:rsidRPr="00824F5E">
        <w:t>The finance lease acquisitions relate to Bendigo Hospital – Stage 2, the High Capacity Metro Trains Project, the Western Roads Upgrade, the Casey Hospital Expansion, the Northern Roads Upgrade and the South Eastern Roads Upgrade.</w:t>
      </w:r>
    </w:p>
    <w:p w:rsidR="004B6846" w:rsidRDefault="004B6846">
      <w:pPr>
        <w:keepLines w:val="0"/>
      </w:pPr>
      <w:r>
        <w:br w:type="page"/>
      </w:r>
    </w:p>
    <w:p w:rsidR="004B6846" w:rsidRDefault="004B6846" w:rsidP="00CC0EB7">
      <w:r>
        <w:lastRenderedPageBreak/>
        <w:t>The NFPS is projected to invest a total of $42</w:t>
      </w:r>
      <w:r w:rsidRPr="006A7C8A">
        <w:t> billion</w:t>
      </w:r>
      <w:r>
        <w:t xml:space="preserve"> in </w:t>
      </w:r>
      <w:r w:rsidRPr="006A7C8A">
        <w:t>non</w:t>
      </w:r>
      <w:r w:rsidRPr="006A7C8A">
        <w:noBreakHyphen/>
      </w:r>
      <w:r>
        <w:t>financial assets over the budget and forward estimates. The key infrastructure projects under development include:</w:t>
      </w:r>
    </w:p>
    <w:p w:rsidR="004B6846" w:rsidRDefault="004B6846" w:rsidP="00393CA4">
      <w:pPr>
        <w:pStyle w:val="ListBullet"/>
      </w:pPr>
      <w:r w:rsidRPr="00653CAF">
        <w:t xml:space="preserve">investment in transport infrastructure to meet patronage growth and improve network performance. This includes investment in the regional and metropolitan rail networks. Key regional rail investments include the Regional Rail Revival program and additional VLocity carriages. Metropolitan rail investments include the Cranbourne-Pakenham and Sunbury line upgrades as well as a range of other metropolitan rail infrastructure improvement </w:t>
      </w:r>
      <w:r w:rsidRPr="005F2420">
        <w:t>projects;</w:t>
      </w:r>
    </w:p>
    <w:p w:rsidR="004B6846" w:rsidRDefault="004B6846" w:rsidP="00393CA4">
      <w:pPr>
        <w:pStyle w:val="ListBullet"/>
      </w:pPr>
      <w:r w:rsidRPr="0049064B">
        <w:t>upgrading and renewal of water and sewer assets by the Melbourne metropolitan water corporations, including an increase in the capacity of the Western Treatment Plant (Melbourne Water Corporation), the Epping Main Sewer and Craigieburn Sewer Transfer Hub (Yarra Valley Water), the Boneo Water Recycling Plant (South East Water), and the West Werribee Dual Water Supply Project (City West Water); and</w:t>
      </w:r>
    </w:p>
    <w:p w:rsidR="004B6846" w:rsidRPr="00735C01" w:rsidRDefault="004B6846" w:rsidP="00393CA4">
      <w:pPr>
        <w:pStyle w:val="ListBullet"/>
      </w:pPr>
      <w:r w:rsidRPr="0049064B">
        <w:t>upgrading and renewal of water and sewer assets in regional Victoria, including Goulburn-Murray Water</w:t>
      </w:r>
      <w:r>
        <w:t>’</w:t>
      </w:r>
      <w:r w:rsidRPr="0049064B">
        <w:t xml:space="preserve">s Connections Project, which will connect irrigators to a modernised main system of irrigation channels, and the modernisation of various irrigation </w:t>
      </w:r>
      <w:r>
        <w:t xml:space="preserve">systems by Southern Rural Water, </w:t>
      </w:r>
      <w:r w:rsidRPr="00E23508">
        <w:t>and the South West Loddon and East Grampians rural water supply pipeline extension projects by Grampians Wimmera Mallee Water.</w:t>
      </w:r>
    </w:p>
    <w:p w:rsidR="004B6846" w:rsidRDefault="004B6846">
      <w:pPr>
        <w:keepLines w:val="0"/>
        <w:rPr>
          <w:rFonts w:asciiTheme="majorHAnsi" w:eastAsiaTheme="majorEastAsia" w:hAnsiTheme="majorHAnsi" w:cstheme="majorBidi"/>
          <w:b/>
          <w:bCs/>
          <w:caps/>
          <w:spacing w:val="-2"/>
          <w:sz w:val="26"/>
          <w:szCs w:val="28"/>
        </w:rPr>
      </w:pPr>
      <w:r>
        <w:br w:type="page"/>
      </w:r>
    </w:p>
    <w:p w:rsidR="004B6846" w:rsidRDefault="004B6846" w:rsidP="00CC0EB7">
      <w:pPr>
        <w:pStyle w:val="Heading10"/>
      </w:pPr>
      <w:bookmarkStart w:id="26" w:name="_Toc531884953"/>
      <w:r w:rsidRPr="006A7C8A">
        <w:lastRenderedPageBreak/>
        <w:t>Non</w:t>
      </w:r>
      <w:r w:rsidRPr="006A7C8A">
        <w:noBreakHyphen/>
      </w:r>
      <w:r>
        <w:t>financial public sector net debt and net financial liabilities</w:t>
      </w:r>
      <w:bookmarkEnd w:id="26"/>
    </w:p>
    <w:p w:rsidR="004B6846" w:rsidRDefault="004B6846" w:rsidP="00CC0EB7">
      <w:r>
        <w:t>Table 3.7 details NFPS net debt and financial liabilities.</w:t>
      </w:r>
    </w:p>
    <w:p w:rsidR="004B6846" w:rsidRPr="00D57C63" w:rsidRDefault="004B6846" w:rsidP="00CC0EB7">
      <w:pPr>
        <w:pStyle w:val="TableHeading"/>
      </w:pPr>
      <w:r>
        <w:t>Table 3.7:</w:t>
      </w:r>
      <w:r>
        <w:tab/>
      </w:r>
      <w:r w:rsidRPr="006A7C8A">
        <w:t>Non</w:t>
      </w:r>
      <w:r w:rsidRPr="006A7C8A">
        <w:noBreakHyphen/>
      </w:r>
      <w:r>
        <w:t>financial public sector net debt and financial liabilities</w:t>
      </w:r>
      <w:r>
        <w:tab/>
        <w:t>($ billion)</w:t>
      </w:r>
    </w:p>
    <w:tbl>
      <w:tblPr>
        <w:tblStyle w:val="DTFTable"/>
        <w:tblW w:w="7711" w:type="dxa"/>
        <w:tblInd w:w="45" w:type="dxa"/>
        <w:tblLayout w:type="fixed"/>
        <w:tblCellMar>
          <w:left w:w="45" w:type="dxa"/>
          <w:right w:w="45" w:type="dxa"/>
        </w:tblCellMar>
        <w:tblLook w:val="06A0" w:firstRow="1" w:lastRow="0" w:firstColumn="1" w:lastColumn="0" w:noHBand="1" w:noVBand="1"/>
      </w:tblPr>
      <w:tblGrid>
        <w:gridCol w:w="4351"/>
        <w:gridCol w:w="861"/>
        <w:gridCol w:w="870"/>
        <w:gridCol w:w="824"/>
        <w:gridCol w:w="805"/>
      </w:tblGrid>
      <w:tr w:rsidR="00CC0EB7" w:rsidRPr="00D57C63" w:rsidTr="00FA7528">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253" w:type="dxa"/>
            <w:tcBorders>
              <w:top w:val="nil"/>
              <w:left w:val="nil"/>
              <w:right w:val="nil"/>
            </w:tcBorders>
            <w:shd w:val="solid" w:color="000000" w:fill="auto"/>
          </w:tcPr>
          <w:p w:rsidR="00CC0EB7" w:rsidRPr="00D57C63" w:rsidRDefault="00CC0EB7" w:rsidP="00CC0EB7">
            <w:pPr>
              <w:pStyle w:val="Source"/>
              <w:rPr>
                <w:rFonts w:eastAsiaTheme="minorEastAsia" w:cstheme="majorHAnsi"/>
                <w:i/>
                <w:iCs/>
                <w:color w:val="FFFFFF"/>
                <w:sz w:val="17"/>
                <w:szCs w:val="19"/>
                <w:lang w:eastAsia="en-AU"/>
              </w:rPr>
            </w:pPr>
            <w:r w:rsidRPr="00D57C63">
              <w:rPr>
                <w:rFonts w:eastAsiaTheme="minorEastAsia" w:cstheme="majorHAnsi"/>
                <w:i/>
                <w:iCs/>
                <w:color w:val="FFFFFF"/>
                <w:sz w:val="17"/>
                <w:szCs w:val="19"/>
                <w:lang w:eastAsia="en-AU"/>
              </w:rPr>
              <w:t xml:space="preserve"> </w:t>
            </w:r>
            <w:r w:rsidRPr="00D57C63">
              <w:rPr>
                <w:rFonts w:eastAsiaTheme="minorEastAsia" w:cstheme="majorHAnsi"/>
                <w:i/>
                <w:iCs/>
                <w:color w:val="FFFFFF"/>
                <w:szCs w:val="19"/>
                <w:lang w:eastAsia="en-AU"/>
              </w:rPr>
              <w:t xml:space="preserve"> </w:t>
            </w:r>
          </w:p>
        </w:tc>
        <w:tc>
          <w:tcPr>
            <w:tcW w:w="841" w:type="dxa"/>
            <w:tcBorders>
              <w:top w:val="nil"/>
              <w:left w:val="nil"/>
              <w:right w:val="nil"/>
            </w:tcBorders>
            <w:shd w:val="solid" w:color="000000" w:fill="auto"/>
          </w:tcPr>
          <w:p w:rsidR="00CC0EB7" w:rsidRPr="00D57C6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D57C63">
              <w:rPr>
                <w:rFonts w:eastAsiaTheme="minorEastAsia" w:cstheme="majorHAnsi"/>
                <w:iCs/>
                <w:color w:val="FFFFFF"/>
                <w:szCs w:val="19"/>
                <w:lang w:eastAsia="en-AU"/>
              </w:rPr>
              <w:t>2018-19</w:t>
            </w:r>
            <w:r>
              <w:rPr>
                <w:rFonts w:eastAsiaTheme="minorEastAsia" w:cstheme="majorHAnsi"/>
                <w:iCs/>
                <w:color w:val="FFFFFF"/>
                <w:szCs w:val="19"/>
                <w:lang w:eastAsia="en-AU"/>
              </w:rPr>
              <w:br/>
            </w:r>
            <w:r w:rsidRPr="00D57C63">
              <w:rPr>
                <w:rFonts w:eastAsiaTheme="minorEastAsia" w:cstheme="majorHAnsi"/>
                <w:iCs/>
                <w:color w:val="FFFFFF"/>
                <w:szCs w:val="19"/>
                <w:lang w:eastAsia="en-AU"/>
              </w:rPr>
              <w:t>revised</w:t>
            </w:r>
          </w:p>
        </w:tc>
        <w:tc>
          <w:tcPr>
            <w:tcW w:w="850" w:type="dxa"/>
            <w:tcBorders>
              <w:top w:val="nil"/>
              <w:left w:val="nil"/>
              <w:right w:val="nil"/>
            </w:tcBorders>
            <w:shd w:val="solid" w:color="000000" w:fill="auto"/>
          </w:tcPr>
          <w:p w:rsidR="00CC0EB7" w:rsidRPr="00D57C6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D57C63">
              <w:rPr>
                <w:rFonts w:eastAsiaTheme="minorEastAsia" w:cstheme="majorHAnsi"/>
                <w:iCs/>
                <w:color w:val="FFFFFF"/>
                <w:szCs w:val="19"/>
                <w:lang w:eastAsia="en-AU"/>
              </w:rPr>
              <w:t>2019-20</w:t>
            </w:r>
            <w:r>
              <w:rPr>
                <w:rFonts w:eastAsiaTheme="minorEastAsia" w:cstheme="majorHAnsi"/>
                <w:iCs/>
                <w:color w:val="FFFFFF"/>
                <w:szCs w:val="19"/>
                <w:lang w:eastAsia="en-AU"/>
              </w:rPr>
              <w:br/>
            </w:r>
            <w:r w:rsidRPr="00D57C63">
              <w:rPr>
                <w:rFonts w:eastAsiaTheme="minorEastAsia" w:cstheme="majorHAnsi"/>
                <w:iCs/>
                <w:color w:val="FFFFFF"/>
                <w:szCs w:val="19"/>
                <w:lang w:eastAsia="en-AU"/>
              </w:rPr>
              <w:t>estimate</w:t>
            </w:r>
          </w:p>
        </w:tc>
        <w:tc>
          <w:tcPr>
            <w:tcW w:w="805" w:type="dxa"/>
            <w:tcBorders>
              <w:top w:val="nil"/>
              <w:left w:val="nil"/>
              <w:right w:val="nil"/>
            </w:tcBorders>
            <w:shd w:val="solid" w:color="000000" w:fill="auto"/>
          </w:tcPr>
          <w:p w:rsidR="00CC0EB7" w:rsidRPr="00D57C6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D57C63">
              <w:rPr>
                <w:rFonts w:eastAsiaTheme="minorEastAsia" w:cstheme="majorHAnsi"/>
                <w:iCs/>
                <w:color w:val="FFFFFF"/>
                <w:szCs w:val="19"/>
                <w:lang w:eastAsia="en-AU"/>
              </w:rPr>
              <w:t>2020-21</w:t>
            </w:r>
            <w:r>
              <w:rPr>
                <w:rFonts w:eastAsiaTheme="minorEastAsia" w:cstheme="majorHAnsi"/>
                <w:iCs/>
                <w:color w:val="FFFFFF"/>
                <w:szCs w:val="19"/>
                <w:lang w:eastAsia="en-AU"/>
              </w:rPr>
              <w:br/>
            </w:r>
            <w:r w:rsidRPr="00D57C63">
              <w:rPr>
                <w:rFonts w:eastAsiaTheme="minorEastAsia" w:cstheme="majorHAnsi"/>
                <w:iCs/>
                <w:color w:val="FFFFFF"/>
                <w:szCs w:val="19"/>
                <w:lang w:eastAsia="en-AU"/>
              </w:rPr>
              <w:t>estimate</w:t>
            </w:r>
          </w:p>
        </w:tc>
        <w:tc>
          <w:tcPr>
            <w:tcW w:w="787" w:type="dxa"/>
            <w:tcBorders>
              <w:top w:val="nil"/>
              <w:left w:val="nil"/>
              <w:right w:val="nil"/>
            </w:tcBorders>
            <w:shd w:val="solid" w:color="000000" w:fill="auto"/>
          </w:tcPr>
          <w:p w:rsidR="00CC0EB7" w:rsidRPr="00D57C6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D57C63">
              <w:rPr>
                <w:rFonts w:eastAsiaTheme="minorEastAsia" w:cstheme="majorHAnsi"/>
                <w:iCs/>
                <w:color w:val="FFFFFF"/>
                <w:szCs w:val="19"/>
                <w:lang w:eastAsia="en-AU"/>
              </w:rPr>
              <w:t>2021-22</w:t>
            </w:r>
            <w:r>
              <w:rPr>
                <w:rFonts w:eastAsiaTheme="minorEastAsia" w:cstheme="majorHAnsi"/>
                <w:iCs/>
                <w:color w:val="FFFFFF"/>
                <w:szCs w:val="19"/>
                <w:lang w:eastAsia="en-AU"/>
              </w:rPr>
              <w:br/>
            </w:r>
            <w:r w:rsidRPr="00D57C63">
              <w:rPr>
                <w:rFonts w:eastAsiaTheme="minorEastAsia" w:cstheme="majorHAnsi"/>
                <w:iCs/>
                <w:color w:val="FFFFFF"/>
                <w:szCs w:val="19"/>
                <w:lang w:eastAsia="en-AU"/>
              </w:rPr>
              <w:t>estimate</w:t>
            </w:r>
          </w:p>
        </w:tc>
      </w:tr>
      <w:tr w:rsidR="004B6846" w:rsidRPr="00D57C63" w:rsidTr="00FA7528">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nil"/>
              <w:right w:val="nil"/>
            </w:tcBorders>
          </w:tcPr>
          <w:p w:rsidR="004B6846" w:rsidRPr="00D57C63" w:rsidRDefault="004B6846" w:rsidP="00CC0EB7">
            <w:pPr>
              <w:keepLines w:val="0"/>
              <w:autoSpaceDE w:val="0"/>
              <w:autoSpaceDN w:val="0"/>
              <w:adjustRightInd w:val="0"/>
              <w:rPr>
                <w:rFonts w:eastAsiaTheme="minorEastAsia" w:cstheme="majorHAnsi"/>
                <w:b/>
                <w:bCs/>
                <w:color w:val="000000"/>
                <w:szCs w:val="19"/>
                <w:lang w:eastAsia="en-AU"/>
              </w:rPr>
            </w:pPr>
            <w:r w:rsidRPr="00D57C63">
              <w:rPr>
                <w:rFonts w:eastAsiaTheme="minorEastAsia" w:cstheme="majorHAnsi"/>
                <w:b/>
                <w:bCs/>
                <w:color w:val="000000"/>
                <w:szCs w:val="19"/>
                <w:lang w:eastAsia="en-AU"/>
              </w:rPr>
              <w:t>Assets</w:t>
            </w:r>
          </w:p>
        </w:tc>
        <w:tc>
          <w:tcPr>
            <w:tcW w:w="841"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 xml:space="preserve"> </w:t>
            </w:r>
          </w:p>
        </w:tc>
        <w:tc>
          <w:tcPr>
            <w:tcW w:w="850"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 xml:space="preserve"> </w:t>
            </w:r>
          </w:p>
        </w:tc>
        <w:tc>
          <w:tcPr>
            <w:tcW w:w="805"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 xml:space="preserve"> </w:t>
            </w:r>
          </w:p>
        </w:tc>
        <w:tc>
          <w:tcPr>
            <w:tcW w:w="787"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 xml:space="preserve"> </w:t>
            </w:r>
          </w:p>
        </w:tc>
      </w:tr>
      <w:tr w:rsidR="004B6846" w:rsidRPr="00D57C63" w:rsidTr="00FA7528">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nil"/>
              <w:right w:val="nil"/>
            </w:tcBorders>
          </w:tcPr>
          <w:p w:rsidR="004B6846" w:rsidRPr="00D57C63" w:rsidRDefault="004B6846" w:rsidP="00CC0EB7">
            <w:pPr>
              <w:keepLines w:val="0"/>
              <w:autoSpaceDE w:val="0"/>
              <w:autoSpaceDN w:val="0"/>
              <w:adjustRightInd w:val="0"/>
              <w:rPr>
                <w:rFonts w:eastAsiaTheme="minorEastAsia" w:cstheme="majorHAnsi"/>
                <w:color w:val="000000"/>
                <w:szCs w:val="19"/>
                <w:lang w:eastAsia="en-AU"/>
              </w:rPr>
            </w:pPr>
            <w:r w:rsidRPr="00D57C63">
              <w:rPr>
                <w:rFonts w:eastAsiaTheme="minorEastAsia" w:cstheme="majorHAnsi"/>
                <w:color w:val="000000"/>
                <w:szCs w:val="19"/>
                <w:lang w:eastAsia="en-AU"/>
              </w:rPr>
              <w:t>Cash and deposits</w:t>
            </w:r>
          </w:p>
        </w:tc>
        <w:tc>
          <w:tcPr>
            <w:tcW w:w="841"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5.1</w:t>
            </w:r>
          </w:p>
        </w:tc>
        <w:tc>
          <w:tcPr>
            <w:tcW w:w="850"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5.1</w:t>
            </w:r>
          </w:p>
        </w:tc>
        <w:tc>
          <w:tcPr>
            <w:tcW w:w="805"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5.0</w:t>
            </w:r>
          </w:p>
        </w:tc>
        <w:tc>
          <w:tcPr>
            <w:tcW w:w="787"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5.0</w:t>
            </w:r>
          </w:p>
        </w:tc>
      </w:tr>
      <w:tr w:rsidR="004B6846" w:rsidRPr="00D57C63" w:rsidTr="00FA7528">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nil"/>
              <w:right w:val="nil"/>
            </w:tcBorders>
          </w:tcPr>
          <w:p w:rsidR="004B6846" w:rsidRPr="00D57C63" w:rsidRDefault="004B6846" w:rsidP="00CC0EB7">
            <w:pPr>
              <w:keepLines w:val="0"/>
              <w:autoSpaceDE w:val="0"/>
              <w:autoSpaceDN w:val="0"/>
              <w:adjustRightInd w:val="0"/>
              <w:rPr>
                <w:rFonts w:eastAsiaTheme="minorEastAsia" w:cstheme="majorHAnsi"/>
                <w:color w:val="000000"/>
                <w:szCs w:val="19"/>
                <w:lang w:eastAsia="en-AU"/>
              </w:rPr>
            </w:pPr>
            <w:r w:rsidRPr="00D57C63">
              <w:rPr>
                <w:rFonts w:eastAsiaTheme="minorEastAsia" w:cstheme="majorHAnsi"/>
                <w:color w:val="000000"/>
                <w:szCs w:val="19"/>
                <w:lang w:eastAsia="en-AU"/>
              </w:rPr>
              <w:t>Advances paid</w:t>
            </w:r>
          </w:p>
        </w:tc>
        <w:tc>
          <w:tcPr>
            <w:tcW w:w="841"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0.5</w:t>
            </w:r>
          </w:p>
        </w:tc>
        <w:tc>
          <w:tcPr>
            <w:tcW w:w="850"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0.4</w:t>
            </w:r>
          </w:p>
        </w:tc>
        <w:tc>
          <w:tcPr>
            <w:tcW w:w="805"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0.4</w:t>
            </w:r>
          </w:p>
        </w:tc>
        <w:tc>
          <w:tcPr>
            <w:tcW w:w="787"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0.4</w:t>
            </w:r>
          </w:p>
        </w:tc>
      </w:tr>
      <w:tr w:rsidR="004B6846" w:rsidRPr="00D57C63" w:rsidTr="00FA7528">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single" w:sz="6" w:space="0" w:color="auto"/>
              <w:right w:val="nil"/>
            </w:tcBorders>
          </w:tcPr>
          <w:p w:rsidR="004B6846" w:rsidRPr="00D57C63" w:rsidRDefault="004B6846" w:rsidP="00CC0EB7">
            <w:pPr>
              <w:keepLines w:val="0"/>
              <w:autoSpaceDE w:val="0"/>
              <w:autoSpaceDN w:val="0"/>
              <w:adjustRightInd w:val="0"/>
              <w:rPr>
                <w:rFonts w:eastAsiaTheme="minorEastAsia" w:cstheme="majorHAnsi"/>
                <w:color w:val="000000"/>
                <w:szCs w:val="19"/>
                <w:lang w:eastAsia="en-AU"/>
              </w:rPr>
            </w:pPr>
            <w:r w:rsidRPr="00D57C63">
              <w:rPr>
                <w:rFonts w:eastAsiaTheme="minorEastAsia" w:cstheme="majorHAnsi"/>
                <w:color w:val="000000"/>
                <w:szCs w:val="19"/>
                <w:lang w:eastAsia="en-AU"/>
              </w:rPr>
              <w:t>Investments, loans and placements</w:t>
            </w:r>
          </w:p>
        </w:tc>
        <w:tc>
          <w:tcPr>
            <w:tcW w:w="841"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5.3</w:t>
            </w:r>
          </w:p>
        </w:tc>
        <w:tc>
          <w:tcPr>
            <w:tcW w:w="850"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5.8</w:t>
            </w:r>
          </w:p>
        </w:tc>
        <w:tc>
          <w:tcPr>
            <w:tcW w:w="805"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6.0</w:t>
            </w:r>
          </w:p>
        </w:tc>
        <w:tc>
          <w:tcPr>
            <w:tcW w:w="787"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6.3</w:t>
            </w:r>
          </w:p>
        </w:tc>
      </w:tr>
      <w:tr w:rsidR="004B6846" w:rsidRPr="00D57C63" w:rsidTr="00FA7528">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nil"/>
              <w:right w:val="nil"/>
            </w:tcBorders>
          </w:tcPr>
          <w:p w:rsidR="004B6846" w:rsidRPr="00D57C63" w:rsidRDefault="004B6846" w:rsidP="00CC0EB7">
            <w:pPr>
              <w:keepLines w:val="0"/>
              <w:autoSpaceDE w:val="0"/>
              <w:autoSpaceDN w:val="0"/>
              <w:adjustRightInd w:val="0"/>
              <w:rPr>
                <w:rFonts w:eastAsiaTheme="minorEastAsia" w:cstheme="majorHAnsi"/>
                <w:b/>
                <w:bCs/>
                <w:color w:val="000000"/>
                <w:szCs w:val="19"/>
                <w:lang w:eastAsia="en-AU"/>
              </w:rPr>
            </w:pPr>
            <w:r w:rsidRPr="00D57C63">
              <w:rPr>
                <w:rFonts w:eastAsiaTheme="minorEastAsia" w:cstheme="majorHAnsi"/>
                <w:b/>
                <w:bCs/>
                <w:color w:val="000000"/>
                <w:szCs w:val="19"/>
                <w:lang w:eastAsia="en-AU"/>
              </w:rPr>
              <w:t>Total</w:t>
            </w:r>
          </w:p>
        </w:tc>
        <w:tc>
          <w:tcPr>
            <w:tcW w:w="841"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10.8</w:t>
            </w:r>
          </w:p>
        </w:tc>
        <w:tc>
          <w:tcPr>
            <w:tcW w:w="850"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11.2</w:t>
            </w:r>
          </w:p>
        </w:tc>
        <w:tc>
          <w:tcPr>
            <w:tcW w:w="805"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11.4</w:t>
            </w:r>
          </w:p>
        </w:tc>
        <w:tc>
          <w:tcPr>
            <w:tcW w:w="787"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11.7</w:t>
            </w:r>
          </w:p>
        </w:tc>
      </w:tr>
      <w:tr w:rsidR="004B6846" w:rsidRPr="00D57C63" w:rsidTr="00FA7528">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nil"/>
              <w:right w:val="nil"/>
            </w:tcBorders>
          </w:tcPr>
          <w:p w:rsidR="004B6846" w:rsidRPr="00D57C63" w:rsidRDefault="004B6846" w:rsidP="00CC0EB7">
            <w:pPr>
              <w:keepLines w:val="0"/>
              <w:autoSpaceDE w:val="0"/>
              <w:autoSpaceDN w:val="0"/>
              <w:adjustRightInd w:val="0"/>
              <w:rPr>
                <w:rFonts w:eastAsiaTheme="minorEastAsia" w:cstheme="majorHAnsi"/>
                <w:b/>
                <w:bCs/>
                <w:color w:val="000000"/>
                <w:szCs w:val="19"/>
                <w:lang w:eastAsia="en-AU"/>
              </w:rPr>
            </w:pPr>
            <w:r w:rsidRPr="00D57C63">
              <w:rPr>
                <w:rFonts w:eastAsiaTheme="minorEastAsia" w:cstheme="majorHAnsi"/>
                <w:b/>
                <w:bCs/>
                <w:color w:val="000000"/>
                <w:szCs w:val="19"/>
                <w:lang w:eastAsia="en-AU"/>
              </w:rPr>
              <w:t>Liabilities</w:t>
            </w:r>
          </w:p>
        </w:tc>
        <w:tc>
          <w:tcPr>
            <w:tcW w:w="841"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 xml:space="preserve"> </w:t>
            </w:r>
          </w:p>
        </w:tc>
        <w:tc>
          <w:tcPr>
            <w:tcW w:w="850"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 xml:space="preserve"> </w:t>
            </w:r>
          </w:p>
        </w:tc>
        <w:tc>
          <w:tcPr>
            <w:tcW w:w="805"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 xml:space="preserve"> </w:t>
            </w:r>
          </w:p>
        </w:tc>
        <w:tc>
          <w:tcPr>
            <w:tcW w:w="787"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 xml:space="preserve"> </w:t>
            </w:r>
          </w:p>
        </w:tc>
      </w:tr>
      <w:tr w:rsidR="004B6846" w:rsidRPr="00D57C63" w:rsidTr="00FA7528">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nil"/>
              <w:right w:val="nil"/>
            </w:tcBorders>
          </w:tcPr>
          <w:p w:rsidR="004B6846" w:rsidRPr="00D57C63" w:rsidRDefault="004B6846" w:rsidP="00CC0EB7">
            <w:pPr>
              <w:keepLines w:val="0"/>
              <w:autoSpaceDE w:val="0"/>
              <w:autoSpaceDN w:val="0"/>
              <w:adjustRightInd w:val="0"/>
              <w:rPr>
                <w:rFonts w:eastAsiaTheme="minorEastAsia" w:cstheme="majorHAnsi"/>
                <w:color w:val="000000"/>
                <w:szCs w:val="19"/>
                <w:lang w:eastAsia="en-AU"/>
              </w:rPr>
            </w:pPr>
            <w:r w:rsidRPr="00D57C63">
              <w:rPr>
                <w:rFonts w:eastAsiaTheme="minorEastAsia" w:cstheme="majorHAnsi"/>
                <w:color w:val="000000"/>
                <w:szCs w:val="19"/>
                <w:lang w:eastAsia="en-AU"/>
              </w:rPr>
              <w:t>Deposits held and advances received</w:t>
            </w:r>
          </w:p>
        </w:tc>
        <w:tc>
          <w:tcPr>
            <w:tcW w:w="841"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1.3</w:t>
            </w:r>
          </w:p>
        </w:tc>
        <w:tc>
          <w:tcPr>
            <w:tcW w:w="850"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1.4</w:t>
            </w:r>
          </w:p>
        </w:tc>
        <w:tc>
          <w:tcPr>
            <w:tcW w:w="805"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1.4</w:t>
            </w:r>
          </w:p>
        </w:tc>
        <w:tc>
          <w:tcPr>
            <w:tcW w:w="787"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1.3</w:t>
            </w:r>
          </w:p>
        </w:tc>
      </w:tr>
      <w:tr w:rsidR="004B6846" w:rsidRPr="00D57C63" w:rsidTr="00FA7528">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single" w:sz="6" w:space="0" w:color="auto"/>
              <w:right w:val="nil"/>
            </w:tcBorders>
          </w:tcPr>
          <w:p w:rsidR="004B6846" w:rsidRPr="00D57C63" w:rsidRDefault="004B6846" w:rsidP="00CC0EB7">
            <w:pPr>
              <w:keepLines w:val="0"/>
              <w:autoSpaceDE w:val="0"/>
              <w:autoSpaceDN w:val="0"/>
              <w:adjustRightInd w:val="0"/>
              <w:rPr>
                <w:rFonts w:eastAsiaTheme="minorEastAsia" w:cstheme="majorHAnsi"/>
                <w:color w:val="000000"/>
                <w:szCs w:val="19"/>
                <w:lang w:eastAsia="en-AU"/>
              </w:rPr>
            </w:pPr>
            <w:r w:rsidRPr="00D57C63">
              <w:rPr>
                <w:rFonts w:eastAsiaTheme="minorEastAsia" w:cstheme="majorHAnsi"/>
                <w:color w:val="000000"/>
                <w:szCs w:val="19"/>
                <w:lang w:eastAsia="en-AU"/>
              </w:rPr>
              <w:t>Borrowings</w:t>
            </w:r>
          </w:p>
        </w:tc>
        <w:tc>
          <w:tcPr>
            <w:tcW w:w="841"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47.9</w:t>
            </w:r>
          </w:p>
        </w:tc>
        <w:tc>
          <w:tcPr>
            <w:tcW w:w="850"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54.3</w:t>
            </w:r>
          </w:p>
        </w:tc>
        <w:tc>
          <w:tcPr>
            <w:tcW w:w="805"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57.5</w:t>
            </w:r>
          </w:p>
        </w:tc>
        <w:tc>
          <w:tcPr>
            <w:tcW w:w="787"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59.6</w:t>
            </w:r>
          </w:p>
        </w:tc>
      </w:tr>
      <w:tr w:rsidR="004B6846" w:rsidRPr="00D57C63" w:rsidTr="00FA7528">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nil"/>
              <w:right w:val="nil"/>
            </w:tcBorders>
          </w:tcPr>
          <w:p w:rsidR="004B6846" w:rsidRPr="00D57C63" w:rsidRDefault="004B6846" w:rsidP="00CC0EB7">
            <w:pPr>
              <w:keepLines w:val="0"/>
              <w:autoSpaceDE w:val="0"/>
              <w:autoSpaceDN w:val="0"/>
              <w:adjustRightInd w:val="0"/>
              <w:rPr>
                <w:rFonts w:eastAsiaTheme="minorEastAsia" w:cstheme="majorHAnsi"/>
                <w:b/>
                <w:bCs/>
                <w:color w:val="000000"/>
                <w:szCs w:val="19"/>
                <w:lang w:eastAsia="en-AU"/>
              </w:rPr>
            </w:pPr>
            <w:r w:rsidRPr="00D57C63">
              <w:rPr>
                <w:rFonts w:eastAsiaTheme="minorEastAsia" w:cstheme="majorHAnsi"/>
                <w:b/>
                <w:bCs/>
                <w:color w:val="000000"/>
                <w:szCs w:val="19"/>
                <w:lang w:eastAsia="en-AU"/>
              </w:rPr>
              <w:t>Total</w:t>
            </w:r>
          </w:p>
        </w:tc>
        <w:tc>
          <w:tcPr>
            <w:tcW w:w="841"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49.2</w:t>
            </w:r>
          </w:p>
        </w:tc>
        <w:tc>
          <w:tcPr>
            <w:tcW w:w="850"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55.6</w:t>
            </w:r>
          </w:p>
        </w:tc>
        <w:tc>
          <w:tcPr>
            <w:tcW w:w="805"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58.9</w:t>
            </w:r>
          </w:p>
        </w:tc>
        <w:tc>
          <w:tcPr>
            <w:tcW w:w="787"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60.9</w:t>
            </w:r>
          </w:p>
        </w:tc>
      </w:tr>
      <w:tr w:rsidR="004B6846" w:rsidRPr="00D57C63" w:rsidTr="00FA7528">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nil"/>
              <w:right w:val="nil"/>
            </w:tcBorders>
          </w:tcPr>
          <w:p w:rsidR="004B6846" w:rsidRPr="00D57C63" w:rsidRDefault="004B6846" w:rsidP="00CC0EB7">
            <w:pPr>
              <w:keepLines w:val="0"/>
              <w:autoSpaceDE w:val="0"/>
              <w:autoSpaceDN w:val="0"/>
              <w:adjustRightInd w:val="0"/>
              <w:rPr>
                <w:rFonts w:eastAsiaTheme="minorEastAsia" w:cstheme="majorHAnsi"/>
                <w:b/>
                <w:bCs/>
                <w:color w:val="000000"/>
                <w:szCs w:val="19"/>
                <w:lang w:eastAsia="en-AU"/>
              </w:rPr>
            </w:pPr>
            <w:r w:rsidRPr="00D57C63">
              <w:rPr>
                <w:rFonts w:eastAsiaTheme="minorEastAsia" w:cstheme="majorHAnsi"/>
                <w:b/>
                <w:bCs/>
                <w:color w:val="000000"/>
                <w:szCs w:val="19"/>
                <w:lang w:eastAsia="en-AU"/>
              </w:rPr>
              <w:t xml:space="preserve">Net debt </w:t>
            </w:r>
            <w:r w:rsidRPr="00D57C63">
              <w:rPr>
                <w:rFonts w:eastAsiaTheme="minorEastAsia" w:cstheme="majorHAnsi"/>
                <w:b/>
                <w:bCs/>
                <w:color w:val="000000"/>
                <w:szCs w:val="19"/>
                <w:vertAlign w:val="superscript"/>
                <w:lang w:eastAsia="en-AU"/>
              </w:rPr>
              <w:t>(a)</w:t>
            </w:r>
          </w:p>
        </w:tc>
        <w:tc>
          <w:tcPr>
            <w:tcW w:w="841"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38.4</w:t>
            </w:r>
          </w:p>
        </w:tc>
        <w:tc>
          <w:tcPr>
            <w:tcW w:w="850"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44.4</w:t>
            </w:r>
          </w:p>
        </w:tc>
        <w:tc>
          <w:tcPr>
            <w:tcW w:w="805"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47.5</w:t>
            </w:r>
          </w:p>
        </w:tc>
        <w:tc>
          <w:tcPr>
            <w:tcW w:w="787"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49.2</w:t>
            </w:r>
          </w:p>
        </w:tc>
      </w:tr>
      <w:tr w:rsidR="004B6846" w:rsidRPr="00D57C63" w:rsidTr="00FA7528">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single" w:sz="6" w:space="0" w:color="auto"/>
              <w:right w:val="nil"/>
            </w:tcBorders>
          </w:tcPr>
          <w:p w:rsidR="004B6846" w:rsidRPr="00D57C63" w:rsidRDefault="004B6846" w:rsidP="00CC0EB7">
            <w:pPr>
              <w:keepLines w:val="0"/>
              <w:autoSpaceDE w:val="0"/>
              <w:autoSpaceDN w:val="0"/>
              <w:adjustRightInd w:val="0"/>
              <w:rPr>
                <w:rFonts w:eastAsiaTheme="minorEastAsia" w:cstheme="majorHAnsi"/>
                <w:color w:val="000000"/>
                <w:szCs w:val="19"/>
                <w:lang w:eastAsia="en-AU"/>
              </w:rPr>
            </w:pPr>
            <w:r w:rsidRPr="00D57C63">
              <w:rPr>
                <w:rFonts w:eastAsiaTheme="minorEastAsia" w:cstheme="majorHAnsi"/>
                <w:color w:val="000000"/>
                <w:szCs w:val="19"/>
                <w:lang w:eastAsia="en-AU"/>
              </w:rPr>
              <w:t>Superannuation liability</w:t>
            </w:r>
          </w:p>
        </w:tc>
        <w:tc>
          <w:tcPr>
            <w:tcW w:w="841"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23.3</w:t>
            </w:r>
          </w:p>
        </w:tc>
        <w:tc>
          <w:tcPr>
            <w:tcW w:w="850"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22.2</w:t>
            </w:r>
          </w:p>
        </w:tc>
        <w:tc>
          <w:tcPr>
            <w:tcW w:w="805"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21.2</w:t>
            </w:r>
          </w:p>
        </w:tc>
        <w:tc>
          <w:tcPr>
            <w:tcW w:w="787"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20.2</w:t>
            </w:r>
          </w:p>
        </w:tc>
      </w:tr>
      <w:tr w:rsidR="004B6846" w:rsidRPr="00D57C63" w:rsidTr="00FA7528">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nil"/>
              <w:right w:val="nil"/>
            </w:tcBorders>
          </w:tcPr>
          <w:p w:rsidR="004B6846" w:rsidRPr="00D57C63" w:rsidRDefault="004B6846" w:rsidP="00CC0EB7">
            <w:pPr>
              <w:keepLines w:val="0"/>
              <w:autoSpaceDE w:val="0"/>
              <w:autoSpaceDN w:val="0"/>
              <w:adjustRightInd w:val="0"/>
              <w:rPr>
                <w:rFonts w:eastAsiaTheme="minorEastAsia" w:cstheme="majorHAnsi"/>
                <w:b/>
                <w:bCs/>
                <w:color w:val="000000"/>
                <w:szCs w:val="19"/>
                <w:lang w:eastAsia="en-AU"/>
              </w:rPr>
            </w:pPr>
            <w:r w:rsidRPr="00D57C63">
              <w:rPr>
                <w:rFonts w:eastAsiaTheme="minorEastAsia" w:cstheme="majorHAnsi"/>
                <w:b/>
                <w:bCs/>
                <w:color w:val="000000"/>
                <w:szCs w:val="19"/>
                <w:lang w:eastAsia="en-AU"/>
              </w:rPr>
              <w:t>Net debt plus superannuation liabilities</w:t>
            </w:r>
          </w:p>
        </w:tc>
        <w:tc>
          <w:tcPr>
            <w:tcW w:w="841"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61.6</w:t>
            </w:r>
          </w:p>
        </w:tc>
        <w:tc>
          <w:tcPr>
            <w:tcW w:w="850"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66.7</w:t>
            </w:r>
          </w:p>
        </w:tc>
        <w:tc>
          <w:tcPr>
            <w:tcW w:w="805"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68.6</w:t>
            </w:r>
          </w:p>
        </w:tc>
        <w:tc>
          <w:tcPr>
            <w:tcW w:w="787"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69.3</w:t>
            </w:r>
          </w:p>
        </w:tc>
      </w:tr>
      <w:tr w:rsidR="004B6846" w:rsidRPr="00D57C63" w:rsidTr="00FA7528">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single" w:sz="6" w:space="0" w:color="auto"/>
              <w:right w:val="nil"/>
            </w:tcBorders>
          </w:tcPr>
          <w:p w:rsidR="004B6846" w:rsidRPr="00D57C63" w:rsidRDefault="004B6846" w:rsidP="00CC0EB7">
            <w:pPr>
              <w:keepLines w:val="0"/>
              <w:autoSpaceDE w:val="0"/>
              <w:autoSpaceDN w:val="0"/>
              <w:adjustRightInd w:val="0"/>
              <w:rPr>
                <w:rFonts w:eastAsiaTheme="minorEastAsia" w:cstheme="majorHAnsi"/>
                <w:color w:val="000000"/>
                <w:szCs w:val="19"/>
                <w:lang w:eastAsia="en-AU"/>
              </w:rPr>
            </w:pPr>
            <w:r w:rsidRPr="00D57C63">
              <w:rPr>
                <w:rFonts w:eastAsiaTheme="minorEastAsia" w:cstheme="majorHAnsi"/>
                <w:color w:val="000000"/>
                <w:szCs w:val="19"/>
                <w:lang w:eastAsia="en-AU"/>
              </w:rPr>
              <w:t xml:space="preserve">Other liabilities (net) </w:t>
            </w:r>
            <w:r w:rsidRPr="00D57C63">
              <w:rPr>
                <w:rFonts w:eastAsiaTheme="minorEastAsia" w:cstheme="majorHAnsi"/>
                <w:color w:val="000000"/>
                <w:szCs w:val="19"/>
                <w:vertAlign w:val="superscript"/>
                <w:lang w:eastAsia="en-AU"/>
              </w:rPr>
              <w:t>(b)</w:t>
            </w:r>
          </w:p>
        </w:tc>
        <w:tc>
          <w:tcPr>
            <w:tcW w:w="841"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19.9</w:t>
            </w:r>
          </w:p>
        </w:tc>
        <w:tc>
          <w:tcPr>
            <w:tcW w:w="850"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19.6</w:t>
            </w:r>
          </w:p>
        </w:tc>
        <w:tc>
          <w:tcPr>
            <w:tcW w:w="805"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19.1</w:t>
            </w:r>
          </w:p>
        </w:tc>
        <w:tc>
          <w:tcPr>
            <w:tcW w:w="787"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20"/>
                <w:lang w:eastAsia="en-AU"/>
              </w:rPr>
            </w:pPr>
            <w:r w:rsidRPr="00D57C63">
              <w:rPr>
                <w:rFonts w:eastAsiaTheme="minorEastAsia" w:cstheme="majorHAnsi"/>
                <w:color w:val="000000"/>
                <w:szCs w:val="20"/>
                <w:lang w:eastAsia="en-AU"/>
              </w:rPr>
              <w:t>17.9</w:t>
            </w:r>
          </w:p>
        </w:tc>
      </w:tr>
      <w:tr w:rsidR="004B6846" w:rsidRPr="00D57C63" w:rsidTr="00FA7528">
        <w:tc>
          <w:tcPr>
            <w:cnfStyle w:val="001000000000" w:firstRow="0" w:lastRow="0" w:firstColumn="1" w:lastColumn="0" w:oddVBand="0" w:evenVBand="0" w:oddHBand="0" w:evenHBand="0" w:firstRowFirstColumn="0" w:firstRowLastColumn="0" w:lastRowFirstColumn="0" w:lastRowLastColumn="0"/>
            <w:tcW w:w="4253" w:type="dxa"/>
            <w:tcBorders>
              <w:top w:val="single" w:sz="6" w:space="0" w:color="auto"/>
              <w:left w:val="nil"/>
              <w:bottom w:val="single" w:sz="6" w:space="0" w:color="auto"/>
              <w:right w:val="nil"/>
            </w:tcBorders>
          </w:tcPr>
          <w:p w:rsidR="004B6846" w:rsidRPr="00D57C63" w:rsidRDefault="004B6846" w:rsidP="00CC0EB7">
            <w:pPr>
              <w:keepLines w:val="0"/>
              <w:autoSpaceDE w:val="0"/>
              <w:autoSpaceDN w:val="0"/>
              <w:adjustRightInd w:val="0"/>
              <w:rPr>
                <w:rFonts w:eastAsiaTheme="minorEastAsia" w:cstheme="majorHAnsi"/>
                <w:b/>
                <w:bCs/>
                <w:color w:val="000000"/>
                <w:szCs w:val="19"/>
                <w:lang w:eastAsia="en-AU"/>
              </w:rPr>
            </w:pPr>
            <w:r w:rsidRPr="00D57C63">
              <w:rPr>
                <w:rFonts w:eastAsiaTheme="minorEastAsia" w:cstheme="majorHAnsi"/>
                <w:b/>
                <w:bCs/>
                <w:color w:val="000000"/>
                <w:szCs w:val="19"/>
                <w:lang w:eastAsia="en-AU"/>
              </w:rPr>
              <w:t xml:space="preserve">Net financial liabilities </w:t>
            </w:r>
            <w:r w:rsidRPr="00D57C63">
              <w:rPr>
                <w:rFonts w:eastAsiaTheme="minorEastAsia" w:cstheme="majorHAnsi"/>
                <w:b/>
                <w:bCs/>
                <w:color w:val="000000"/>
                <w:szCs w:val="19"/>
                <w:vertAlign w:val="superscript"/>
                <w:lang w:eastAsia="en-AU"/>
              </w:rPr>
              <w:t>(c)</w:t>
            </w:r>
          </w:p>
        </w:tc>
        <w:tc>
          <w:tcPr>
            <w:tcW w:w="841"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81.6</w:t>
            </w:r>
          </w:p>
        </w:tc>
        <w:tc>
          <w:tcPr>
            <w:tcW w:w="850"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86.3</w:t>
            </w:r>
          </w:p>
        </w:tc>
        <w:tc>
          <w:tcPr>
            <w:tcW w:w="805"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87.7</w:t>
            </w:r>
          </w:p>
        </w:tc>
        <w:tc>
          <w:tcPr>
            <w:tcW w:w="787" w:type="dxa"/>
            <w:tcBorders>
              <w:top w:val="nil"/>
              <w:left w:val="nil"/>
              <w:bottom w:val="single" w:sz="6"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20"/>
                <w:lang w:eastAsia="en-AU"/>
              </w:rPr>
            </w:pPr>
            <w:r w:rsidRPr="00D57C63">
              <w:rPr>
                <w:rFonts w:eastAsiaTheme="minorEastAsia" w:cstheme="majorHAnsi"/>
                <w:b/>
                <w:bCs/>
                <w:color w:val="000000"/>
                <w:szCs w:val="20"/>
                <w:lang w:eastAsia="en-AU"/>
              </w:rPr>
              <w:t>87.2</w:t>
            </w:r>
          </w:p>
        </w:tc>
      </w:tr>
      <w:tr w:rsidR="004B6846" w:rsidRPr="00D57C63" w:rsidTr="00FA7528">
        <w:tc>
          <w:tcPr>
            <w:cnfStyle w:val="001000000000" w:firstRow="0" w:lastRow="0" w:firstColumn="1" w:lastColumn="0" w:oddVBand="0" w:evenVBand="0" w:oddHBand="0" w:evenHBand="0" w:firstRowFirstColumn="0" w:firstRowLastColumn="0" w:lastRowFirstColumn="0" w:lastRowLastColumn="0"/>
            <w:tcW w:w="7536" w:type="dxa"/>
            <w:gridSpan w:val="5"/>
            <w:tcBorders>
              <w:top w:val="nil"/>
              <w:left w:val="nil"/>
              <w:bottom w:val="nil"/>
              <w:right w:val="nil"/>
            </w:tcBorders>
          </w:tcPr>
          <w:p w:rsidR="004B6846" w:rsidRPr="00FA7528" w:rsidRDefault="004B6846" w:rsidP="00FA7528">
            <w:pPr>
              <w:pStyle w:val="TableUnits"/>
              <w:jc w:val="center"/>
            </w:pPr>
            <w:r w:rsidRPr="00FA7528">
              <w:t>(per cent)</w:t>
            </w:r>
          </w:p>
        </w:tc>
      </w:tr>
      <w:tr w:rsidR="004B6846" w:rsidRPr="00D57C63" w:rsidTr="00FA7528">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nil"/>
              <w:right w:val="nil"/>
            </w:tcBorders>
          </w:tcPr>
          <w:p w:rsidR="004B6846" w:rsidRPr="00D57C63" w:rsidRDefault="004B6846" w:rsidP="00CC0EB7">
            <w:pPr>
              <w:keepLines w:val="0"/>
              <w:autoSpaceDE w:val="0"/>
              <w:autoSpaceDN w:val="0"/>
              <w:adjustRightInd w:val="0"/>
              <w:rPr>
                <w:rFonts w:eastAsiaTheme="minorEastAsia" w:cstheme="majorHAnsi"/>
                <w:b/>
                <w:bCs/>
                <w:color w:val="000000"/>
                <w:szCs w:val="19"/>
                <w:lang w:eastAsia="en-AU"/>
              </w:rPr>
            </w:pPr>
            <w:r w:rsidRPr="00D57C63">
              <w:rPr>
                <w:rFonts w:eastAsiaTheme="minorEastAsia" w:cstheme="majorHAnsi"/>
                <w:b/>
                <w:bCs/>
                <w:color w:val="000000"/>
                <w:szCs w:val="19"/>
                <w:lang w:eastAsia="en-AU"/>
              </w:rPr>
              <w:t xml:space="preserve">Net debt to GSP </w:t>
            </w:r>
            <w:r w:rsidRPr="00D57C63">
              <w:rPr>
                <w:rFonts w:eastAsiaTheme="minorEastAsia" w:cstheme="majorHAnsi"/>
                <w:b/>
                <w:bCs/>
                <w:color w:val="000000"/>
                <w:szCs w:val="19"/>
                <w:vertAlign w:val="superscript"/>
                <w:lang w:eastAsia="en-AU"/>
              </w:rPr>
              <w:t>(d)</w:t>
            </w:r>
          </w:p>
        </w:tc>
        <w:tc>
          <w:tcPr>
            <w:tcW w:w="841"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8.</w:t>
            </w:r>
            <w:r>
              <w:rPr>
                <w:rFonts w:eastAsiaTheme="minorEastAsia" w:cstheme="majorHAnsi"/>
                <w:color w:val="000000"/>
                <w:szCs w:val="19"/>
                <w:lang w:eastAsia="en-AU"/>
              </w:rPr>
              <w:t>5</w:t>
            </w:r>
          </w:p>
        </w:tc>
        <w:tc>
          <w:tcPr>
            <w:tcW w:w="850"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9.3</w:t>
            </w:r>
          </w:p>
        </w:tc>
        <w:tc>
          <w:tcPr>
            <w:tcW w:w="805"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9.</w:t>
            </w:r>
            <w:r>
              <w:rPr>
                <w:rFonts w:eastAsiaTheme="minorEastAsia" w:cstheme="majorHAnsi"/>
                <w:color w:val="000000"/>
                <w:szCs w:val="19"/>
                <w:lang w:eastAsia="en-AU"/>
              </w:rPr>
              <w:t>4</w:t>
            </w:r>
          </w:p>
        </w:tc>
        <w:tc>
          <w:tcPr>
            <w:tcW w:w="787"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9.3</w:t>
            </w:r>
          </w:p>
        </w:tc>
      </w:tr>
      <w:tr w:rsidR="004B6846" w:rsidRPr="00D57C63" w:rsidTr="00FA7528">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nil"/>
              <w:right w:val="nil"/>
            </w:tcBorders>
          </w:tcPr>
          <w:p w:rsidR="004B6846" w:rsidRPr="00D57C63" w:rsidRDefault="004B6846" w:rsidP="00CC0EB7">
            <w:pPr>
              <w:keepLines w:val="0"/>
              <w:autoSpaceDE w:val="0"/>
              <w:autoSpaceDN w:val="0"/>
              <w:adjustRightInd w:val="0"/>
              <w:rPr>
                <w:rFonts w:eastAsiaTheme="minorEastAsia" w:cstheme="majorHAnsi"/>
                <w:b/>
                <w:bCs/>
                <w:color w:val="000000"/>
                <w:szCs w:val="19"/>
                <w:lang w:eastAsia="en-AU"/>
              </w:rPr>
            </w:pPr>
            <w:r w:rsidRPr="00D57C63">
              <w:rPr>
                <w:rFonts w:eastAsiaTheme="minorEastAsia" w:cstheme="majorHAnsi"/>
                <w:b/>
                <w:bCs/>
                <w:color w:val="000000"/>
                <w:szCs w:val="19"/>
                <w:lang w:eastAsia="en-AU"/>
              </w:rPr>
              <w:t xml:space="preserve">Net debt plus superannuation liability to GSP </w:t>
            </w:r>
            <w:r w:rsidRPr="00D57C63">
              <w:rPr>
                <w:rFonts w:eastAsiaTheme="minorEastAsia" w:cstheme="majorHAnsi"/>
                <w:b/>
                <w:bCs/>
                <w:color w:val="000000"/>
                <w:szCs w:val="19"/>
                <w:vertAlign w:val="superscript"/>
                <w:lang w:eastAsia="en-AU"/>
              </w:rPr>
              <w:t>(d)</w:t>
            </w:r>
          </w:p>
        </w:tc>
        <w:tc>
          <w:tcPr>
            <w:tcW w:w="841"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13.6</w:t>
            </w:r>
          </w:p>
        </w:tc>
        <w:tc>
          <w:tcPr>
            <w:tcW w:w="850"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1</w:t>
            </w:r>
            <w:r>
              <w:rPr>
                <w:rFonts w:eastAsiaTheme="minorEastAsia" w:cstheme="majorHAnsi"/>
                <w:color w:val="000000"/>
                <w:szCs w:val="19"/>
                <w:lang w:eastAsia="en-AU"/>
              </w:rPr>
              <w:t>4</w:t>
            </w:r>
            <w:r w:rsidRPr="00D57C63">
              <w:rPr>
                <w:rFonts w:eastAsiaTheme="minorEastAsia" w:cstheme="majorHAnsi"/>
                <w:color w:val="000000"/>
                <w:szCs w:val="19"/>
                <w:lang w:eastAsia="en-AU"/>
              </w:rPr>
              <w:t>.</w:t>
            </w:r>
            <w:r>
              <w:rPr>
                <w:rFonts w:eastAsiaTheme="minorEastAsia" w:cstheme="majorHAnsi"/>
                <w:color w:val="000000"/>
                <w:szCs w:val="19"/>
                <w:lang w:eastAsia="en-AU"/>
              </w:rPr>
              <w:t>0</w:t>
            </w:r>
          </w:p>
        </w:tc>
        <w:tc>
          <w:tcPr>
            <w:tcW w:w="805"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13.</w:t>
            </w:r>
            <w:r>
              <w:rPr>
                <w:rFonts w:eastAsiaTheme="minorEastAsia" w:cstheme="majorHAnsi"/>
                <w:color w:val="000000"/>
                <w:szCs w:val="19"/>
                <w:lang w:eastAsia="en-AU"/>
              </w:rPr>
              <w:t>7</w:t>
            </w:r>
          </w:p>
        </w:tc>
        <w:tc>
          <w:tcPr>
            <w:tcW w:w="787"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13.1</w:t>
            </w:r>
          </w:p>
        </w:tc>
      </w:tr>
      <w:tr w:rsidR="004B6846" w:rsidRPr="00D57C63" w:rsidTr="00FA7528">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nil"/>
              <w:right w:val="nil"/>
            </w:tcBorders>
          </w:tcPr>
          <w:p w:rsidR="004B6846" w:rsidRPr="00D57C63" w:rsidRDefault="004B6846" w:rsidP="00CC0EB7">
            <w:pPr>
              <w:keepLines w:val="0"/>
              <w:autoSpaceDE w:val="0"/>
              <w:autoSpaceDN w:val="0"/>
              <w:adjustRightInd w:val="0"/>
              <w:rPr>
                <w:rFonts w:eastAsiaTheme="minorEastAsia" w:cstheme="majorHAnsi"/>
                <w:b/>
                <w:bCs/>
                <w:color w:val="000000"/>
                <w:szCs w:val="19"/>
                <w:lang w:eastAsia="en-AU"/>
              </w:rPr>
            </w:pPr>
            <w:r w:rsidRPr="00D57C63">
              <w:rPr>
                <w:rFonts w:eastAsiaTheme="minorEastAsia" w:cstheme="majorHAnsi"/>
                <w:b/>
                <w:bCs/>
                <w:color w:val="000000"/>
                <w:szCs w:val="19"/>
                <w:lang w:eastAsia="en-AU"/>
              </w:rPr>
              <w:t xml:space="preserve">Net financial liabilities to GSP </w:t>
            </w:r>
            <w:r w:rsidRPr="00D57C63">
              <w:rPr>
                <w:rFonts w:eastAsiaTheme="minorEastAsia" w:cstheme="majorHAnsi"/>
                <w:b/>
                <w:bCs/>
                <w:color w:val="000000"/>
                <w:szCs w:val="19"/>
                <w:vertAlign w:val="superscript"/>
                <w:lang w:eastAsia="en-AU"/>
              </w:rPr>
              <w:t>(d)</w:t>
            </w:r>
          </w:p>
        </w:tc>
        <w:tc>
          <w:tcPr>
            <w:tcW w:w="841"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18.0</w:t>
            </w:r>
          </w:p>
        </w:tc>
        <w:tc>
          <w:tcPr>
            <w:tcW w:w="850"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18.</w:t>
            </w:r>
            <w:r>
              <w:rPr>
                <w:rFonts w:eastAsiaTheme="minorEastAsia" w:cstheme="majorHAnsi"/>
                <w:color w:val="000000"/>
                <w:szCs w:val="19"/>
                <w:lang w:eastAsia="en-AU"/>
              </w:rPr>
              <w:t>1</w:t>
            </w:r>
          </w:p>
        </w:tc>
        <w:tc>
          <w:tcPr>
            <w:tcW w:w="805"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17.</w:t>
            </w:r>
            <w:r>
              <w:rPr>
                <w:rFonts w:eastAsiaTheme="minorEastAsia" w:cstheme="majorHAnsi"/>
                <w:color w:val="000000"/>
                <w:szCs w:val="19"/>
                <w:lang w:eastAsia="en-AU"/>
              </w:rPr>
              <w:t>4</w:t>
            </w:r>
          </w:p>
        </w:tc>
        <w:tc>
          <w:tcPr>
            <w:tcW w:w="787" w:type="dxa"/>
            <w:tcBorders>
              <w:top w:val="nil"/>
              <w:left w:val="nil"/>
              <w:bottom w:val="nil"/>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16.5</w:t>
            </w:r>
          </w:p>
        </w:tc>
      </w:tr>
      <w:tr w:rsidR="004B6846" w:rsidRPr="00D57C63" w:rsidTr="00FA7528">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single" w:sz="12" w:space="0" w:color="auto"/>
              <w:right w:val="nil"/>
            </w:tcBorders>
          </w:tcPr>
          <w:p w:rsidR="004B6846" w:rsidRPr="00D57C63" w:rsidRDefault="004B6846" w:rsidP="00CC0EB7">
            <w:pPr>
              <w:keepLines w:val="0"/>
              <w:autoSpaceDE w:val="0"/>
              <w:autoSpaceDN w:val="0"/>
              <w:adjustRightInd w:val="0"/>
              <w:rPr>
                <w:rFonts w:eastAsiaTheme="minorEastAsia" w:cstheme="majorHAnsi"/>
                <w:b/>
                <w:bCs/>
                <w:color w:val="000000"/>
                <w:szCs w:val="19"/>
                <w:lang w:eastAsia="en-AU"/>
              </w:rPr>
            </w:pPr>
            <w:r w:rsidRPr="00D57C63">
              <w:rPr>
                <w:rFonts w:eastAsiaTheme="minorEastAsia" w:cstheme="majorHAnsi"/>
                <w:b/>
                <w:bCs/>
                <w:color w:val="000000"/>
                <w:szCs w:val="19"/>
                <w:lang w:eastAsia="en-AU"/>
              </w:rPr>
              <w:t xml:space="preserve">Net debt plus superannuation liability to revenue </w:t>
            </w:r>
            <w:r w:rsidRPr="00D57C63">
              <w:rPr>
                <w:rFonts w:eastAsiaTheme="minorEastAsia" w:cstheme="majorHAnsi"/>
                <w:b/>
                <w:bCs/>
                <w:color w:val="000000"/>
                <w:szCs w:val="19"/>
                <w:vertAlign w:val="superscript"/>
                <w:lang w:eastAsia="en-AU"/>
              </w:rPr>
              <w:t>(e)</w:t>
            </w:r>
          </w:p>
        </w:tc>
        <w:tc>
          <w:tcPr>
            <w:tcW w:w="841" w:type="dxa"/>
            <w:tcBorders>
              <w:top w:val="nil"/>
              <w:left w:val="nil"/>
              <w:bottom w:val="single" w:sz="12"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84.6</w:t>
            </w:r>
          </w:p>
        </w:tc>
        <w:tc>
          <w:tcPr>
            <w:tcW w:w="850" w:type="dxa"/>
            <w:tcBorders>
              <w:top w:val="nil"/>
              <w:left w:val="nil"/>
              <w:bottom w:val="single" w:sz="12"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89.6</w:t>
            </w:r>
          </w:p>
        </w:tc>
        <w:tc>
          <w:tcPr>
            <w:tcW w:w="805" w:type="dxa"/>
            <w:tcBorders>
              <w:top w:val="nil"/>
              <w:left w:val="nil"/>
              <w:bottom w:val="single" w:sz="12"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89.4</w:t>
            </w:r>
          </w:p>
        </w:tc>
        <w:tc>
          <w:tcPr>
            <w:tcW w:w="787" w:type="dxa"/>
            <w:tcBorders>
              <w:top w:val="nil"/>
              <w:left w:val="nil"/>
              <w:bottom w:val="single" w:sz="12" w:space="0" w:color="auto"/>
              <w:right w:val="nil"/>
            </w:tcBorders>
          </w:tcPr>
          <w:p w:rsidR="004B6846" w:rsidRPr="00D57C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D57C63">
              <w:rPr>
                <w:rFonts w:eastAsiaTheme="minorEastAsia" w:cstheme="majorHAnsi"/>
                <w:color w:val="000000"/>
                <w:szCs w:val="19"/>
                <w:lang w:eastAsia="en-AU"/>
              </w:rPr>
              <w:t>86.8</w:t>
            </w:r>
          </w:p>
        </w:tc>
      </w:tr>
    </w:tbl>
    <w:p w:rsidR="004B6846" w:rsidRDefault="004B6846" w:rsidP="00CC0EB7">
      <w:pPr>
        <w:pStyle w:val="Source"/>
      </w:pPr>
      <w:r>
        <w:t>Source: Department of Treasury and Finance</w:t>
      </w:r>
    </w:p>
    <w:p w:rsidR="004B6846" w:rsidRDefault="004B6846" w:rsidP="00CC0EB7">
      <w:pPr>
        <w:pStyle w:val="Note"/>
      </w:pPr>
      <w:r>
        <w:t>Notes:</w:t>
      </w:r>
    </w:p>
    <w:p w:rsidR="004B6846" w:rsidRDefault="004B6846" w:rsidP="00CC0EB7">
      <w:pPr>
        <w:pStyle w:val="Note"/>
      </w:pPr>
      <w:r>
        <w:t>(a)</w:t>
      </w:r>
      <w:r>
        <w:tab/>
        <w:t xml:space="preserve">Net debt is the sum of deposits held, advances received and borrowings less the sum of cash, advances paid and investments, </w:t>
      </w:r>
      <w:r w:rsidR="00BA2EEF">
        <w:br/>
      </w:r>
      <w:r>
        <w:t>loans and placements.</w:t>
      </w:r>
    </w:p>
    <w:p w:rsidR="004B6846" w:rsidRDefault="004B6846" w:rsidP="00CC0EB7">
      <w:pPr>
        <w:pStyle w:val="Note"/>
      </w:pPr>
      <w:r>
        <w:t>(b)</w:t>
      </w:r>
      <w:r>
        <w:tab/>
        <w:t xml:space="preserve">Includes other benefits and provisions, payables and other liabilities less other </w:t>
      </w:r>
      <w:r w:rsidRPr="006A7C8A">
        <w:t>non</w:t>
      </w:r>
      <w:r w:rsidRPr="006A7C8A">
        <w:noBreakHyphen/>
      </w:r>
      <w:r>
        <w:t>equity financial assets.</w:t>
      </w:r>
    </w:p>
    <w:p w:rsidR="004B6846" w:rsidRDefault="004B6846" w:rsidP="00CC0EB7">
      <w:pPr>
        <w:pStyle w:val="Note"/>
      </w:pPr>
      <w:r>
        <w:t>(c)</w:t>
      </w:r>
      <w:r>
        <w:tab/>
        <w:t xml:space="preserve">Net financial liabilities is the sum of superannuation, borrowings and other net financial liabilities less </w:t>
      </w:r>
      <w:r w:rsidRPr="006A7C8A">
        <w:t>non</w:t>
      </w:r>
      <w:r w:rsidRPr="006A7C8A">
        <w:noBreakHyphen/>
      </w:r>
      <w:r>
        <w:t>equity financial assets.</w:t>
      </w:r>
    </w:p>
    <w:p w:rsidR="004B6846" w:rsidRDefault="004B6846" w:rsidP="00CC0EB7">
      <w:pPr>
        <w:pStyle w:val="Note"/>
      </w:pPr>
      <w:r>
        <w:t>(d)</w:t>
      </w:r>
      <w:r>
        <w:tab/>
        <w:t xml:space="preserve">Ratios to GSP may vary from publications year to year due to revisions made by the Australian Bureau of </w:t>
      </w:r>
      <w:r w:rsidR="00BA2EEF">
        <w:t>Statistics to its published GSP </w:t>
      </w:r>
      <w:r>
        <w:t>data.</w:t>
      </w:r>
    </w:p>
    <w:p w:rsidR="004B6846" w:rsidRDefault="004B6846" w:rsidP="00CC0EB7">
      <w:pPr>
        <w:pStyle w:val="Note"/>
      </w:pPr>
      <w:r>
        <w:t xml:space="preserve">(e) </w:t>
      </w:r>
      <w:r>
        <w:tab/>
        <w:t>The sum of NFPS net debt plus the superannuation liability as a proportion of NFPS total operating revenue.</w:t>
      </w:r>
    </w:p>
    <w:p w:rsidR="004B6846" w:rsidRDefault="004B6846" w:rsidP="00CC0EB7">
      <w:pPr>
        <w:keepLines w:val="0"/>
      </w:pPr>
      <w:r>
        <w:t>NFPS net debt is projected to increase to $49.2</w:t>
      </w:r>
      <w:r w:rsidRPr="006A7C8A">
        <w:t> billion</w:t>
      </w:r>
      <w:r>
        <w:t xml:space="preserve"> by 2021-22 following the ongoing investment in infrastructure projects over the budget and forward estimates period. The projected NFPS net debt to GSP ratio is expected to increase from 8.5</w:t>
      </w:r>
      <w:r w:rsidRPr="006A7C8A">
        <w:t> per cent</w:t>
      </w:r>
      <w:r>
        <w:t xml:space="preserve"> in 2018</w:t>
      </w:r>
      <w:r>
        <w:noBreakHyphen/>
        <w:t>19 to 9.3</w:t>
      </w:r>
      <w:r w:rsidRPr="006A7C8A">
        <w:t> per cent</w:t>
      </w:r>
      <w:r>
        <w:t xml:space="preserve"> in 2021-22, predominantly driven by the general government sector.</w:t>
      </w:r>
    </w:p>
    <w:p w:rsidR="004B6846" w:rsidRDefault="004B6846">
      <w:pPr>
        <w:keepLines w:val="0"/>
      </w:pPr>
      <w:r>
        <w:br w:type="page"/>
      </w:r>
    </w:p>
    <w:p w:rsidR="004B6846" w:rsidRDefault="004B6846" w:rsidP="00CC0EB7">
      <w:r>
        <w:lastRenderedPageBreak/>
        <w:t>Table 3.8 provides projections of several additional indicators of financial sustainability for the NFPS.</w:t>
      </w:r>
    </w:p>
    <w:p w:rsidR="004B6846" w:rsidRPr="001169FA" w:rsidRDefault="004B6846" w:rsidP="00CC0EB7">
      <w:pPr>
        <w:pStyle w:val="TableHeading"/>
        <w:rPr>
          <w:b w:val="0"/>
          <w:bCs/>
          <w:lang w:val="en-US"/>
        </w:rPr>
      </w:pPr>
      <w:r>
        <w:t>Table 3.8:</w:t>
      </w:r>
      <w:r>
        <w:tab/>
        <w:t xml:space="preserve">Indicators of financial sustainability of </w:t>
      </w:r>
      <w:r w:rsidRPr="006A7C8A">
        <w:t>non</w:t>
      </w:r>
      <w:r w:rsidRPr="006A7C8A">
        <w:noBreakHyphen/>
      </w:r>
      <w:r>
        <w:t>financial public sector</w:t>
      </w:r>
      <w:r>
        <w:tab/>
        <w:t>(per cent)</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083462" w:rsidRPr="001169FA" w:rsidTr="00A974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vMerge w:val="restart"/>
            <w:tcBorders>
              <w:top w:val="single" w:sz="6" w:space="0" w:color="auto"/>
              <w:left w:val="single" w:sz="6" w:space="0" w:color="auto"/>
              <w:right w:val="nil"/>
            </w:tcBorders>
            <w:shd w:val="solid" w:color="000000" w:fill="auto"/>
          </w:tcPr>
          <w:p w:rsidR="00083462" w:rsidRPr="001169FA" w:rsidRDefault="00083462" w:rsidP="00CC0EB7">
            <w:pPr>
              <w:autoSpaceDE w:val="0"/>
              <w:autoSpaceDN w:val="0"/>
              <w:adjustRightInd w:val="0"/>
              <w:rPr>
                <w:rFonts w:eastAsiaTheme="minorEastAsia" w:cstheme="majorHAnsi"/>
                <w:i w:val="0"/>
                <w:iCs/>
                <w:color w:val="FFFFFF"/>
                <w:szCs w:val="19"/>
                <w:lang w:eastAsia="en-AU"/>
              </w:rPr>
            </w:pPr>
          </w:p>
        </w:tc>
        <w:tc>
          <w:tcPr>
            <w:tcW w:w="850" w:type="dxa"/>
            <w:tcBorders>
              <w:top w:val="single" w:sz="6" w:space="0" w:color="auto"/>
              <w:left w:val="nil"/>
              <w:bottom w:val="nil"/>
              <w:right w:val="nil"/>
            </w:tcBorders>
            <w:shd w:val="solid" w:color="000000" w:fill="auto"/>
          </w:tcPr>
          <w:p w:rsidR="00083462" w:rsidRPr="001169FA" w:rsidRDefault="00083462"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1169FA">
              <w:rPr>
                <w:rFonts w:eastAsiaTheme="minorEastAsia" w:cstheme="majorHAnsi"/>
                <w:iCs/>
                <w:color w:val="FFFFFF"/>
                <w:szCs w:val="19"/>
                <w:lang w:eastAsia="en-AU"/>
              </w:rPr>
              <w:t>2018-19</w:t>
            </w:r>
          </w:p>
        </w:tc>
        <w:tc>
          <w:tcPr>
            <w:tcW w:w="850" w:type="dxa"/>
            <w:tcBorders>
              <w:top w:val="single" w:sz="6" w:space="0" w:color="auto"/>
              <w:left w:val="nil"/>
              <w:bottom w:val="nil"/>
              <w:right w:val="nil"/>
            </w:tcBorders>
            <w:shd w:val="solid" w:color="000000" w:fill="auto"/>
          </w:tcPr>
          <w:p w:rsidR="00083462" w:rsidRPr="001169FA" w:rsidRDefault="00083462"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1169FA">
              <w:rPr>
                <w:rFonts w:eastAsiaTheme="minorEastAsia" w:cstheme="majorHAnsi"/>
                <w:iCs/>
                <w:color w:val="FFFFFF"/>
                <w:szCs w:val="19"/>
                <w:lang w:eastAsia="en-AU"/>
              </w:rPr>
              <w:t>2019-20</w:t>
            </w:r>
          </w:p>
        </w:tc>
        <w:tc>
          <w:tcPr>
            <w:tcW w:w="850" w:type="dxa"/>
            <w:tcBorders>
              <w:top w:val="single" w:sz="6" w:space="0" w:color="auto"/>
              <w:left w:val="nil"/>
              <w:bottom w:val="nil"/>
              <w:right w:val="nil"/>
            </w:tcBorders>
            <w:shd w:val="solid" w:color="000000" w:fill="auto"/>
          </w:tcPr>
          <w:p w:rsidR="00083462" w:rsidRPr="001169FA" w:rsidRDefault="00083462"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1169FA">
              <w:rPr>
                <w:rFonts w:eastAsiaTheme="minorEastAsia" w:cstheme="majorHAnsi"/>
                <w:iCs/>
                <w:color w:val="FFFFFF"/>
                <w:szCs w:val="19"/>
                <w:lang w:eastAsia="en-AU"/>
              </w:rPr>
              <w:t>2020-21</w:t>
            </w:r>
          </w:p>
        </w:tc>
        <w:tc>
          <w:tcPr>
            <w:tcW w:w="850" w:type="dxa"/>
            <w:tcBorders>
              <w:top w:val="single" w:sz="6" w:space="0" w:color="auto"/>
              <w:left w:val="nil"/>
              <w:bottom w:val="nil"/>
              <w:right w:val="nil"/>
            </w:tcBorders>
            <w:shd w:val="solid" w:color="000000" w:fill="auto"/>
          </w:tcPr>
          <w:p w:rsidR="00083462" w:rsidRPr="001169FA" w:rsidRDefault="00083462"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1169FA">
              <w:rPr>
                <w:rFonts w:eastAsiaTheme="minorEastAsia" w:cstheme="majorHAnsi"/>
                <w:iCs/>
                <w:color w:val="FFFFFF"/>
                <w:szCs w:val="19"/>
                <w:lang w:eastAsia="en-AU"/>
              </w:rPr>
              <w:t>2021-22</w:t>
            </w:r>
          </w:p>
        </w:tc>
      </w:tr>
      <w:tr w:rsidR="00083462" w:rsidRPr="001169FA" w:rsidTr="00BA2EEF">
        <w:trPr>
          <w:trHeight w:val="59"/>
        </w:trPr>
        <w:tc>
          <w:tcPr>
            <w:cnfStyle w:val="001000000000" w:firstRow="0" w:lastRow="0" w:firstColumn="1" w:lastColumn="0" w:oddVBand="0" w:evenVBand="0" w:oddHBand="0" w:evenHBand="0" w:firstRowFirstColumn="0" w:firstRowLastColumn="0" w:lastRowFirstColumn="0" w:lastRowLastColumn="0"/>
            <w:tcW w:w="4365" w:type="dxa"/>
            <w:vMerge/>
            <w:tcBorders>
              <w:left w:val="single" w:sz="6" w:space="0" w:color="auto"/>
              <w:bottom w:val="nil"/>
              <w:right w:val="nil"/>
            </w:tcBorders>
            <w:shd w:val="solid" w:color="000000" w:fill="auto"/>
          </w:tcPr>
          <w:p w:rsidR="00083462" w:rsidRPr="001169FA" w:rsidRDefault="00083462" w:rsidP="00CC0EB7">
            <w:pPr>
              <w:keepLines w:val="0"/>
              <w:autoSpaceDE w:val="0"/>
              <w:autoSpaceDN w:val="0"/>
              <w:adjustRightInd w:val="0"/>
              <w:rPr>
                <w:rFonts w:eastAsiaTheme="minorEastAsia" w:cstheme="majorHAnsi"/>
                <w:i/>
                <w:iCs/>
                <w:color w:val="FFFFFF"/>
                <w:szCs w:val="19"/>
                <w:lang w:eastAsia="en-AU"/>
              </w:rPr>
            </w:pPr>
          </w:p>
        </w:tc>
        <w:tc>
          <w:tcPr>
            <w:tcW w:w="850" w:type="dxa"/>
            <w:tcBorders>
              <w:top w:val="single" w:sz="6" w:space="0" w:color="auto"/>
              <w:left w:val="nil"/>
              <w:bottom w:val="nil"/>
              <w:right w:val="nil"/>
            </w:tcBorders>
            <w:shd w:val="solid" w:color="000000" w:fill="auto"/>
          </w:tcPr>
          <w:p w:rsidR="00083462" w:rsidRPr="001169FA"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i/>
                <w:iCs/>
                <w:color w:val="FFFFFF"/>
                <w:szCs w:val="19"/>
                <w:lang w:eastAsia="en-AU"/>
              </w:rPr>
            </w:pPr>
            <w:r w:rsidRPr="001169FA">
              <w:rPr>
                <w:rFonts w:eastAsiaTheme="minorEastAsia" w:cstheme="majorHAnsi"/>
                <w:i/>
                <w:iCs/>
                <w:color w:val="FFFFFF"/>
                <w:szCs w:val="19"/>
                <w:lang w:eastAsia="en-AU"/>
              </w:rPr>
              <w:t>revised</w:t>
            </w:r>
          </w:p>
        </w:tc>
        <w:tc>
          <w:tcPr>
            <w:tcW w:w="850" w:type="dxa"/>
            <w:tcBorders>
              <w:top w:val="single" w:sz="6" w:space="0" w:color="auto"/>
              <w:left w:val="nil"/>
              <w:bottom w:val="nil"/>
              <w:right w:val="nil"/>
            </w:tcBorders>
            <w:shd w:val="solid" w:color="000000" w:fill="auto"/>
          </w:tcPr>
          <w:p w:rsidR="00083462" w:rsidRPr="001169FA"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i/>
                <w:iCs/>
                <w:color w:val="FFFFFF"/>
                <w:szCs w:val="19"/>
                <w:lang w:eastAsia="en-AU"/>
              </w:rPr>
            </w:pPr>
            <w:r w:rsidRPr="001169FA">
              <w:rPr>
                <w:rFonts w:eastAsiaTheme="minorEastAsia" w:cstheme="majorHAnsi"/>
                <w:i/>
                <w:iCs/>
                <w:color w:val="FFFFFF"/>
                <w:szCs w:val="19"/>
                <w:lang w:eastAsia="en-AU"/>
              </w:rPr>
              <w:t>estimate</w:t>
            </w:r>
          </w:p>
        </w:tc>
        <w:tc>
          <w:tcPr>
            <w:tcW w:w="850" w:type="dxa"/>
            <w:tcBorders>
              <w:top w:val="single" w:sz="6" w:space="0" w:color="auto"/>
              <w:left w:val="nil"/>
              <w:bottom w:val="nil"/>
              <w:right w:val="nil"/>
            </w:tcBorders>
            <w:shd w:val="solid" w:color="000000" w:fill="auto"/>
          </w:tcPr>
          <w:p w:rsidR="00083462" w:rsidRPr="001169FA"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i/>
                <w:iCs/>
                <w:color w:val="FFFFFF"/>
                <w:szCs w:val="19"/>
                <w:lang w:eastAsia="en-AU"/>
              </w:rPr>
            </w:pPr>
            <w:r w:rsidRPr="001169FA">
              <w:rPr>
                <w:rFonts w:eastAsiaTheme="minorEastAsia" w:cstheme="majorHAnsi"/>
                <w:i/>
                <w:iCs/>
                <w:color w:val="FFFFFF"/>
                <w:szCs w:val="19"/>
                <w:lang w:eastAsia="en-AU"/>
              </w:rPr>
              <w:t>estimate</w:t>
            </w:r>
          </w:p>
        </w:tc>
        <w:tc>
          <w:tcPr>
            <w:tcW w:w="850" w:type="dxa"/>
            <w:tcBorders>
              <w:top w:val="single" w:sz="6" w:space="0" w:color="auto"/>
              <w:left w:val="nil"/>
              <w:bottom w:val="nil"/>
              <w:right w:val="nil"/>
            </w:tcBorders>
            <w:shd w:val="solid" w:color="000000" w:fill="auto"/>
          </w:tcPr>
          <w:p w:rsidR="00083462" w:rsidRPr="001169FA"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i/>
                <w:iCs/>
                <w:color w:val="FFFFFF"/>
                <w:szCs w:val="19"/>
                <w:lang w:eastAsia="en-AU"/>
              </w:rPr>
            </w:pPr>
            <w:r w:rsidRPr="001169FA">
              <w:rPr>
                <w:rFonts w:eastAsiaTheme="minorEastAsia" w:cstheme="majorHAnsi"/>
                <w:i/>
                <w:iCs/>
                <w:color w:val="FFFFFF"/>
                <w:szCs w:val="19"/>
                <w:lang w:eastAsia="en-AU"/>
              </w:rPr>
              <w:t>estimate</w:t>
            </w:r>
          </w:p>
        </w:tc>
      </w:tr>
      <w:tr w:rsidR="004B6846" w:rsidRPr="001169FA"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1169FA" w:rsidRDefault="004B6846" w:rsidP="00CC0EB7">
            <w:pPr>
              <w:keepLines w:val="0"/>
              <w:autoSpaceDE w:val="0"/>
              <w:autoSpaceDN w:val="0"/>
              <w:adjustRightInd w:val="0"/>
              <w:rPr>
                <w:rFonts w:eastAsiaTheme="minorEastAsia" w:cstheme="majorHAnsi"/>
                <w:color w:val="000000"/>
                <w:szCs w:val="19"/>
                <w:lang w:eastAsia="en-AU"/>
              </w:rPr>
            </w:pPr>
            <w:r w:rsidRPr="001169FA">
              <w:rPr>
                <w:rFonts w:eastAsiaTheme="minorEastAsia" w:cstheme="majorHAnsi"/>
                <w:color w:val="000000"/>
                <w:szCs w:val="19"/>
                <w:lang w:eastAsia="en-AU"/>
              </w:rPr>
              <w:t>Operating cash flow surplus to revenue</w:t>
            </w:r>
          </w:p>
        </w:tc>
        <w:tc>
          <w:tcPr>
            <w:tcW w:w="850" w:type="dxa"/>
            <w:tcBorders>
              <w:top w:val="nil"/>
              <w:left w:val="nil"/>
              <w:bottom w:val="nil"/>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11.3</w:t>
            </w:r>
          </w:p>
        </w:tc>
        <w:tc>
          <w:tcPr>
            <w:tcW w:w="850" w:type="dxa"/>
            <w:tcBorders>
              <w:top w:val="nil"/>
              <w:left w:val="nil"/>
              <w:bottom w:val="nil"/>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6.1</w:t>
            </w:r>
          </w:p>
        </w:tc>
        <w:tc>
          <w:tcPr>
            <w:tcW w:w="850" w:type="dxa"/>
            <w:tcBorders>
              <w:top w:val="nil"/>
              <w:left w:val="nil"/>
              <w:bottom w:val="nil"/>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6.8</w:t>
            </w:r>
          </w:p>
        </w:tc>
        <w:tc>
          <w:tcPr>
            <w:tcW w:w="850" w:type="dxa"/>
            <w:tcBorders>
              <w:top w:val="nil"/>
              <w:left w:val="nil"/>
              <w:bottom w:val="nil"/>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8.0</w:t>
            </w:r>
          </w:p>
        </w:tc>
      </w:tr>
      <w:tr w:rsidR="004B6846" w:rsidRPr="001169FA"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1169FA" w:rsidRDefault="004B6846" w:rsidP="00CC0EB7">
            <w:pPr>
              <w:keepLines w:val="0"/>
              <w:autoSpaceDE w:val="0"/>
              <w:autoSpaceDN w:val="0"/>
              <w:adjustRightInd w:val="0"/>
              <w:rPr>
                <w:rFonts w:eastAsiaTheme="minorEastAsia" w:cstheme="majorHAnsi"/>
                <w:color w:val="000000"/>
                <w:szCs w:val="19"/>
                <w:lang w:eastAsia="en-AU"/>
              </w:rPr>
            </w:pPr>
            <w:r w:rsidRPr="001169FA">
              <w:rPr>
                <w:rFonts w:eastAsiaTheme="minorEastAsia" w:cstheme="majorHAnsi"/>
                <w:color w:val="000000"/>
                <w:szCs w:val="19"/>
                <w:lang w:eastAsia="en-AU"/>
              </w:rPr>
              <w:t xml:space="preserve">Gross debt to revenue </w:t>
            </w:r>
            <w:r w:rsidRPr="001169FA">
              <w:rPr>
                <w:rFonts w:eastAsiaTheme="minorEastAsia" w:cstheme="majorHAnsi"/>
                <w:color w:val="000000"/>
                <w:szCs w:val="19"/>
                <w:vertAlign w:val="superscript"/>
                <w:lang w:eastAsia="en-AU"/>
              </w:rPr>
              <w:t>(a)</w:t>
            </w:r>
          </w:p>
        </w:tc>
        <w:tc>
          <w:tcPr>
            <w:tcW w:w="850" w:type="dxa"/>
            <w:tcBorders>
              <w:top w:val="nil"/>
              <w:left w:val="nil"/>
              <w:bottom w:val="nil"/>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67.5</w:t>
            </w:r>
          </w:p>
        </w:tc>
        <w:tc>
          <w:tcPr>
            <w:tcW w:w="850" w:type="dxa"/>
            <w:tcBorders>
              <w:top w:val="nil"/>
              <w:left w:val="nil"/>
              <w:bottom w:val="nil"/>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74.8</w:t>
            </w:r>
          </w:p>
        </w:tc>
        <w:tc>
          <w:tcPr>
            <w:tcW w:w="850" w:type="dxa"/>
            <w:tcBorders>
              <w:top w:val="nil"/>
              <w:left w:val="nil"/>
              <w:bottom w:val="nil"/>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76.7</w:t>
            </w:r>
          </w:p>
        </w:tc>
        <w:tc>
          <w:tcPr>
            <w:tcW w:w="850" w:type="dxa"/>
            <w:tcBorders>
              <w:top w:val="nil"/>
              <w:left w:val="nil"/>
              <w:bottom w:val="nil"/>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76.3</w:t>
            </w:r>
          </w:p>
        </w:tc>
      </w:tr>
      <w:tr w:rsidR="004B6846" w:rsidRPr="001169FA"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12" w:space="0" w:color="auto"/>
              <w:right w:val="nil"/>
            </w:tcBorders>
          </w:tcPr>
          <w:p w:rsidR="004B6846" w:rsidRPr="001169FA" w:rsidRDefault="004B6846" w:rsidP="00CC0EB7">
            <w:pPr>
              <w:keepLines w:val="0"/>
              <w:autoSpaceDE w:val="0"/>
              <w:autoSpaceDN w:val="0"/>
              <w:adjustRightInd w:val="0"/>
              <w:rPr>
                <w:rFonts w:eastAsiaTheme="minorEastAsia" w:cstheme="majorHAnsi"/>
                <w:color w:val="000000"/>
                <w:szCs w:val="19"/>
                <w:lang w:eastAsia="en-AU"/>
              </w:rPr>
            </w:pPr>
            <w:r w:rsidRPr="001169FA">
              <w:rPr>
                <w:rFonts w:eastAsiaTheme="minorEastAsia" w:cstheme="majorHAnsi"/>
                <w:color w:val="000000"/>
                <w:szCs w:val="19"/>
                <w:lang w:eastAsia="en-AU"/>
              </w:rPr>
              <w:t>Interest expense to revenue</w:t>
            </w:r>
          </w:p>
        </w:tc>
        <w:tc>
          <w:tcPr>
            <w:tcW w:w="850" w:type="dxa"/>
            <w:tcBorders>
              <w:top w:val="nil"/>
              <w:left w:val="nil"/>
              <w:bottom w:val="single" w:sz="12" w:space="0" w:color="auto"/>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3.4</w:t>
            </w:r>
          </w:p>
        </w:tc>
        <w:tc>
          <w:tcPr>
            <w:tcW w:w="850" w:type="dxa"/>
            <w:tcBorders>
              <w:top w:val="nil"/>
              <w:left w:val="nil"/>
              <w:bottom w:val="single" w:sz="12" w:space="0" w:color="auto"/>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3.5</w:t>
            </w:r>
          </w:p>
        </w:tc>
        <w:tc>
          <w:tcPr>
            <w:tcW w:w="850" w:type="dxa"/>
            <w:tcBorders>
              <w:top w:val="nil"/>
              <w:left w:val="nil"/>
              <w:bottom w:val="single" w:sz="12" w:space="0" w:color="auto"/>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3.6</w:t>
            </w:r>
          </w:p>
        </w:tc>
        <w:tc>
          <w:tcPr>
            <w:tcW w:w="850" w:type="dxa"/>
            <w:tcBorders>
              <w:top w:val="nil"/>
              <w:left w:val="nil"/>
              <w:bottom w:val="single" w:sz="12" w:space="0" w:color="auto"/>
              <w:right w:val="nil"/>
            </w:tcBorders>
          </w:tcPr>
          <w:p w:rsidR="004B6846" w:rsidRPr="001169FA"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1169FA">
              <w:rPr>
                <w:rFonts w:eastAsiaTheme="minorEastAsia" w:cstheme="majorHAnsi"/>
                <w:color w:val="000000"/>
                <w:szCs w:val="19"/>
                <w:lang w:eastAsia="en-AU"/>
              </w:rPr>
              <w:t>3.5</w:t>
            </w:r>
          </w:p>
        </w:tc>
      </w:tr>
    </w:tbl>
    <w:p w:rsidR="004B6846" w:rsidRDefault="004B6846" w:rsidP="00CC0EB7">
      <w:pPr>
        <w:pStyle w:val="Source"/>
      </w:pPr>
      <w:r>
        <w:t>Source: Department of Treasury and Finance</w:t>
      </w:r>
    </w:p>
    <w:p w:rsidR="004B6846" w:rsidRDefault="004B6846" w:rsidP="00CC0EB7">
      <w:pPr>
        <w:pStyle w:val="Note"/>
      </w:pPr>
      <w:r>
        <w:t>Note:</w:t>
      </w:r>
    </w:p>
    <w:p w:rsidR="004B6846" w:rsidRDefault="004B6846" w:rsidP="00CC0EB7">
      <w:pPr>
        <w:pStyle w:val="Note"/>
      </w:pPr>
      <w:r>
        <w:t>(a)</w:t>
      </w:r>
      <w:r>
        <w:tab/>
        <w:t>Gross debt includes borrowings and deposits held and advances received.</w:t>
      </w:r>
    </w:p>
    <w:p w:rsidR="004B6846" w:rsidRDefault="004B6846" w:rsidP="00CC0EB7"/>
    <w:p w:rsidR="004B6846" w:rsidRDefault="004B6846" w:rsidP="00CC0EB7">
      <w:r>
        <w:t>The ratio of operating cash flow to revenue is a measure of the relative size of the operating result and therefore provides a measure of operating performance. This ratio is higher in 2018-19 mainly due to cash receipts from commercialising part of Victoria’s land titles and registry functions. This ratio increases to 8 per cent by 2021-22 due to improving operating cash flow surpluses over the budget and forward estimates supported by improving revenue.</w:t>
      </w:r>
    </w:p>
    <w:p w:rsidR="004B6846" w:rsidRDefault="004B6846" w:rsidP="00CC0EB7">
      <w:r>
        <w:t>The ratio of NFPS’ interest expense to revenue is a measure of the State’s debt service burden. This ratio is expected to be 3.4</w:t>
      </w:r>
      <w:r w:rsidRPr="006A7C8A">
        <w:t> per cent</w:t>
      </w:r>
      <w:r>
        <w:t xml:space="preserve"> in </w:t>
      </w:r>
      <w:r w:rsidRPr="006A7C8A">
        <w:t>201</w:t>
      </w:r>
      <w:r>
        <w:t>8</w:t>
      </w:r>
      <w:r w:rsidRPr="006A7C8A">
        <w:noBreakHyphen/>
        <w:t>1</w:t>
      </w:r>
      <w:r>
        <w:t>9 and remain relatively stable over the budget and forward estimates period. This is due to higher interest costs from rising debt levels being offset by increasing revenues. The overall debt burden is evidenced by the ratio of gross debt to revenue, which is estimated to be 67.5</w:t>
      </w:r>
      <w:r w:rsidRPr="006A7C8A">
        <w:t> per cent</w:t>
      </w:r>
      <w:r>
        <w:t xml:space="preserve"> in </w:t>
      </w:r>
      <w:r w:rsidRPr="006A7C8A">
        <w:t>201</w:t>
      </w:r>
      <w:r>
        <w:t>8</w:t>
      </w:r>
      <w:r w:rsidRPr="006A7C8A">
        <w:noBreakHyphen/>
        <w:t>1</w:t>
      </w:r>
      <w:r>
        <w:t xml:space="preserve">9, increasing to 76.3 per </w:t>
      </w:r>
      <w:r w:rsidRPr="006A7C8A">
        <w:t>cent</w:t>
      </w:r>
      <w:r>
        <w:t xml:space="preserve"> by 2021</w:t>
      </w:r>
      <w:r>
        <w:noBreakHyphen/>
        <w:t xml:space="preserve">22. </w:t>
      </w:r>
    </w:p>
    <w:p w:rsidR="004B6846" w:rsidRDefault="004B6846">
      <w:pPr>
        <w:keepLines w:val="0"/>
        <w:rPr>
          <w:rFonts w:asciiTheme="majorHAnsi" w:eastAsiaTheme="majorEastAsia" w:hAnsiTheme="majorHAnsi" w:cstheme="majorBidi"/>
          <w:b/>
          <w:bCs/>
          <w:caps/>
          <w:spacing w:val="-2"/>
          <w:sz w:val="26"/>
          <w:szCs w:val="28"/>
        </w:rPr>
      </w:pPr>
      <w:r>
        <w:br w:type="page"/>
      </w:r>
    </w:p>
    <w:p w:rsidR="004B6846" w:rsidRDefault="004B6846" w:rsidP="00CC0EB7">
      <w:pPr>
        <w:pStyle w:val="Heading10"/>
      </w:pPr>
      <w:bookmarkStart w:id="27" w:name="_Toc531884954"/>
      <w:r>
        <w:lastRenderedPageBreak/>
        <w:t>State of Victoria</w:t>
      </w:r>
      <w:bookmarkEnd w:id="27"/>
    </w:p>
    <w:p w:rsidR="004B6846" w:rsidRPr="00FF3197" w:rsidRDefault="004B6846" w:rsidP="00CC0EB7">
      <w:r>
        <w:t xml:space="preserve">The State of Victoria financial results are obtained by consolidating the </w:t>
      </w:r>
      <w:r w:rsidRPr="006D731E">
        <w:t xml:space="preserve">public financial corporations (PFC) </w:t>
      </w:r>
      <w:r>
        <w:t>sector with the NFPS. There are two broad types of PFCs; those that provide services to the general public and businesses (statutory insurers such as Transport Accident Commission and WorkSafe Victoria) and those that provide financial services predominantly to other government entities (such as the Victorian Funds Management Corporation and the Treasury Corporation of Victoria).</w:t>
      </w:r>
    </w:p>
    <w:p w:rsidR="004B6846" w:rsidRPr="00083462" w:rsidRDefault="004B6846" w:rsidP="00083462">
      <w:pPr>
        <w:pStyle w:val="TableHeading"/>
      </w:pPr>
      <w:r w:rsidRPr="00083462">
        <w:t xml:space="preserve">Table 3.9: </w:t>
      </w:r>
      <w:r w:rsidRPr="00083462">
        <w:tab/>
        <w:t xml:space="preserve">Summary operating statement of the State of Victoria </w:t>
      </w:r>
      <w:r w:rsidRPr="00083462">
        <w:rPr>
          <w:vertAlign w:val="superscript"/>
        </w:rPr>
        <w:t>(a)</w:t>
      </w:r>
      <w:r w:rsidRPr="00083462">
        <w:tab/>
        <w:t>($ million)</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3746"/>
        <w:gridCol w:w="1014"/>
        <w:gridCol w:w="1013"/>
        <w:gridCol w:w="1013"/>
        <w:gridCol w:w="981"/>
      </w:tblGrid>
      <w:tr w:rsidR="00CC0EB7" w:rsidRPr="00956279" w:rsidTr="00CC0EB7">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746" w:type="dxa"/>
            <w:tcBorders>
              <w:top w:val="nil"/>
              <w:left w:val="nil"/>
              <w:right w:val="nil"/>
            </w:tcBorders>
            <w:shd w:val="solid" w:color="000000" w:fill="auto"/>
          </w:tcPr>
          <w:p w:rsidR="00CC0EB7" w:rsidRPr="00956279" w:rsidRDefault="00CC0EB7" w:rsidP="00CC0EB7">
            <w:pPr>
              <w:pStyle w:val="Source"/>
              <w:rPr>
                <w:rFonts w:eastAsiaTheme="minorEastAsia" w:cstheme="majorHAnsi"/>
                <w:i/>
                <w:iCs/>
                <w:color w:val="FFFFFF"/>
                <w:sz w:val="17"/>
                <w:szCs w:val="19"/>
                <w:lang w:eastAsia="en-AU"/>
              </w:rPr>
            </w:pPr>
            <w:r w:rsidRPr="00956279">
              <w:rPr>
                <w:rFonts w:eastAsiaTheme="minorEastAsia" w:cstheme="majorHAnsi"/>
                <w:i/>
                <w:iCs/>
                <w:color w:val="FFFFFF"/>
                <w:sz w:val="17"/>
                <w:szCs w:val="19"/>
                <w:lang w:eastAsia="en-AU"/>
              </w:rPr>
              <w:t xml:space="preserve"> </w:t>
            </w:r>
            <w:r w:rsidRPr="00956279">
              <w:rPr>
                <w:rFonts w:eastAsiaTheme="minorEastAsia" w:cstheme="majorHAnsi"/>
                <w:i/>
                <w:iCs/>
                <w:color w:val="FFFFFF"/>
                <w:szCs w:val="19"/>
                <w:lang w:eastAsia="en-AU"/>
              </w:rPr>
              <w:t xml:space="preserve"> </w:t>
            </w:r>
          </w:p>
        </w:tc>
        <w:tc>
          <w:tcPr>
            <w:tcW w:w="1014" w:type="dxa"/>
            <w:tcBorders>
              <w:top w:val="nil"/>
              <w:left w:val="nil"/>
              <w:right w:val="nil"/>
            </w:tcBorders>
            <w:shd w:val="solid" w:color="000000" w:fill="auto"/>
          </w:tcPr>
          <w:p w:rsidR="00CC0EB7" w:rsidRPr="00956279"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956279">
              <w:rPr>
                <w:rFonts w:eastAsiaTheme="minorEastAsia" w:cstheme="majorHAnsi"/>
                <w:iCs/>
                <w:color w:val="FFFFFF"/>
                <w:szCs w:val="19"/>
                <w:lang w:eastAsia="en-AU"/>
              </w:rPr>
              <w:t>2018-19</w:t>
            </w:r>
            <w:r>
              <w:rPr>
                <w:rFonts w:eastAsiaTheme="minorEastAsia" w:cstheme="majorHAnsi"/>
                <w:iCs/>
                <w:color w:val="FFFFFF"/>
                <w:szCs w:val="19"/>
                <w:lang w:eastAsia="en-AU"/>
              </w:rPr>
              <w:br/>
            </w:r>
            <w:r w:rsidRPr="00956279">
              <w:rPr>
                <w:rFonts w:eastAsiaTheme="minorEastAsia" w:cstheme="majorHAnsi"/>
                <w:iCs/>
                <w:color w:val="FFFFFF"/>
                <w:szCs w:val="19"/>
                <w:lang w:eastAsia="en-AU"/>
              </w:rPr>
              <w:t>revised</w:t>
            </w:r>
          </w:p>
        </w:tc>
        <w:tc>
          <w:tcPr>
            <w:tcW w:w="1013" w:type="dxa"/>
            <w:tcBorders>
              <w:top w:val="nil"/>
              <w:left w:val="nil"/>
              <w:right w:val="nil"/>
            </w:tcBorders>
            <w:shd w:val="solid" w:color="000000" w:fill="auto"/>
          </w:tcPr>
          <w:p w:rsidR="00CC0EB7" w:rsidRPr="00956279"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956279">
              <w:rPr>
                <w:rFonts w:eastAsiaTheme="minorEastAsia" w:cstheme="majorHAnsi"/>
                <w:iCs/>
                <w:color w:val="FFFFFF"/>
                <w:szCs w:val="19"/>
                <w:lang w:eastAsia="en-AU"/>
              </w:rPr>
              <w:t>2019-20</w:t>
            </w:r>
            <w:r>
              <w:rPr>
                <w:rFonts w:eastAsiaTheme="minorEastAsia" w:cstheme="majorHAnsi"/>
                <w:iCs/>
                <w:color w:val="FFFFFF"/>
                <w:szCs w:val="19"/>
                <w:lang w:eastAsia="en-AU"/>
              </w:rPr>
              <w:br/>
            </w:r>
            <w:r w:rsidRPr="00956279">
              <w:rPr>
                <w:rFonts w:eastAsiaTheme="minorEastAsia" w:cstheme="majorHAnsi"/>
                <w:iCs/>
                <w:color w:val="FFFFFF"/>
                <w:szCs w:val="19"/>
                <w:lang w:eastAsia="en-AU"/>
              </w:rPr>
              <w:t>estimate</w:t>
            </w:r>
          </w:p>
        </w:tc>
        <w:tc>
          <w:tcPr>
            <w:tcW w:w="1013" w:type="dxa"/>
            <w:tcBorders>
              <w:top w:val="nil"/>
              <w:left w:val="nil"/>
              <w:right w:val="nil"/>
            </w:tcBorders>
            <w:shd w:val="solid" w:color="000000" w:fill="auto"/>
          </w:tcPr>
          <w:p w:rsidR="00CC0EB7" w:rsidRPr="00956279"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956279">
              <w:rPr>
                <w:rFonts w:eastAsiaTheme="minorEastAsia" w:cstheme="majorHAnsi"/>
                <w:iCs/>
                <w:color w:val="FFFFFF"/>
                <w:szCs w:val="19"/>
                <w:lang w:eastAsia="en-AU"/>
              </w:rPr>
              <w:t>2020-21</w:t>
            </w:r>
            <w:r>
              <w:rPr>
                <w:rFonts w:eastAsiaTheme="minorEastAsia" w:cstheme="majorHAnsi"/>
                <w:iCs/>
                <w:color w:val="FFFFFF"/>
                <w:szCs w:val="19"/>
                <w:lang w:eastAsia="en-AU"/>
              </w:rPr>
              <w:br/>
            </w:r>
            <w:r w:rsidRPr="00956279">
              <w:rPr>
                <w:rFonts w:eastAsiaTheme="minorEastAsia" w:cstheme="majorHAnsi"/>
                <w:iCs/>
                <w:color w:val="FFFFFF"/>
                <w:szCs w:val="19"/>
                <w:lang w:eastAsia="en-AU"/>
              </w:rPr>
              <w:t>estimate</w:t>
            </w:r>
          </w:p>
        </w:tc>
        <w:tc>
          <w:tcPr>
            <w:tcW w:w="981" w:type="dxa"/>
            <w:tcBorders>
              <w:top w:val="nil"/>
              <w:left w:val="nil"/>
              <w:right w:val="nil"/>
            </w:tcBorders>
            <w:shd w:val="solid" w:color="000000" w:fill="auto"/>
          </w:tcPr>
          <w:p w:rsidR="00CC0EB7" w:rsidRPr="00956279"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956279">
              <w:rPr>
                <w:rFonts w:eastAsiaTheme="minorEastAsia" w:cstheme="majorHAnsi"/>
                <w:iCs/>
                <w:color w:val="FFFFFF"/>
                <w:szCs w:val="19"/>
                <w:lang w:eastAsia="en-AU"/>
              </w:rPr>
              <w:t>2021-22</w:t>
            </w:r>
            <w:r>
              <w:rPr>
                <w:rFonts w:eastAsiaTheme="minorEastAsia" w:cstheme="majorHAnsi"/>
                <w:iCs/>
                <w:color w:val="FFFFFF"/>
                <w:szCs w:val="19"/>
                <w:lang w:eastAsia="en-AU"/>
              </w:rPr>
              <w:br/>
            </w:r>
            <w:r w:rsidRPr="00956279">
              <w:rPr>
                <w:rFonts w:eastAsiaTheme="minorEastAsia" w:cstheme="majorHAnsi"/>
                <w:iCs/>
                <w:color w:val="FFFFFF"/>
                <w:szCs w:val="19"/>
                <w:lang w:eastAsia="en-AU"/>
              </w:rPr>
              <w:t>estimate</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3746"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b/>
                <w:bCs/>
                <w:color w:val="000000"/>
                <w:szCs w:val="19"/>
                <w:lang w:eastAsia="en-AU"/>
              </w:rPr>
            </w:pPr>
            <w:r w:rsidRPr="00956279">
              <w:rPr>
                <w:rFonts w:eastAsiaTheme="minorEastAsia" w:cstheme="majorHAnsi"/>
                <w:b/>
                <w:bCs/>
                <w:color w:val="000000"/>
                <w:szCs w:val="19"/>
                <w:lang w:eastAsia="en-AU"/>
              </w:rPr>
              <w:t>Revenue</w:t>
            </w:r>
          </w:p>
        </w:tc>
        <w:tc>
          <w:tcPr>
            <w:tcW w:w="1014"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56279">
              <w:rPr>
                <w:rFonts w:eastAsiaTheme="minorEastAsia" w:cstheme="majorHAnsi"/>
                <w:b/>
                <w:bCs/>
                <w:color w:val="000000"/>
                <w:szCs w:val="19"/>
                <w:lang w:eastAsia="en-AU"/>
              </w:rPr>
              <w:t xml:space="preserve"> </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 xml:space="preserve"> </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 xml:space="preserve"> </w:t>
            </w:r>
          </w:p>
        </w:tc>
        <w:tc>
          <w:tcPr>
            <w:tcW w:w="981"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 xml:space="preserve"> </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3746"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color w:val="000000"/>
                <w:szCs w:val="19"/>
                <w:lang w:eastAsia="en-AU"/>
              </w:rPr>
            </w:pPr>
            <w:r w:rsidRPr="00956279">
              <w:rPr>
                <w:rFonts w:eastAsiaTheme="minorEastAsia" w:cstheme="majorHAnsi"/>
                <w:color w:val="000000"/>
                <w:szCs w:val="19"/>
                <w:lang w:eastAsia="en-AU"/>
              </w:rPr>
              <w:t>Taxation revenue</w:t>
            </w:r>
          </w:p>
        </w:tc>
        <w:tc>
          <w:tcPr>
            <w:tcW w:w="1014"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23 634</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24 584</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25 508</w:t>
            </w:r>
          </w:p>
        </w:tc>
        <w:tc>
          <w:tcPr>
            <w:tcW w:w="981"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26 772</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3746"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color w:val="000000"/>
                <w:szCs w:val="19"/>
                <w:lang w:eastAsia="en-AU"/>
              </w:rPr>
            </w:pPr>
            <w:r w:rsidRPr="00956279">
              <w:rPr>
                <w:rFonts w:eastAsiaTheme="minorEastAsia" w:cstheme="majorHAnsi"/>
                <w:color w:val="000000"/>
                <w:szCs w:val="19"/>
                <w:lang w:eastAsia="en-AU"/>
              </w:rPr>
              <w:t>Dividends, income tax equivalent and interest</w:t>
            </w:r>
          </w:p>
        </w:tc>
        <w:tc>
          <w:tcPr>
            <w:tcW w:w="1014"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2 225</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2 162</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2 522</w:t>
            </w:r>
          </w:p>
        </w:tc>
        <w:tc>
          <w:tcPr>
            <w:tcW w:w="981"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2 606</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3746"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color w:val="000000"/>
                <w:szCs w:val="19"/>
                <w:lang w:eastAsia="en-AU"/>
              </w:rPr>
            </w:pPr>
            <w:r w:rsidRPr="00956279">
              <w:rPr>
                <w:rFonts w:eastAsiaTheme="minorEastAsia" w:cstheme="majorHAnsi"/>
                <w:color w:val="000000"/>
                <w:szCs w:val="19"/>
                <w:lang w:eastAsia="en-AU"/>
              </w:rPr>
              <w:t>Sales of goods and services</w:t>
            </w:r>
          </w:p>
        </w:tc>
        <w:tc>
          <w:tcPr>
            <w:tcW w:w="1014"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15 286</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16 439</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16 972</w:t>
            </w:r>
          </w:p>
        </w:tc>
        <w:tc>
          <w:tcPr>
            <w:tcW w:w="981"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17 668</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3746"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color w:val="000000"/>
                <w:szCs w:val="19"/>
                <w:lang w:eastAsia="en-AU"/>
              </w:rPr>
            </w:pPr>
            <w:r w:rsidRPr="00956279">
              <w:rPr>
                <w:rFonts w:eastAsiaTheme="minorEastAsia" w:cstheme="majorHAnsi"/>
                <w:color w:val="000000"/>
                <w:szCs w:val="19"/>
                <w:lang w:eastAsia="en-AU"/>
              </w:rPr>
              <w:t>Grant revenue</w:t>
            </w:r>
          </w:p>
        </w:tc>
        <w:tc>
          <w:tcPr>
            <w:tcW w:w="1014"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32 525</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32 912</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34 068</w:t>
            </w:r>
          </w:p>
        </w:tc>
        <w:tc>
          <w:tcPr>
            <w:tcW w:w="981"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35 271</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3746" w:type="dxa"/>
            <w:tcBorders>
              <w:top w:val="nil"/>
              <w:left w:val="nil"/>
              <w:bottom w:val="single" w:sz="6" w:space="0" w:color="auto"/>
              <w:right w:val="nil"/>
            </w:tcBorders>
          </w:tcPr>
          <w:p w:rsidR="004B6846" w:rsidRPr="00956279" w:rsidRDefault="004B6846" w:rsidP="00CC0EB7">
            <w:pPr>
              <w:keepLines w:val="0"/>
              <w:autoSpaceDE w:val="0"/>
              <w:autoSpaceDN w:val="0"/>
              <w:adjustRightInd w:val="0"/>
              <w:rPr>
                <w:rFonts w:eastAsiaTheme="minorEastAsia" w:cstheme="majorHAnsi"/>
                <w:color w:val="000000"/>
                <w:szCs w:val="19"/>
                <w:lang w:eastAsia="en-AU"/>
              </w:rPr>
            </w:pPr>
            <w:r w:rsidRPr="00956279">
              <w:rPr>
                <w:rFonts w:eastAsiaTheme="minorEastAsia" w:cstheme="majorHAnsi"/>
                <w:color w:val="000000"/>
                <w:szCs w:val="19"/>
                <w:lang w:eastAsia="en-AU"/>
              </w:rPr>
              <w:t>Other current revenue</w:t>
            </w:r>
          </w:p>
        </w:tc>
        <w:tc>
          <w:tcPr>
            <w:tcW w:w="1014" w:type="dxa"/>
            <w:tcBorders>
              <w:top w:val="nil"/>
              <w:left w:val="nil"/>
              <w:bottom w:val="single" w:sz="6" w:space="0" w:color="auto"/>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3 281</w:t>
            </w:r>
          </w:p>
        </w:tc>
        <w:tc>
          <w:tcPr>
            <w:tcW w:w="1013" w:type="dxa"/>
            <w:tcBorders>
              <w:top w:val="nil"/>
              <w:left w:val="nil"/>
              <w:bottom w:val="single" w:sz="6" w:space="0" w:color="auto"/>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3 233</w:t>
            </w:r>
          </w:p>
        </w:tc>
        <w:tc>
          <w:tcPr>
            <w:tcW w:w="1013" w:type="dxa"/>
            <w:tcBorders>
              <w:top w:val="nil"/>
              <w:left w:val="nil"/>
              <w:bottom w:val="single" w:sz="6" w:space="0" w:color="auto"/>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3 317</w:t>
            </w:r>
          </w:p>
        </w:tc>
        <w:tc>
          <w:tcPr>
            <w:tcW w:w="981" w:type="dxa"/>
            <w:tcBorders>
              <w:top w:val="nil"/>
              <w:left w:val="nil"/>
              <w:bottom w:val="single" w:sz="6" w:space="0" w:color="auto"/>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3 361</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3746"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b/>
                <w:bCs/>
                <w:color w:val="000000"/>
                <w:szCs w:val="19"/>
                <w:lang w:eastAsia="en-AU"/>
              </w:rPr>
            </w:pPr>
            <w:r w:rsidRPr="00956279">
              <w:rPr>
                <w:rFonts w:eastAsiaTheme="minorEastAsia" w:cstheme="majorHAnsi"/>
                <w:b/>
                <w:bCs/>
                <w:color w:val="000000"/>
                <w:szCs w:val="19"/>
                <w:lang w:eastAsia="en-AU"/>
              </w:rPr>
              <w:t>Total revenue</w:t>
            </w:r>
          </w:p>
        </w:tc>
        <w:tc>
          <w:tcPr>
            <w:tcW w:w="1014"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56279">
              <w:rPr>
                <w:rFonts w:eastAsiaTheme="minorEastAsia" w:cstheme="majorHAnsi"/>
                <w:b/>
                <w:bCs/>
                <w:color w:val="000000"/>
                <w:szCs w:val="19"/>
                <w:lang w:eastAsia="en-AU"/>
              </w:rPr>
              <w:t>76 951</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56279">
              <w:rPr>
                <w:rFonts w:eastAsiaTheme="minorEastAsia" w:cstheme="majorHAnsi"/>
                <w:b/>
                <w:bCs/>
                <w:color w:val="000000"/>
                <w:szCs w:val="19"/>
                <w:lang w:eastAsia="en-AU"/>
              </w:rPr>
              <w:t>79 330</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56279">
              <w:rPr>
                <w:rFonts w:eastAsiaTheme="minorEastAsia" w:cstheme="majorHAnsi"/>
                <w:b/>
                <w:bCs/>
                <w:color w:val="000000"/>
                <w:szCs w:val="19"/>
                <w:lang w:eastAsia="en-AU"/>
              </w:rPr>
              <w:t>82 387</w:t>
            </w:r>
          </w:p>
        </w:tc>
        <w:tc>
          <w:tcPr>
            <w:tcW w:w="981"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56279">
              <w:rPr>
                <w:rFonts w:eastAsiaTheme="minorEastAsia" w:cstheme="majorHAnsi"/>
                <w:b/>
                <w:bCs/>
                <w:color w:val="000000"/>
                <w:szCs w:val="19"/>
                <w:lang w:eastAsia="en-AU"/>
              </w:rPr>
              <w:t>85 679</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3746"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i/>
                <w:iCs/>
                <w:color w:val="000000"/>
                <w:szCs w:val="19"/>
                <w:lang w:eastAsia="en-AU"/>
              </w:rPr>
            </w:pPr>
            <w:r w:rsidRPr="00956279">
              <w:rPr>
                <w:rFonts w:eastAsiaTheme="minorEastAsia" w:cstheme="majorHAnsi"/>
                <w:i/>
                <w:iCs/>
                <w:color w:val="000000"/>
                <w:szCs w:val="19"/>
                <w:lang w:eastAsia="en-AU"/>
              </w:rPr>
              <w:t>% change</w:t>
            </w:r>
          </w:p>
        </w:tc>
        <w:tc>
          <w:tcPr>
            <w:tcW w:w="1014"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56279">
              <w:rPr>
                <w:rFonts w:eastAsiaTheme="minorEastAsia" w:cstheme="majorHAnsi"/>
                <w:i/>
                <w:iCs/>
                <w:color w:val="000000"/>
                <w:szCs w:val="19"/>
                <w:lang w:eastAsia="en-AU"/>
              </w:rPr>
              <w:t>5.5</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3.1</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3.9</w:t>
            </w:r>
          </w:p>
        </w:tc>
        <w:tc>
          <w:tcPr>
            <w:tcW w:w="981"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4.0</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3746"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b/>
                <w:bCs/>
                <w:color w:val="000000"/>
                <w:szCs w:val="19"/>
                <w:lang w:eastAsia="en-AU"/>
              </w:rPr>
            </w:pPr>
            <w:r w:rsidRPr="00956279">
              <w:rPr>
                <w:rFonts w:eastAsiaTheme="minorEastAsia" w:cstheme="majorHAnsi"/>
                <w:b/>
                <w:bCs/>
                <w:color w:val="000000"/>
                <w:szCs w:val="19"/>
                <w:lang w:eastAsia="en-AU"/>
              </w:rPr>
              <w:t>Expenses</w:t>
            </w:r>
          </w:p>
        </w:tc>
        <w:tc>
          <w:tcPr>
            <w:tcW w:w="1014"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56279">
              <w:rPr>
                <w:rFonts w:eastAsiaTheme="minorEastAsia" w:cstheme="majorHAnsi"/>
                <w:b/>
                <w:bCs/>
                <w:color w:val="000000"/>
                <w:szCs w:val="19"/>
                <w:lang w:eastAsia="en-AU"/>
              </w:rPr>
              <w:t xml:space="preserve"> </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 xml:space="preserve"> </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 xml:space="preserve"> </w:t>
            </w:r>
          </w:p>
        </w:tc>
        <w:tc>
          <w:tcPr>
            <w:tcW w:w="981"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 xml:space="preserve"> </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3746"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color w:val="000000"/>
                <w:szCs w:val="19"/>
                <w:lang w:eastAsia="en-AU"/>
              </w:rPr>
            </w:pPr>
            <w:r w:rsidRPr="00956279">
              <w:rPr>
                <w:rFonts w:eastAsiaTheme="minorEastAsia" w:cstheme="majorHAnsi"/>
                <w:color w:val="000000"/>
                <w:szCs w:val="19"/>
                <w:lang w:eastAsia="en-AU"/>
              </w:rPr>
              <w:t>Employee expenses</w:t>
            </w:r>
          </w:p>
        </w:tc>
        <w:tc>
          <w:tcPr>
            <w:tcW w:w="1014"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26 246</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27 725</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28 794</w:t>
            </w:r>
          </w:p>
        </w:tc>
        <w:tc>
          <w:tcPr>
            <w:tcW w:w="981"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29 897</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3746"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color w:val="000000"/>
                <w:szCs w:val="19"/>
                <w:lang w:eastAsia="en-AU"/>
              </w:rPr>
            </w:pPr>
            <w:r w:rsidRPr="00956279">
              <w:rPr>
                <w:rFonts w:eastAsiaTheme="minorEastAsia" w:cstheme="majorHAnsi"/>
                <w:color w:val="000000"/>
                <w:szCs w:val="19"/>
                <w:lang w:eastAsia="en-AU"/>
              </w:rPr>
              <w:t xml:space="preserve">Superannuation </w:t>
            </w:r>
            <w:r w:rsidRPr="00956279">
              <w:rPr>
                <w:rFonts w:eastAsiaTheme="minorEastAsia" w:cstheme="majorHAnsi"/>
                <w:color w:val="000000"/>
                <w:szCs w:val="19"/>
                <w:vertAlign w:val="superscript"/>
                <w:lang w:eastAsia="en-AU"/>
              </w:rPr>
              <w:t>(b)</w:t>
            </w:r>
          </w:p>
        </w:tc>
        <w:tc>
          <w:tcPr>
            <w:tcW w:w="1014"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3 601</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3 608</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3 652</w:t>
            </w:r>
          </w:p>
        </w:tc>
        <w:tc>
          <w:tcPr>
            <w:tcW w:w="981"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3 748</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3746"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color w:val="000000"/>
                <w:szCs w:val="19"/>
                <w:lang w:eastAsia="en-AU"/>
              </w:rPr>
            </w:pPr>
            <w:r w:rsidRPr="00956279">
              <w:rPr>
                <w:rFonts w:eastAsiaTheme="minorEastAsia" w:cstheme="majorHAnsi"/>
                <w:color w:val="000000"/>
                <w:szCs w:val="19"/>
                <w:lang w:eastAsia="en-AU"/>
              </w:rPr>
              <w:t xml:space="preserve">Depreciation </w:t>
            </w:r>
          </w:p>
        </w:tc>
        <w:tc>
          <w:tcPr>
            <w:tcW w:w="1014"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5 315</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5 540</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6 025</w:t>
            </w:r>
          </w:p>
        </w:tc>
        <w:tc>
          <w:tcPr>
            <w:tcW w:w="981"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6 371</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3746"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color w:val="000000"/>
                <w:szCs w:val="19"/>
                <w:lang w:eastAsia="en-AU"/>
              </w:rPr>
            </w:pPr>
            <w:r w:rsidRPr="00956279">
              <w:rPr>
                <w:rFonts w:eastAsiaTheme="minorEastAsia" w:cstheme="majorHAnsi"/>
                <w:color w:val="000000"/>
                <w:szCs w:val="19"/>
                <w:lang w:eastAsia="en-AU"/>
              </w:rPr>
              <w:t>Interest expense</w:t>
            </w:r>
          </w:p>
        </w:tc>
        <w:tc>
          <w:tcPr>
            <w:tcW w:w="1014"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2 569</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2 670</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2 797</w:t>
            </w:r>
          </w:p>
        </w:tc>
        <w:tc>
          <w:tcPr>
            <w:tcW w:w="981"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2 864</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3746"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color w:val="000000"/>
                <w:szCs w:val="19"/>
                <w:lang w:eastAsia="en-AU"/>
              </w:rPr>
            </w:pPr>
            <w:r w:rsidRPr="00956279">
              <w:rPr>
                <w:rFonts w:eastAsiaTheme="minorEastAsia" w:cstheme="majorHAnsi"/>
                <w:color w:val="000000"/>
                <w:szCs w:val="19"/>
                <w:lang w:eastAsia="en-AU"/>
              </w:rPr>
              <w:t>Grant expense</w:t>
            </w:r>
          </w:p>
        </w:tc>
        <w:tc>
          <w:tcPr>
            <w:tcW w:w="1014"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9 143</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10 380</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10 404</w:t>
            </w:r>
          </w:p>
        </w:tc>
        <w:tc>
          <w:tcPr>
            <w:tcW w:w="981"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10 844</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3746" w:type="dxa"/>
            <w:tcBorders>
              <w:top w:val="nil"/>
              <w:left w:val="nil"/>
              <w:bottom w:val="single" w:sz="6" w:space="0" w:color="auto"/>
              <w:right w:val="nil"/>
            </w:tcBorders>
          </w:tcPr>
          <w:p w:rsidR="004B6846" w:rsidRPr="00956279" w:rsidRDefault="004B6846" w:rsidP="00CC0EB7">
            <w:pPr>
              <w:keepLines w:val="0"/>
              <w:autoSpaceDE w:val="0"/>
              <w:autoSpaceDN w:val="0"/>
              <w:adjustRightInd w:val="0"/>
              <w:rPr>
                <w:rFonts w:eastAsiaTheme="minorEastAsia" w:cstheme="majorHAnsi"/>
                <w:color w:val="000000"/>
                <w:szCs w:val="19"/>
                <w:lang w:eastAsia="en-AU"/>
              </w:rPr>
            </w:pPr>
            <w:r w:rsidRPr="00956279">
              <w:rPr>
                <w:rFonts w:eastAsiaTheme="minorEastAsia" w:cstheme="majorHAnsi"/>
                <w:color w:val="000000"/>
                <w:szCs w:val="19"/>
                <w:lang w:eastAsia="en-AU"/>
              </w:rPr>
              <w:t>Other operating expenses</w:t>
            </w:r>
          </w:p>
        </w:tc>
        <w:tc>
          <w:tcPr>
            <w:tcW w:w="1014" w:type="dxa"/>
            <w:tcBorders>
              <w:top w:val="nil"/>
              <w:left w:val="nil"/>
              <w:bottom w:val="single" w:sz="6" w:space="0" w:color="auto"/>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31 199</w:t>
            </w:r>
          </w:p>
        </w:tc>
        <w:tc>
          <w:tcPr>
            <w:tcW w:w="1013" w:type="dxa"/>
            <w:tcBorders>
              <w:top w:val="nil"/>
              <w:left w:val="nil"/>
              <w:bottom w:val="single" w:sz="6" w:space="0" w:color="auto"/>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30 516</w:t>
            </w:r>
          </w:p>
        </w:tc>
        <w:tc>
          <w:tcPr>
            <w:tcW w:w="1013" w:type="dxa"/>
            <w:tcBorders>
              <w:top w:val="nil"/>
              <w:left w:val="nil"/>
              <w:bottom w:val="single" w:sz="6" w:space="0" w:color="auto"/>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30 595</w:t>
            </w:r>
          </w:p>
        </w:tc>
        <w:tc>
          <w:tcPr>
            <w:tcW w:w="981" w:type="dxa"/>
            <w:tcBorders>
              <w:top w:val="nil"/>
              <w:left w:val="nil"/>
              <w:bottom w:val="single" w:sz="6" w:space="0" w:color="auto"/>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31 882</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3746"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b/>
                <w:bCs/>
                <w:color w:val="000000"/>
                <w:szCs w:val="19"/>
                <w:lang w:eastAsia="en-AU"/>
              </w:rPr>
            </w:pPr>
            <w:r w:rsidRPr="00956279">
              <w:rPr>
                <w:rFonts w:eastAsiaTheme="minorEastAsia" w:cstheme="majorHAnsi"/>
                <w:b/>
                <w:bCs/>
                <w:color w:val="000000"/>
                <w:szCs w:val="19"/>
                <w:lang w:eastAsia="en-AU"/>
              </w:rPr>
              <w:t>Total expenses</w:t>
            </w:r>
          </w:p>
        </w:tc>
        <w:tc>
          <w:tcPr>
            <w:tcW w:w="1014"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56279">
              <w:rPr>
                <w:rFonts w:eastAsiaTheme="minorEastAsia" w:cstheme="majorHAnsi"/>
                <w:b/>
                <w:bCs/>
                <w:color w:val="000000"/>
                <w:szCs w:val="19"/>
                <w:lang w:eastAsia="en-AU"/>
              </w:rPr>
              <w:t>78 074</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56279">
              <w:rPr>
                <w:rFonts w:eastAsiaTheme="minorEastAsia" w:cstheme="majorHAnsi"/>
                <w:b/>
                <w:bCs/>
                <w:color w:val="000000"/>
                <w:szCs w:val="19"/>
                <w:lang w:eastAsia="en-AU"/>
              </w:rPr>
              <w:t>80 439</w:t>
            </w:r>
          </w:p>
        </w:tc>
        <w:tc>
          <w:tcPr>
            <w:tcW w:w="1013"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56279">
              <w:rPr>
                <w:rFonts w:eastAsiaTheme="minorEastAsia" w:cstheme="majorHAnsi"/>
                <w:b/>
                <w:bCs/>
                <w:color w:val="000000"/>
                <w:szCs w:val="19"/>
                <w:lang w:eastAsia="en-AU"/>
              </w:rPr>
              <w:t>82 267</w:t>
            </w:r>
          </w:p>
        </w:tc>
        <w:tc>
          <w:tcPr>
            <w:tcW w:w="981"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56279">
              <w:rPr>
                <w:rFonts w:eastAsiaTheme="minorEastAsia" w:cstheme="majorHAnsi"/>
                <w:b/>
                <w:bCs/>
                <w:color w:val="000000"/>
                <w:szCs w:val="19"/>
                <w:lang w:eastAsia="en-AU"/>
              </w:rPr>
              <w:t>85 606</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3746" w:type="dxa"/>
            <w:tcBorders>
              <w:top w:val="nil"/>
              <w:left w:val="nil"/>
              <w:bottom w:val="single" w:sz="6" w:space="0" w:color="auto"/>
              <w:right w:val="nil"/>
            </w:tcBorders>
          </w:tcPr>
          <w:p w:rsidR="004B6846" w:rsidRPr="00956279" w:rsidRDefault="004B6846" w:rsidP="00CC0EB7">
            <w:pPr>
              <w:keepLines w:val="0"/>
              <w:autoSpaceDE w:val="0"/>
              <w:autoSpaceDN w:val="0"/>
              <w:adjustRightInd w:val="0"/>
              <w:rPr>
                <w:rFonts w:eastAsiaTheme="minorEastAsia" w:cstheme="majorHAnsi"/>
                <w:i/>
                <w:iCs/>
                <w:color w:val="000000"/>
                <w:szCs w:val="19"/>
                <w:lang w:eastAsia="en-AU"/>
              </w:rPr>
            </w:pPr>
            <w:r w:rsidRPr="00956279">
              <w:rPr>
                <w:rFonts w:eastAsiaTheme="minorEastAsia" w:cstheme="majorHAnsi"/>
                <w:i/>
                <w:iCs/>
                <w:color w:val="000000"/>
                <w:szCs w:val="19"/>
                <w:lang w:eastAsia="en-AU"/>
              </w:rPr>
              <w:t>% change</w:t>
            </w:r>
          </w:p>
        </w:tc>
        <w:tc>
          <w:tcPr>
            <w:tcW w:w="1014" w:type="dxa"/>
            <w:tcBorders>
              <w:top w:val="nil"/>
              <w:left w:val="nil"/>
              <w:bottom w:val="single" w:sz="6" w:space="0" w:color="auto"/>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56279">
              <w:rPr>
                <w:rFonts w:eastAsiaTheme="minorEastAsia" w:cstheme="majorHAnsi"/>
                <w:i/>
                <w:iCs/>
                <w:color w:val="000000"/>
                <w:szCs w:val="19"/>
                <w:lang w:eastAsia="en-AU"/>
              </w:rPr>
              <w:t>7.0</w:t>
            </w:r>
          </w:p>
        </w:tc>
        <w:tc>
          <w:tcPr>
            <w:tcW w:w="1013" w:type="dxa"/>
            <w:tcBorders>
              <w:top w:val="nil"/>
              <w:left w:val="nil"/>
              <w:bottom w:val="single" w:sz="6" w:space="0" w:color="auto"/>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3.0</w:t>
            </w:r>
          </w:p>
        </w:tc>
        <w:tc>
          <w:tcPr>
            <w:tcW w:w="1013" w:type="dxa"/>
            <w:tcBorders>
              <w:top w:val="nil"/>
              <w:left w:val="nil"/>
              <w:bottom w:val="single" w:sz="6" w:space="0" w:color="auto"/>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2.3</w:t>
            </w:r>
          </w:p>
        </w:tc>
        <w:tc>
          <w:tcPr>
            <w:tcW w:w="981" w:type="dxa"/>
            <w:tcBorders>
              <w:top w:val="nil"/>
              <w:left w:val="nil"/>
              <w:bottom w:val="single" w:sz="6" w:space="0" w:color="auto"/>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4.1</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3746" w:type="dxa"/>
            <w:tcBorders>
              <w:top w:val="nil"/>
              <w:left w:val="nil"/>
              <w:bottom w:val="single" w:sz="6" w:space="0" w:color="auto"/>
              <w:right w:val="nil"/>
            </w:tcBorders>
          </w:tcPr>
          <w:p w:rsidR="004B6846" w:rsidRPr="00956279" w:rsidRDefault="004B6846" w:rsidP="00CC0EB7">
            <w:pPr>
              <w:keepLines w:val="0"/>
              <w:autoSpaceDE w:val="0"/>
              <w:autoSpaceDN w:val="0"/>
              <w:adjustRightInd w:val="0"/>
              <w:rPr>
                <w:rFonts w:eastAsiaTheme="minorEastAsia" w:cstheme="majorHAnsi"/>
                <w:b/>
                <w:bCs/>
                <w:color w:val="000000"/>
                <w:szCs w:val="19"/>
                <w:lang w:eastAsia="en-AU"/>
              </w:rPr>
            </w:pPr>
            <w:r w:rsidRPr="00956279">
              <w:rPr>
                <w:rFonts w:eastAsiaTheme="minorEastAsia" w:cstheme="majorHAnsi"/>
                <w:b/>
                <w:bCs/>
                <w:color w:val="000000"/>
                <w:szCs w:val="19"/>
                <w:lang w:eastAsia="en-AU"/>
              </w:rPr>
              <w:t>Net result from transactions</w:t>
            </w:r>
          </w:p>
        </w:tc>
        <w:tc>
          <w:tcPr>
            <w:tcW w:w="1014" w:type="dxa"/>
            <w:tcBorders>
              <w:top w:val="nil"/>
              <w:left w:val="nil"/>
              <w:bottom w:val="single" w:sz="6"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b/>
              </w:rPr>
            </w:pPr>
            <w:r>
              <w:rPr>
                <w:rFonts w:eastAsiaTheme="minorEastAsia" w:cstheme="majorHAnsi"/>
                <w:b/>
                <w:bCs/>
                <w:color w:val="000000"/>
                <w:szCs w:val="19"/>
                <w:lang w:eastAsia="en-AU"/>
              </w:rPr>
              <w:t>(1 123)</w:t>
            </w:r>
          </w:p>
        </w:tc>
        <w:tc>
          <w:tcPr>
            <w:tcW w:w="1013" w:type="dxa"/>
            <w:tcBorders>
              <w:top w:val="nil"/>
              <w:left w:val="nil"/>
              <w:bottom w:val="single" w:sz="6"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b/>
              </w:rPr>
            </w:pPr>
            <w:r>
              <w:rPr>
                <w:rFonts w:eastAsiaTheme="minorEastAsia" w:cstheme="majorHAnsi"/>
                <w:b/>
                <w:bCs/>
                <w:color w:val="000000"/>
                <w:szCs w:val="19"/>
                <w:lang w:eastAsia="en-AU"/>
              </w:rPr>
              <w:t>(1 109)</w:t>
            </w:r>
          </w:p>
        </w:tc>
        <w:tc>
          <w:tcPr>
            <w:tcW w:w="1013" w:type="dxa"/>
            <w:tcBorders>
              <w:top w:val="nil"/>
              <w:left w:val="nil"/>
              <w:bottom w:val="single" w:sz="6"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Pr>
                <w:rFonts w:eastAsiaTheme="minorEastAsia" w:cstheme="majorHAnsi"/>
                <w:b/>
                <w:bCs/>
                <w:color w:val="000000"/>
                <w:szCs w:val="19"/>
                <w:lang w:eastAsia="en-AU"/>
              </w:rPr>
              <w:t>120</w:t>
            </w:r>
          </w:p>
        </w:tc>
        <w:tc>
          <w:tcPr>
            <w:tcW w:w="981" w:type="dxa"/>
            <w:tcBorders>
              <w:top w:val="nil"/>
              <w:left w:val="nil"/>
              <w:bottom w:val="single" w:sz="6"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b/>
              </w:rPr>
            </w:pPr>
            <w:r>
              <w:rPr>
                <w:rFonts w:eastAsiaTheme="minorEastAsia" w:cstheme="majorHAnsi"/>
                <w:b/>
                <w:bCs/>
                <w:color w:val="000000"/>
                <w:szCs w:val="19"/>
                <w:lang w:eastAsia="en-AU"/>
              </w:rPr>
              <w:t>73</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3746" w:type="dxa"/>
            <w:tcBorders>
              <w:top w:val="single" w:sz="6" w:space="0" w:color="auto"/>
              <w:left w:val="nil"/>
              <w:bottom w:val="single" w:sz="6" w:space="0" w:color="auto"/>
              <w:right w:val="nil"/>
            </w:tcBorders>
          </w:tcPr>
          <w:p w:rsidR="004B6846" w:rsidRPr="00956279" w:rsidRDefault="004B6846" w:rsidP="00CC0EB7">
            <w:pPr>
              <w:keepLines w:val="0"/>
              <w:autoSpaceDE w:val="0"/>
              <w:autoSpaceDN w:val="0"/>
              <w:adjustRightInd w:val="0"/>
              <w:rPr>
                <w:rFonts w:eastAsiaTheme="minorEastAsia" w:cstheme="majorHAnsi"/>
                <w:b/>
                <w:bCs/>
                <w:color w:val="000000"/>
                <w:szCs w:val="19"/>
                <w:lang w:eastAsia="en-AU"/>
              </w:rPr>
            </w:pPr>
            <w:r w:rsidRPr="00956279">
              <w:rPr>
                <w:rFonts w:eastAsiaTheme="minorEastAsia" w:cstheme="majorHAnsi"/>
                <w:b/>
                <w:bCs/>
                <w:color w:val="000000"/>
                <w:szCs w:val="19"/>
                <w:lang w:eastAsia="en-AU"/>
              </w:rPr>
              <w:t>Total other economic flows included in net result</w:t>
            </w:r>
          </w:p>
        </w:tc>
        <w:tc>
          <w:tcPr>
            <w:tcW w:w="1014" w:type="dxa"/>
            <w:tcBorders>
              <w:top w:val="single" w:sz="6" w:space="0" w:color="auto"/>
              <w:left w:val="nil"/>
              <w:bottom w:val="single" w:sz="6" w:space="0" w:color="auto"/>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56279">
              <w:rPr>
                <w:rFonts w:eastAsiaTheme="minorEastAsia" w:cstheme="majorHAnsi"/>
                <w:b/>
                <w:bCs/>
                <w:color w:val="000000"/>
                <w:szCs w:val="19"/>
                <w:lang w:eastAsia="en-AU"/>
              </w:rPr>
              <w:t>1 721</w:t>
            </w:r>
          </w:p>
        </w:tc>
        <w:tc>
          <w:tcPr>
            <w:tcW w:w="1013" w:type="dxa"/>
            <w:tcBorders>
              <w:top w:val="single" w:sz="6" w:space="0" w:color="auto"/>
              <w:left w:val="nil"/>
              <w:bottom w:val="single" w:sz="6" w:space="0" w:color="auto"/>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56279">
              <w:rPr>
                <w:rFonts w:eastAsiaTheme="minorEastAsia" w:cstheme="majorHAnsi"/>
                <w:b/>
                <w:bCs/>
                <w:color w:val="000000"/>
                <w:szCs w:val="19"/>
                <w:lang w:eastAsia="en-AU"/>
              </w:rPr>
              <w:t>1 162</w:t>
            </w:r>
          </w:p>
        </w:tc>
        <w:tc>
          <w:tcPr>
            <w:tcW w:w="1013" w:type="dxa"/>
            <w:tcBorders>
              <w:top w:val="single" w:sz="6" w:space="0" w:color="auto"/>
              <w:left w:val="nil"/>
              <w:bottom w:val="single" w:sz="6" w:space="0" w:color="auto"/>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56279">
              <w:rPr>
                <w:rFonts w:eastAsiaTheme="minorEastAsia" w:cstheme="majorHAnsi"/>
                <w:b/>
                <w:bCs/>
                <w:color w:val="000000"/>
                <w:szCs w:val="19"/>
                <w:lang w:eastAsia="en-AU"/>
              </w:rPr>
              <w:t>1 249</w:t>
            </w:r>
          </w:p>
        </w:tc>
        <w:tc>
          <w:tcPr>
            <w:tcW w:w="981" w:type="dxa"/>
            <w:tcBorders>
              <w:top w:val="single" w:sz="6" w:space="0" w:color="auto"/>
              <w:left w:val="nil"/>
              <w:bottom w:val="single" w:sz="6" w:space="0" w:color="auto"/>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9"/>
                <w:lang w:eastAsia="en-AU"/>
              </w:rPr>
            </w:pPr>
            <w:r w:rsidRPr="00956279">
              <w:rPr>
                <w:rFonts w:eastAsiaTheme="minorEastAsia" w:cstheme="majorHAnsi"/>
                <w:b/>
                <w:bCs/>
                <w:color w:val="000000"/>
                <w:szCs w:val="19"/>
                <w:lang w:eastAsia="en-AU"/>
              </w:rPr>
              <w:t>1 292</w:t>
            </w:r>
          </w:p>
        </w:tc>
      </w:tr>
      <w:tr w:rsidR="004B6846" w:rsidRPr="00956279"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6" w:type="dxa"/>
            <w:tcBorders>
              <w:top w:val="single" w:sz="6" w:space="0" w:color="auto"/>
              <w:bottom w:val="single" w:sz="12" w:space="0" w:color="auto"/>
            </w:tcBorders>
          </w:tcPr>
          <w:p w:rsidR="004B6846" w:rsidRPr="00956279" w:rsidRDefault="004B6846" w:rsidP="00CC0EB7">
            <w:pPr>
              <w:keepLines w:val="0"/>
              <w:autoSpaceDE w:val="0"/>
              <w:autoSpaceDN w:val="0"/>
              <w:adjustRightInd w:val="0"/>
              <w:rPr>
                <w:rFonts w:eastAsiaTheme="minorEastAsia" w:cstheme="majorHAnsi"/>
                <w:bCs/>
                <w:color w:val="000000"/>
                <w:szCs w:val="19"/>
                <w:lang w:eastAsia="en-AU"/>
              </w:rPr>
            </w:pPr>
            <w:r w:rsidRPr="00956279">
              <w:rPr>
                <w:rFonts w:eastAsiaTheme="minorEastAsia" w:cstheme="majorHAnsi"/>
                <w:bCs/>
                <w:color w:val="000000"/>
                <w:szCs w:val="19"/>
                <w:lang w:eastAsia="en-AU"/>
              </w:rPr>
              <w:t>Net result</w:t>
            </w:r>
          </w:p>
        </w:tc>
        <w:tc>
          <w:tcPr>
            <w:tcW w:w="1014" w:type="dxa"/>
            <w:tcBorders>
              <w:top w:val="single" w:sz="6" w:space="0" w:color="auto"/>
              <w:bottom w:val="single" w:sz="12" w:space="0" w:color="auto"/>
            </w:tcBorders>
          </w:tcPr>
          <w:p w:rsidR="004B6846" w:rsidRPr="00956279" w:rsidRDefault="00083462"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9"/>
                <w:lang w:eastAsia="en-AU"/>
              </w:rPr>
            </w:pPr>
            <w:r>
              <w:rPr>
                <w:rFonts w:eastAsiaTheme="minorEastAsia" w:cstheme="majorHAnsi"/>
                <w:bCs/>
                <w:color w:val="000000"/>
                <w:szCs w:val="19"/>
                <w:lang w:eastAsia="en-AU"/>
              </w:rPr>
              <w:t>598</w:t>
            </w:r>
          </w:p>
        </w:tc>
        <w:tc>
          <w:tcPr>
            <w:tcW w:w="1013" w:type="dxa"/>
            <w:tcBorders>
              <w:top w:val="single" w:sz="6" w:space="0" w:color="auto"/>
              <w:bottom w:val="single" w:sz="12" w:space="0" w:color="auto"/>
            </w:tcBorders>
          </w:tcPr>
          <w:p w:rsidR="004B6846" w:rsidRPr="00956279" w:rsidRDefault="00083462"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pPr>
            <w:r>
              <w:rPr>
                <w:rFonts w:eastAsiaTheme="minorEastAsia" w:cstheme="majorHAnsi"/>
                <w:bCs/>
                <w:color w:val="000000"/>
                <w:szCs w:val="19"/>
                <w:lang w:eastAsia="en-AU"/>
              </w:rPr>
              <w:t>53</w:t>
            </w:r>
          </w:p>
        </w:tc>
        <w:tc>
          <w:tcPr>
            <w:tcW w:w="1013" w:type="dxa"/>
            <w:tcBorders>
              <w:top w:val="single" w:sz="6" w:space="0" w:color="auto"/>
              <w:bottom w:val="single" w:sz="12" w:space="0" w:color="auto"/>
            </w:tcBorders>
          </w:tcPr>
          <w:p w:rsidR="004B6846" w:rsidRPr="00956279"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pPr>
            <w:r w:rsidRPr="00956279">
              <w:rPr>
                <w:rFonts w:eastAsiaTheme="minorEastAsia" w:cstheme="majorHAnsi"/>
                <w:bCs/>
                <w:color w:val="000000"/>
                <w:szCs w:val="19"/>
                <w:lang w:eastAsia="en-AU"/>
              </w:rPr>
              <w:t xml:space="preserve">1 </w:t>
            </w:r>
            <w:r w:rsidRPr="00956279">
              <w:t>369</w:t>
            </w:r>
          </w:p>
        </w:tc>
        <w:tc>
          <w:tcPr>
            <w:tcW w:w="981" w:type="dxa"/>
            <w:tcBorders>
              <w:top w:val="single" w:sz="6" w:space="0" w:color="auto"/>
              <w:bottom w:val="single" w:sz="12" w:space="0" w:color="auto"/>
            </w:tcBorders>
          </w:tcPr>
          <w:p w:rsidR="004B6846" w:rsidRPr="00956279"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9"/>
                <w:lang w:eastAsia="en-AU"/>
              </w:rPr>
            </w:pPr>
            <w:r w:rsidRPr="00956279">
              <w:rPr>
                <w:rFonts w:eastAsiaTheme="minorEastAsia" w:cstheme="majorHAnsi"/>
                <w:bCs/>
                <w:color w:val="000000"/>
                <w:szCs w:val="19"/>
                <w:lang w:eastAsia="en-AU"/>
              </w:rPr>
              <w:t>1 364</w:t>
            </w:r>
          </w:p>
        </w:tc>
      </w:tr>
    </w:tbl>
    <w:p w:rsidR="004B6846" w:rsidRDefault="004B6846" w:rsidP="00CC0EB7">
      <w:pPr>
        <w:pStyle w:val="Source"/>
      </w:pPr>
      <w:r>
        <w:t>Source: Department of Treasury and Finance</w:t>
      </w:r>
    </w:p>
    <w:p w:rsidR="004B6846" w:rsidRDefault="004B6846" w:rsidP="00CC0EB7">
      <w:pPr>
        <w:pStyle w:val="Note"/>
      </w:pPr>
      <w:r>
        <w:t>Notes:</w:t>
      </w:r>
    </w:p>
    <w:p w:rsidR="004B6846" w:rsidRPr="006E61F2" w:rsidRDefault="004B6846" w:rsidP="00CC0EB7">
      <w:pPr>
        <w:pStyle w:val="Note"/>
      </w:pPr>
      <w:r>
        <w:t>(a)</w:t>
      </w:r>
      <w:r>
        <w:tab/>
        <w:t xml:space="preserve">This is a summary operating statement. The comprehensive operating statement is presented in Chapter 5 </w:t>
      </w:r>
      <w:r w:rsidRPr="00E377F9">
        <w:rPr>
          <w:i w:val="0"/>
        </w:rPr>
        <w:t>Supplementary uniform presentation framework tables</w:t>
      </w:r>
      <w:r>
        <w:t xml:space="preserve">. Figures in this table are subject to rounding to the nearest million and may not add up to totals. </w:t>
      </w:r>
    </w:p>
    <w:p w:rsidR="004B6846" w:rsidRDefault="004B6846" w:rsidP="00CC0EB7">
      <w:pPr>
        <w:pStyle w:val="Note"/>
      </w:pPr>
      <w:r>
        <w:t>(b)</w:t>
      </w:r>
      <w:r>
        <w:tab/>
        <w:t>Comprises superannuation interest expense and other superannuation expenses.</w:t>
      </w:r>
    </w:p>
    <w:p w:rsidR="004B6846" w:rsidRDefault="004B6846" w:rsidP="00CC0EB7">
      <w:r>
        <w:t>The net result from transactions for the State in 2018-19 is projected to be a deficit of $1.1</w:t>
      </w:r>
      <w:r w:rsidRPr="006A7C8A">
        <w:t> </w:t>
      </w:r>
      <w:r>
        <w:t>b</w:t>
      </w:r>
      <w:r w:rsidRPr="006A7C8A">
        <w:t>illion</w:t>
      </w:r>
      <w:r>
        <w:t>, improving to a surplus of $73</w:t>
      </w:r>
      <w:r w:rsidRPr="006A7C8A">
        <w:t> million</w:t>
      </w:r>
      <w:r>
        <w:t xml:space="preserve"> by 2021-22. </w:t>
      </w:r>
    </w:p>
    <w:p w:rsidR="004B6846" w:rsidRDefault="004B6846" w:rsidP="00CC0EB7">
      <w:r>
        <w:t xml:space="preserve">The State’s insurers contribute substantially to the projected deficits because a significant portion of investment returns used to fund future claims costs is reported under other economic flows. </w:t>
      </w:r>
    </w:p>
    <w:p w:rsidR="004B6846" w:rsidRDefault="004B6846" w:rsidP="00CC0EB7">
      <w:r>
        <w:t>Consequently, the net result is a more meaningful measure of the expected operating position of the PFC sector and the State as it includes this substantial projected investment income averaging $1.4 billion over the budget and forward estimates.</w:t>
      </w:r>
      <w:r w:rsidRPr="00CD44DE">
        <w:t xml:space="preserve"> </w:t>
      </w:r>
      <w:r>
        <w:t>The net result at State level is a surplus of $598</w:t>
      </w:r>
      <w:r w:rsidRPr="006A7C8A">
        <w:t> </w:t>
      </w:r>
      <w:r>
        <w:t>m</w:t>
      </w:r>
      <w:r w:rsidRPr="006A7C8A">
        <w:t>illion</w:t>
      </w:r>
      <w:r>
        <w:t xml:space="preserve"> in </w:t>
      </w:r>
      <w:r w:rsidRPr="006A7C8A">
        <w:t>201</w:t>
      </w:r>
      <w:r>
        <w:t>8</w:t>
      </w:r>
      <w:r w:rsidRPr="006A7C8A">
        <w:noBreakHyphen/>
        <w:t>1</w:t>
      </w:r>
      <w:r>
        <w:t>9, improving to $1.4</w:t>
      </w:r>
      <w:r w:rsidRPr="006A7C8A">
        <w:t> billion</w:t>
      </w:r>
      <w:r>
        <w:t xml:space="preserve"> by </w:t>
      </w:r>
      <w:r w:rsidR="00083462">
        <w:t>2021</w:t>
      </w:r>
      <w:r w:rsidR="00083462">
        <w:noBreakHyphen/>
      </w:r>
      <w:r>
        <w:t>22.</w:t>
      </w:r>
    </w:p>
    <w:p w:rsidR="004B6846" w:rsidRDefault="004B6846" w:rsidP="00CC0EB7">
      <w:r>
        <w:lastRenderedPageBreak/>
        <w:t>Table 3.10 highlights the State’s financial position over the budget and forward estimates period. Total liabilities are projected to increase to $153</w:t>
      </w:r>
      <w:r w:rsidRPr="006A7C8A">
        <w:t> billion</w:t>
      </w:r>
      <w:r>
        <w:t xml:space="preserve"> by 2021-22, offset by expected increases in the State’s financial assets and non-financial assets. Financial assets are projected to increase to $60 billion by 2021-22 in line with the assumed growth in investments returns. N</w:t>
      </w:r>
      <w:r w:rsidRPr="006A7C8A">
        <w:t>on</w:t>
      </w:r>
      <w:r w:rsidRPr="006A7C8A">
        <w:noBreakHyphen/>
      </w:r>
      <w:r>
        <w:t>financial assets are projected to increase by $31 billion to $307</w:t>
      </w:r>
      <w:r w:rsidR="00083462">
        <w:t> </w:t>
      </w:r>
      <w:r>
        <w:t>billion, primarily from the Government’s infrastructure program and expected revaluations of fixed assets. As a result, the State’s net assets are forecast to increase from $194</w:t>
      </w:r>
      <w:r w:rsidRPr="006A7C8A">
        <w:t> billion</w:t>
      </w:r>
      <w:r>
        <w:t xml:space="preserve"> in </w:t>
      </w:r>
      <w:r w:rsidRPr="006A7C8A">
        <w:t>201</w:t>
      </w:r>
      <w:r>
        <w:t>8</w:t>
      </w:r>
      <w:r w:rsidRPr="006A7C8A">
        <w:noBreakHyphen/>
        <w:t>1</w:t>
      </w:r>
      <w:r>
        <w:t>9 to $215</w:t>
      </w:r>
      <w:r w:rsidRPr="006A7C8A">
        <w:t> billion</w:t>
      </w:r>
      <w:r>
        <w:t xml:space="preserve"> in 2021</w:t>
      </w:r>
      <w:r>
        <w:noBreakHyphen/>
        <w:t>22.</w:t>
      </w:r>
    </w:p>
    <w:p w:rsidR="004B6846" w:rsidRPr="00956279" w:rsidRDefault="004B6846" w:rsidP="00CC0EB7">
      <w:pPr>
        <w:pStyle w:val="TableHeading"/>
        <w:rPr>
          <w:bCs/>
          <w:i/>
          <w:spacing w:val="-2"/>
          <w:sz w:val="14"/>
          <w:lang w:val="en-US"/>
        </w:rPr>
      </w:pPr>
      <w:r>
        <w:t xml:space="preserve">Table 3.10: </w:t>
      </w:r>
      <w:r>
        <w:tab/>
        <w:t xml:space="preserve">Summary balance sheet for the State of Victoria </w:t>
      </w:r>
      <w:r w:rsidRPr="006A7C8A">
        <w:rPr>
          <w:vertAlign w:val="superscript"/>
        </w:rPr>
        <w:t>(a)</w:t>
      </w:r>
      <w:r>
        <w:tab/>
        <w:t>($ b</w:t>
      </w:r>
      <w:r w:rsidRPr="00455A9E">
        <w:t>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CC0EB7" w:rsidRPr="00956279" w:rsidTr="00CC0EB7">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auto"/>
          </w:tcPr>
          <w:p w:rsidR="00CC0EB7" w:rsidRPr="00956279" w:rsidRDefault="00CC0EB7" w:rsidP="00CC0EB7">
            <w:pPr>
              <w:pStyle w:val="Source"/>
              <w:rPr>
                <w:rFonts w:eastAsiaTheme="minorEastAsia" w:cstheme="majorHAnsi"/>
                <w:i/>
                <w:iCs/>
                <w:color w:val="FFFFFF"/>
                <w:sz w:val="17"/>
                <w:szCs w:val="19"/>
                <w:lang w:eastAsia="en-AU"/>
              </w:rPr>
            </w:pPr>
            <w:r w:rsidRPr="00956279">
              <w:rPr>
                <w:rFonts w:eastAsiaTheme="minorEastAsia" w:cstheme="majorHAnsi"/>
                <w:i/>
                <w:iCs/>
                <w:color w:val="FFFFFF"/>
                <w:sz w:val="17"/>
                <w:szCs w:val="19"/>
                <w:lang w:eastAsia="en-AU"/>
              </w:rPr>
              <w:t xml:space="preserve"> </w:t>
            </w:r>
            <w:r w:rsidRPr="00956279">
              <w:rPr>
                <w:rFonts w:eastAsiaTheme="minorEastAsia" w:cstheme="majorHAnsi"/>
                <w:i/>
                <w:iCs/>
                <w:color w:val="FFFFFF"/>
                <w:szCs w:val="19"/>
                <w:lang w:eastAsia="en-AU"/>
              </w:rPr>
              <w:t xml:space="preserve"> </w:t>
            </w:r>
          </w:p>
        </w:tc>
        <w:tc>
          <w:tcPr>
            <w:tcW w:w="850" w:type="dxa"/>
            <w:tcBorders>
              <w:top w:val="nil"/>
              <w:left w:val="nil"/>
              <w:right w:val="nil"/>
            </w:tcBorders>
            <w:shd w:val="solid" w:color="000000" w:fill="auto"/>
          </w:tcPr>
          <w:p w:rsidR="00CC0EB7" w:rsidRPr="00956279"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956279">
              <w:rPr>
                <w:rFonts w:eastAsiaTheme="minorEastAsia" w:cstheme="majorHAnsi"/>
                <w:iCs/>
                <w:color w:val="FFFFFF"/>
                <w:szCs w:val="19"/>
                <w:lang w:eastAsia="en-AU"/>
              </w:rPr>
              <w:t>2018-19</w:t>
            </w:r>
            <w:r>
              <w:rPr>
                <w:rFonts w:eastAsiaTheme="minorEastAsia" w:cstheme="majorHAnsi"/>
                <w:iCs/>
                <w:color w:val="FFFFFF"/>
                <w:szCs w:val="19"/>
                <w:lang w:eastAsia="en-AU"/>
              </w:rPr>
              <w:br/>
            </w:r>
            <w:r w:rsidRPr="00956279">
              <w:rPr>
                <w:rFonts w:eastAsiaTheme="minorEastAsia" w:cstheme="majorHAnsi"/>
                <w:iCs/>
                <w:color w:val="FFFFFF"/>
                <w:szCs w:val="19"/>
                <w:lang w:eastAsia="en-AU"/>
              </w:rPr>
              <w:t>revised</w:t>
            </w:r>
          </w:p>
        </w:tc>
        <w:tc>
          <w:tcPr>
            <w:tcW w:w="850" w:type="dxa"/>
            <w:tcBorders>
              <w:top w:val="nil"/>
              <w:left w:val="nil"/>
              <w:right w:val="nil"/>
            </w:tcBorders>
            <w:shd w:val="solid" w:color="000000" w:fill="auto"/>
          </w:tcPr>
          <w:p w:rsidR="00CC0EB7" w:rsidRPr="00956279"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956279">
              <w:rPr>
                <w:rFonts w:eastAsiaTheme="minorEastAsia" w:cstheme="majorHAnsi"/>
                <w:iCs/>
                <w:color w:val="FFFFFF"/>
                <w:szCs w:val="19"/>
                <w:lang w:eastAsia="en-AU"/>
              </w:rPr>
              <w:t>2019-20</w:t>
            </w:r>
            <w:r>
              <w:rPr>
                <w:rFonts w:eastAsiaTheme="minorEastAsia" w:cstheme="majorHAnsi"/>
                <w:iCs/>
                <w:color w:val="FFFFFF"/>
                <w:szCs w:val="19"/>
                <w:lang w:eastAsia="en-AU"/>
              </w:rPr>
              <w:br/>
            </w:r>
            <w:r w:rsidRPr="00956279">
              <w:rPr>
                <w:rFonts w:eastAsiaTheme="minorEastAsia" w:cstheme="majorHAnsi"/>
                <w:iCs/>
                <w:color w:val="FFFFFF"/>
                <w:szCs w:val="19"/>
                <w:lang w:eastAsia="en-AU"/>
              </w:rPr>
              <w:t>estimate</w:t>
            </w:r>
          </w:p>
        </w:tc>
        <w:tc>
          <w:tcPr>
            <w:tcW w:w="850" w:type="dxa"/>
            <w:tcBorders>
              <w:top w:val="nil"/>
              <w:left w:val="nil"/>
              <w:right w:val="nil"/>
            </w:tcBorders>
            <w:shd w:val="solid" w:color="000000" w:fill="auto"/>
          </w:tcPr>
          <w:p w:rsidR="00CC0EB7" w:rsidRPr="00956279"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956279">
              <w:rPr>
                <w:rFonts w:eastAsiaTheme="minorEastAsia" w:cstheme="majorHAnsi"/>
                <w:iCs/>
                <w:color w:val="FFFFFF"/>
                <w:szCs w:val="19"/>
                <w:lang w:eastAsia="en-AU"/>
              </w:rPr>
              <w:t>2020-21</w:t>
            </w:r>
            <w:r>
              <w:rPr>
                <w:rFonts w:eastAsiaTheme="minorEastAsia" w:cstheme="majorHAnsi"/>
                <w:iCs/>
                <w:color w:val="FFFFFF"/>
                <w:szCs w:val="19"/>
                <w:lang w:eastAsia="en-AU"/>
              </w:rPr>
              <w:br/>
            </w:r>
            <w:r w:rsidRPr="00956279">
              <w:rPr>
                <w:rFonts w:eastAsiaTheme="minorEastAsia" w:cstheme="majorHAnsi"/>
                <w:iCs/>
                <w:color w:val="FFFFFF"/>
                <w:szCs w:val="19"/>
                <w:lang w:eastAsia="en-AU"/>
              </w:rPr>
              <w:t>estimate</w:t>
            </w:r>
          </w:p>
        </w:tc>
        <w:tc>
          <w:tcPr>
            <w:tcW w:w="850" w:type="dxa"/>
            <w:tcBorders>
              <w:top w:val="nil"/>
              <w:left w:val="nil"/>
              <w:right w:val="nil"/>
            </w:tcBorders>
            <w:shd w:val="solid" w:color="000000" w:fill="auto"/>
          </w:tcPr>
          <w:p w:rsidR="00CC0EB7" w:rsidRPr="00956279"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9"/>
                <w:lang w:eastAsia="en-AU"/>
              </w:rPr>
            </w:pPr>
            <w:r w:rsidRPr="00956279">
              <w:rPr>
                <w:rFonts w:eastAsiaTheme="minorEastAsia" w:cstheme="majorHAnsi"/>
                <w:iCs/>
                <w:color w:val="FFFFFF"/>
                <w:szCs w:val="19"/>
                <w:lang w:eastAsia="en-AU"/>
              </w:rPr>
              <w:t>2021-22</w:t>
            </w:r>
            <w:r>
              <w:rPr>
                <w:rFonts w:eastAsiaTheme="minorEastAsia" w:cstheme="majorHAnsi"/>
                <w:iCs/>
                <w:color w:val="FFFFFF"/>
                <w:szCs w:val="19"/>
                <w:lang w:eastAsia="en-AU"/>
              </w:rPr>
              <w:br/>
            </w:r>
            <w:r w:rsidRPr="00956279">
              <w:rPr>
                <w:rFonts w:eastAsiaTheme="minorEastAsia" w:cstheme="majorHAnsi"/>
                <w:iCs/>
                <w:color w:val="FFFFFF"/>
                <w:szCs w:val="19"/>
                <w:lang w:eastAsia="en-AU"/>
              </w:rPr>
              <w:t>estimate</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b/>
                <w:bCs/>
                <w:color w:val="000000"/>
                <w:szCs w:val="19"/>
                <w:lang w:eastAsia="en-AU"/>
              </w:rPr>
            </w:pPr>
            <w:r w:rsidRPr="00956279">
              <w:rPr>
                <w:rFonts w:eastAsiaTheme="minorEastAsia" w:cstheme="majorHAnsi"/>
                <w:b/>
                <w:bCs/>
                <w:color w:val="000000"/>
                <w:szCs w:val="19"/>
                <w:lang w:eastAsia="en-AU"/>
              </w:rPr>
              <w:t>Assets</w:t>
            </w:r>
          </w:p>
        </w:tc>
        <w:tc>
          <w:tcPr>
            <w:tcW w:w="850"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 xml:space="preserve"> </w:t>
            </w:r>
          </w:p>
        </w:tc>
        <w:tc>
          <w:tcPr>
            <w:tcW w:w="850"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 xml:space="preserve"> </w:t>
            </w:r>
          </w:p>
        </w:tc>
        <w:tc>
          <w:tcPr>
            <w:tcW w:w="850"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 xml:space="preserve"> </w:t>
            </w:r>
          </w:p>
        </w:tc>
        <w:tc>
          <w:tcPr>
            <w:tcW w:w="850"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 xml:space="preserve"> </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color w:val="000000"/>
                <w:szCs w:val="19"/>
                <w:lang w:eastAsia="en-AU"/>
              </w:rPr>
            </w:pPr>
            <w:r w:rsidRPr="00956279">
              <w:rPr>
                <w:rFonts w:eastAsiaTheme="minorEastAsia" w:cstheme="majorHAnsi"/>
                <w:color w:val="000000"/>
                <w:szCs w:val="19"/>
                <w:lang w:eastAsia="en-AU"/>
              </w:rPr>
              <w:t>Total financial assets</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57</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57</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58</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60</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4B6846" w:rsidRPr="00956279" w:rsidRDefault="004B6846" w:rsidP="00CC0EB7">
            <w:pPr>
              <w:keepLines w:val="0"/>
              <w:autoSpaceDE w:val="0"/>
              <w:autoSpaceDN w:val="0"/>
              <w:adjustRightInd w:val="0"/>
              <w:rPr>
                <w:rFonts w:eastAsiaTheme="minorEastAsia" w:cstheme="majorHAnsi"/>
                <w:color w:val="000000"/>
                <w:szCs w:val="19"/>
                <w:lang w:eastAsia="en-AU"/>
              </w:rPr>
            </w:pPr>
            <w:r w:rsidRPr="00956279">
              <w:rPr>
                <w:rFonts w:eastAsiaTheme="minorEastAsia" w:cstheme="majorHAnsi"/>
                <w:color w:val="000000"/>
                <w:szCs w:val="19"/>
                <w:lang w:eastAsia="en-AU"/>
              </w:rPr>
              <w:t>Total non-financial assets</w:t>
            </w:r>
          </w:p>
        </w:tc>
        <w:tc>
          <w:tcPr>
            <w:tcW w:w="850" w:type="dxa"/>
            <w:tcBorders>
              <w:top w:val="nil"/>
              <w:left w:val="nil"/>
              <w:bottom w:val="single" w:sz="6"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276</w:t>
            </w:r>
          </w:p>
        </w:tc>
        <w:tc>
          <w:tcPr>
            <w:tcW w:w="850" w:type="dxa"/>
            <w:tcBorders>
              <w:top w:val="nil"/>
              <w:left w:val="nil"/>
              <w:bottom w:val="single" w:sz="6"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293</w:t>
            </w:r>
          </w:p>
        </w:tc>
        <w:tc>
          <w:tcPr>
            <w:tcW w:w="850" w:type="dxa"/>
            <w:tcBorders>
              <w:top w:val="nil"/>
              <w:left w:val="nil"/>
              <w:bottom w:val="single" w:sz="6"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301</w:t>
            </w:r>
          </w:p>
        </w:tc>
        <w:tc>
          <w:tcPr>
            <w:tcW w:w="850" w:type="dxa"/>
            <w:tcBorders>
              <w:top w:val="nil"/>
              <w:left w:val="nil"/>
              <w:bottom w:val="single" w:sz="6"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307</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b/>
                <w:bCs/>
                <w:color w:val="000000"/>
                <w:szCs w:val="19"/>
                <w:lang w:eastAsia="en-AU"/>
              </w:rPr>
            </w:pPr>
            <w:r w:rsidRPr="00956279">
              <w:rPr>
                <w:rFonts w:eastAsiaTheme="minorEastAsia" w:cstheme="majorHAnsi"/>
                <w:b/>
                <w:bCs/>
                <w:color w:val="000000"/>
                <w:szCs w:val="19"/>
                <w:lang w:eastAsia="en-AU"/>
              </w:rPr>
              <w:t>Total assets</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9"/>
                <w:lang w:eastAsia="en-AU"/>
              </w:rPr>
              <w:t>333</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9"/>
                <w:lang w:eastAsia="en-AU"/>
              </w:rPr>
              <w:t>350</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9"/>
                <w:lang w:eastAsia="en-AU"/>
              </w:rPr>
              <w:t>359</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9"/>
                <w:lang w:eastAsia="en-AU"/>
              </w:rPr>
              <w:t>368</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b/>
                <w:bCs/>
                <w:color w:val="000000"/>
                <w:szCs w:val="19"/>
                <w:lang w:eastAsia="en-AU"/>
              </w:rPr>
            </w:pPr>
            <w:r w:rsidRPr="00956279">
              <w:rPr>
                <w:rFonts w:eastAsiaTheme="minorEastAsia" w:cstheme="majorHAnsi"/>
                <w:b/>
                <w:bCs/>
                <w:color w:val="000000"/>
                <w:szCs w:val="19"/>
                <w:lang w:eastAsia="en-AU"/>
              </w:rPr>
              <w:t>Liabilities</w:t>
            </w:r>
          </w:p>
        </w:tc>
        <w:tc>
          <w:tcPr>
            <w:tcW w:w="850"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 xml:space="preserve"> </w:t>
            </w:r>
          </w:p>
        </w:tc>
        <w:tc>
          <w:tcPr>
            <w:tcW w:w="850"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 xml:space="preserve"> </w:t>
            </w:r>
          </w:p>
        </w:tc>
        <w:tc>
          <w:tcPr>
            <w:tcW w:w="850"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 xml:space="preserve"> </w:t>
            </w:r>
          </w:p>
        </w:tc>
        <w:tc>
          <w:tcPr>
            <w:tcW w:w="850" w:type="dxa"/>
            <w:tcBorders>
              <w:top w:val="nil"/>
              <w:left w:val="nil"/>
              <w:bottom w:val="nil"/>
              <w:right w:val="nil"/>
            </w:tcBorders>
          </w:tcPr>
          <w:p w:rsidR="004B6846" w:rsidRPr="0095627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9"/>
                <w:lang w:eastAsia="en-AU"/>
              </w:rPr>
            </w:pPr>
            <w:r w:rsidRPr="00956279">
              <w:rPr>
                <w:rFonts w:eastAsiaTheme="minorEastAsia" w:cstheme="majorHAnsi"/>
                <w:color w:val="000000"/>
                <w:szCs w:val="19"/>
                <w:lang w:eastAsia="en-AU"/>
              </w:rPr>
              <w:t xml:space="preserve"> </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color w:val="000000"/>
                <w:szCs w:val="19"/>
                <w:lang w:eastAsia="en-AU"/>
              </w:rPr>
            </w:pPr>
            <w:r w:rsidRPr="00956279">
              <w:rPr>
                <w:rFonts w:eastAsiaTheme="minorEastAsia" w:cstheme="majorHAnsi"/>
                <w:color w:val="000000"/>
                <w:szCs w:val="19"/>
                <w:lang w:eastAsia="en-AU"/>
              </w:rPr>
              <w:t>Superannuation</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23</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22</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21</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20</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color w:val="000000"/>
                <w:szCs w:val="19"/>
                <w:lang w:eastAsia="en-AU"/>
              </w:rPr>
            </w:pPr>
            <w:r w:rsidRPr="00956279">
              <w:rPr>
                <w:rFonts w:eastAsiaTheme="minorEastAsia" w:cstheme="majorHAnsi"/>
                <w:color w:val="000000"/>
                <w:szCs w:val="19"/>
                <w:lang w:eastAsia="en-AU"/>
              </w:rPr>
              <w:t>Borrowings</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52</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58</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62</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64</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4B6846" w:rsidRPr="00956279" w:rsidRDefault="004B6846" w:rsidP="00CC0EB7">
            <w:pPr>
              <w:keepLines w:val="0"/>
              <w:autoSpaceDE w:val="0"/>
              <w:autoSpaceDN w:val="0"/>
              <w:adjustRightInd w:val="0"/>
              <w:rPr>
                <w:rFonts w:eastAsiaTheme="minorEastAsia" w:cstheme="majorHAnsi"/>
                <w:color w:val="000000"/>
                <w:szCs w:val="19"/>
                <w:lang w:eastAsia="en-AU"/>
              </w:rPr>
            </w:pPr>
            <w:r w:rsidRPr="00956279">
              <w:rPr>
                <w:rFonts w:eastAsiaTheme="minorEastAsia" w:cstheme="majorHAnsi"/>
                <w:color w:val="000000"/>
                <w:szCs w:val="19"/>
                <w:lang w:eastAsia="en-AU"/>
              </w:rPr>
              <w:t>Deposits held and advances received</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2</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2</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2</w:t>
            </w:r>
          </w:p>
        </w:tc>
        <w:tc>
          <w:tcPr>
            <w:tcW w:w="850" w:type="dxa"/>
            <w:tcBorders>
              <w:top w:val="nil"/>
              <w:left w:val="nil"/>
              <w:bottom w:val="nil"/>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2</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4B6846" w:rsidRPr="00956279" w:rsidRDefault="004B6846" w:rsidP="00CC0EB7">
            <w:pPr>
              <w:keepLines w:val="0"/>
              <w:autoSpaceDE w:val="0"/>
              <w:autoSpaceDN w:val="0"/>
              <w:adjustRightInd w:val="0"/>
              <w:rPr>
                <w:rFonts w:eastAsiaTheme="minorEastAsia" w:cstheme="majorHAnsi"/>
                <w:color w:val="000000"/>
                <w:szCs w:val="19"/>
                <w:lang w:eastAsia="en-AU"/>
              </w:rPr>
            </w:pPr>
            <w:r w:rsidRPr="00956279">
              <w:rPr>
                <w:rFonts w:eastAsiaTheme="minorEastAsia" w:cstheme="majorHAnsi"/>
                <w:color w:val="000000"/>
                <w:szCs w:val="19"/>
                <w:lang w:eastAsia="en-AU"/>
              </w:rPr>
              <w:t>Other liabilities</w:t>
            </w:r>
          </w:p>
        </w:tc>
        <w:tc>
          <w:tcPr>
            <w:tcW w:w="850" w:type="dxa"/>
            <w:tcBorders>
              <w:top w:val="nil"/>
              <w:left w:val="nil"/>
              <w:bottom w:val="single" w:sz="6"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62</w:t>
            </w:r>
          </w:p>
        </w:tc>
        <w:tc>
          <w:tcPr>
            <w:tcW w:w="850" w:type="dxa"/>
            <w:tcBorders>
              <w:top w:val="nil"/>
              <w:left w:val="nil"/>
              <w:bottom w:val="single" w:sz="6"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64</w:t>
            </w:r>
          </w:p>
        </w:tc>
        <w:tc>
          <w:tcPr>
            <w:tcW w:w="850" w:type="dxa"/>
            <w:tcBorders>
              <w:top w:val="nil"/>
              <w:left w:val="nil"/>
              <w:bottom w:val="single" w:sz="6"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65</w:t>
            </w:r>
          </w:p>
        </w:tc>
        <w:tc>
          <w:tcPr>
            <w:tcW w:w="850" w:type="dxa"/>
            <w:tcBorders>
              <w:top w:val="nil"/>
              <w:left w:val="nil"/>
              <w:bottom w:val="single" w:sz="6"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9"/>
                <w:lang w:eastAsia="en-AU"/>
              </w:rPr>
              <w:t>67</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4B6846" w:rsidRPr="00956279" w:rsidRDefault="004B6846" w:rsidP="00CC0EB7">
            <w:pPr>
              <w:keepLines w:val="0"/>
              <w:autoSpaceDE w:val="0"/>
              <w:autoSpaceDN w:val="0"/>
              <w:adjustRightInd w:val="0"/>
              <w:rPr>
                <w:rFonts w:eastAsiaTheme="minorEastAsia" w:cstheme="majorHAnsi"/>
                <w:b/>
                <w:bCs/>
                <w:color w:val="000000"/>
                <w:szCs w:val="19"/>
                <w:lang w:eastAsia="en-AU"/>
              </w:rPr>
            </w:pPr>
            <w:r w:rsidRPr="00956279">
              <w:rPr>
                <w:rFonts w:eastAsiaTheme="minorEastAsia" w:cstheme="majorHAnsi"/>
                <w:b/>
                <w:bCs/>
                <w:color w:val="000000"/>
                <w:szCs w:val="19"/>
                <w:lang w:eastAsia="en-AU"/>
              </w:rPr>
              <w:t>Total liabilities</w:t>
            </w:r>
          </w:p>
        </w:tc>
        <w:tc>
          <w:tcPr>
            <w:tcW w:w="850" w:type="dxa"/>
            <w:tcBorders>
              <w:top w:val="single" w:sz="6" w:space="0" w:color="auto"/>
              <w:left w:val="nil"/>
              <w:bottom w:val="single" w:sz="6"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9"/>
                <w:lang w:eastAsia="en-AU"/>
              </w:rPr>
              <w:t>139</w:t>
            </w:r>
          </w:p>
        </w:tc>
        <w:tc>
          <w:tcPr>
            <w:tcW w:w="850" w:type="dxa"/>
            <w:tcBorders>
              <w:top w:val="single" w:sz="6" w:space="0" w:color="auto"/>
              <w:left w:val="nil"/>
              <w:bottom w:val="single" w:sz="6"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9"/>
                <w:lang w:eastAsia="en-AU"/>
              </w:rPr>
              <w:t>146</w:t>
            </w:r>
          </w:p>
        </w:tc>
        <w:tc>
          <w:tcPr>
            <w:tcW w:w="850" w:type="dxa"/>
            <w:tcBorders>
              <w:top w:val="single" w:sz="6" w:space="0" w:color="auto"/>
              <w:left w:val="nil"/>
              <w:bottom w:val="single" w:sz="6"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9"/>
                <w:lang w:eastAsia="en-AU"/>
              </w:rPr>
              <w:t>150</w:t>
            </w:r>
          </w:p>
        </w:tc>
        <w:tc>
          <w:tcPr>
            <w:tcW w:w="850" w:type="dxa"/>
            <w:tcBorders>
              <w:top w:val="single" w:sz="6" w:space="0" w:color="auto"/>
              <w:left w:val="nil"/>
              <w:bottom w:val="single" w:sz="6"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9"/>
                <w:lang w:eastAsia="en-AU"/>
              </w:rPr>
              <w:t>153</w:t>
            </w:r>
          </w:p>
        </w:tc>
      </w:tr>
      <w:tr w:rsidR="004B6846" w:rsidRPr="00956279" w:rsidTr="00CC0EB7">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12" w:space="0" w:color="auto"/>
              <w:right w:val="nil"/>
            </w:tcBorders>
          </w:tcPr>
          <w:p w:rsidR="004B6846" w:rsidRPr="00956279" w:rsidRDefault="004B6846" w:rsidP="00CC0EB7">
            <w:pPr>
              <w:keepLines w:val="0"/>
              <w:autoSpaceDE w:val="0"/>
              <w:autoSpaceDN w:val="0"/>
              <w:adjustRightInd w:val="0"/>
              <w:rPr>
                <w:rFonts w:eastAsiaTheme="minorEastAsia" w:cstheme="majorHAnsi"/>
                <w:b/>
                <w:bCs/>
                <w:color w:val="000000"/>
                <w:szCs w:val="19"/>
                <w:lang w:eastAsia="en-AU"/>
              </w:rPr>
            </w:pPr>
            <w:r w:rsidRPr="00956279">
              <w:rPr>
                <w:rFonts w:eastAsiaTheme="minorEastAsia" w:cstheme="majorHAnsi"/>
                <w:b/>
                <w:bCs/>
                <w:color w:val="000000"/>
                <w:szCs w:val="19"/>
                <w:lang w:eastAsia="en-AU"/>
              </w:rPr>
              <w:t>Net assets</w:t>
            </w:r>
          </w:p>
        </w:tc>
        <w:tc>
          <w:tcPr>
            <w:tcW w:w="850" w:type="dxa"/>
            <w:tcBorders>
              <w:top w:val="nil"/>
              <w:left w:val="nil"/>
              <w:bottom w:val="single" w:sz="12"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Cs/>
                <w:color w:val="000000"/>
                <w:szCs w:val="19"/>
                <w:lang w:eastAsia="en-AU"/>
              </w:rPr>
              <w:t>194</w:t>
            </w:r>
          </w:p>
        </w:tc>
        <w:tc>
          <w:tcPr>
            <w:tcW w:w="850" w:type="dxa"/>
            <w:tcBorders>
              <w:top w:val="nil"/>
              <w:left w:val="nil"/>
              <w:bottom w:val="single" w:sz="12"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Cs/>
                <w:color w:val="000000"/>
                <w:szCs w:val="19"/>
                <w:lang w:eastAsia="en-AU"/>
              </w:rPr>
              <w:t>204</w:t>
            </w:r>
          </w:p>
        </w:tc>
        <w:tc>
          <w:tcPr>
            <w:tcW w:w="850" w:type="dxa"/>
            <w:tcBorders>
              <w:top w:val="nil"/>
              <w:left w:val="nil"/>
              <w:bottom w:val="single" w:sz="12"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Cs/>
                <w:color w:val="000000"/>
                <w:szCs w:val="19"/>
                <w:lang w:eastAsia="en-AU"/>
              </w:rPr>
              <w:t>209</w:t>
            </w:r>
          </w:p>
        </w:tc>
        <w:tc>
          <w:tcPr>
            <w:tcW w:w="850" w:type="dxa"/>
            <w:tcBorders>
              <w:top w:val="nil"/>
              <w:left w:val="nil"/>
              <w:bottom w:val="single" w:sz="12" w:space="0" w:color="auto"/>
              <w:right w:val="nil"/>
            </w:tcBorders>
          </w:tcPr>
          <w:p w:rsidR="004B6846" w:rsidRPr="00956279" w:rsidRDefault="00083462"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Cs/>
                <w:color w:val="000000"/>
                <w:szCs w:val="19"/>
                <w:lang w:eastAsia="en-AU"/>
              </w:rPr>
              <w:t>215</w:t>
            </w:r>
          </w:p>
        </w:tc>
      </w:tr>
    </w:tbl>
    <w:p w:rsidR="004B6846" w:rsidRDefault="004B6846" w:rsidP="00CC0EB7">
      <w:pPr>
        <w:pStyle w:val="Source"/>
      </w:pPr>
      <w:r>
        <w:t>Source: Department of Treasury and Finance</w:t>
      </w:r>
    </w:p>
    <w:p w:rsidR="004B6846" w:rsidRDefault="004B6846" w:rsidP="00CC0EB7">
      <w:pPr>
        <w:pStyle w:val="Note"/>
      </w:pPr>
      <w:r>
        <w:t>Note:</w:t>
      </w:r>
    </w:p>
    <w:p w:rsidR="004B6846" w:rsidRDefault="004B6846" w:rsidP="00CC0EB7">
      <w:pPr>
        <w:pStyle w:val="Note"/>
      </w:pPr>
      <w:r>
        <w:t>(a)</w:t>
      </w:r>
      <w:r>
        <w:tab/>
        <w:t xml:space="preserve">This is a summary balance sheet. The comprehensive balance sheet is presented in Chapter 5 </w:t>
      </w:r>
      <w:r w:rsidRPr="00E377F9">
        <w:rPr>
          <w:i w:val="0"/>
        </w:rPr>
        <w:t>Supplementary uniform presentation framework tables</w:t>
      </w:r>
      <w:r>
        <w:t>. Figures in this table are subject to rounding to the nearest billion and may not add up to totals.</w:t>
      </w:r>
    </w:p>
    <w:p w:rsidR="004B6846" w:rsidRDefault="004B6846">
      <w:pPr>
        <w:keepLines w:val="0"/>
      </w:pPr>
      <w:r>
        <w:br w:type="page"/>
      </w:r>
    </w:p>
    <w:p w:rsidR="004B6846" w:rsidRDefault="004B6846" w:rsidP="00CC0EB7"/>
    <w:p w:rsidR="004B6846" w:rsidRPr="006A7C8A" w:rsidRDefault="004B6846" w:rsidP="00CC0EB7"/>
    <w:p w:rsidR="004B6846" w:rsidRDefault="004B6846" w:rsidP="004B6846">
      <w:pPr>
        <w:pStyle w:val="Heading10"/>
        <w:sectPr w:rsidR="004B6846" w:rsidSect="00393CA4">
          <w:headerReference w:type="even" r:id="rId31"/>
          <w:headerReference w:type="default" r:id="rId32"/>
          <w:footerReference w:type="even" r:id="rId33"/>
          <w:footerReference w:type="default" r:id="rId34"/>
          <w:headerReference w:type="first" r:id="rId35"/>
          <w:footerReference w:type="first" r:id="rId36"/>
          <w:pgSz w:w="9979" w:h="14175" w:code="34"/>
          <w:pgMar w:top="851" w:right="1134" w:bottom="851" w:left="1134" w:header="624" w:footer="567" w:gutter="0"/>
          <w:cols w:sep="1" w:space="567"/>
          <w:docGrid w:linePitch="360"/>
        </w:sectPr>
      </w:pPr>
    </w:p>
    <w:p w:rsidR="004B6846" w:rsidRDefault="004B6846" w:rsidP="000C43CD">
      <w:pPr>
        <w:pStyle w:val="Chapterheading"/>
      </w:pPr>
      <w:bookmarkStart w:id="29" w:name="_Toc531884955"/>
      <w:r>
        <w:lastRenderedPageBreak/>
        <w:t>C</w:t>
      </w:r>
      <w:r w:rsidRPr="004E4D8E">
        <w:t xml:space="preserve">hapter </w:t>
      </w:r>
      <w:r>
        <w:t>4</w:t>
      </w:r>
      <w:r w:rsidRPr="004E4D8E">
        <w:t xml:space="preserve"> – Estimated financial statements and notes</w:t>
      </w:r>
      <w:bookmarkEnd w:id="29"/>
    </w:p>
    <w:p w:rsidR="004B6846" w:rsidRDefault="004B6846" w:rsidP="00CC0EB7">
      <w:pPr>
        <w:pStyle w:val="Heading10"/>
      </w:pPr>
      <w:bookmarkStart w:id="30" w:name="_Toc517171541"/>
      <w:bookmarkStart w:id="31" w:name="_Toc531884956"/>
      <w:r>
        <w:t>Esti</w:t>
      </w:r>
      <w:r w:rsidR="00CB74DA">
        <w:t>mated general government sector</w:t>
      </w:r>
      <w:r>
        <w:br/>
        <w:t>comprehensive operating statement</w:t>
      </w:r>
      <w:bookmarkEnd w:id="30"/>
      <w:bookmarkEnd w:id="31"/>
    </w:p>
    <w:p w:rsidR="004B6846" w:rsidRPr="008D5734" w:rsidRDefault="004B6846" w:rsidP="00CC0EB7">
      <w:pPr>
        <w:pStyle w:val="TableHeading"/>
        <w:rPr>
          <w:bCs/>
          <w:lang w:val="en-US"/>
        </w:rPr>
      </w:pPr>
      <w:r w:rsidRPr="00504EB3">
        <w:t>For the financial year ended 30 June</w:t>
      </w:r>
      <w:r w:rsidRPr="00504EB3">
        <w:tab/>
        <w:t>($ million)</w:t>
      </w:r>
    </w:p>
    <w:tbl>
      <w:tblPr>
        <w:tblStyle w:val="DTFTable"/>
        <w:tblW w:w="7769" w:type="dxa"/>
        <w:tblInd w:w="45" w:type="dxa"/>
        <w:tblLayout w:type="fixed"/>
        <w:tblCellMar>
          <w:left w:w="45" w:type="dxa"/>
          <w:right w:w="45" w:type="dxa"/>
        </w:tblCellMar>
        <w:tblLook w:val="06E0" w:firstRow="1" w:lastRow="1" w:firstColumn="1" w:lastColumn="0" w:noHBand="1" w:noVBand="1"/>
      </w:tblPr>
      <w:tblGrid>
        <w:gridCol w:w="3402"/>
        <w:gridCol w:w="567"/>
        <w:gridCol w:w="760"/>
        <w:gridCol w:w="760"/>
        <w:gridCol w:w="760"/>
        <w:gridCol w:w="760"/>
        <w:gridCol w:w="760"/>
      </w:tblGrid>
      <w:tr w:rsidR="00CC0EB7" w:rsidRPr="008D5734" w:rsidTr="00BA2EEF">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p>
        </w:tc>
        <w:tc>
          <w:tcPr>
            <w:tcW w:w="567" w:type="dxa"/>
            <w:tcBorders>
              <w:top w:val="nil"/>
              <w:left w:val="nil"/>
              <w:right w:val="nil"/>
            </w:tcBorders>
            <w:shd w:val="solid" w:color="000000" w:fill="auto"/>
          </w:tcPr>
          <w:p w:rsidR="00CC0EB7" w:rsidRPr="008D5734" w:rsidRDefault="00CC0EB7"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8D5734">
              <w:rPr>
                <w:rFonts w:eastAsiaTheme="minorEastAsia" w:cs="Calibri"/>
                <w:iCs/>
                <w:color w:val="FFFFFF"/>
                <w:szCs w:val="18"/>
                <w:lang w:eastAsia="en-AU"/>
              </w:rPr>
              <w:t>Notes</w:t>
            </w:r>
          </w:p>
        </w:tc>
        <w:tc>
          <w:tcPr>
            <w:tcW w:w="76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76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76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76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76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Revenue from transactions</w:t>
            </w:r>
          </w:p>
        </w:tc>
        <w:tc>
          <w:tcPr>
            <w:tcW w:w="567" w:type="dxa"/>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8D5734">
              <w:rPr>
                <w:rFonts w:eastAsiaTheme="minorEastAsia" w:cs="Calibri"/>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Taxation revenue</w:t>
            </w:r>
          </w:p>
        </w:tc>
        <w:tc>
          <w:tcPr>
            <w:tcW w:w="567" w:type="dxa"/>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4.2.1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24 081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24 092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25 050</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25 836</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27 116</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Interest revenue</w:t>
            </w:r>
          </w:p>
        </w:tc>
        <w:tc>
          <w:tcPr>
            <w:tcW w:w="567" w:type="dxa"/>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864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818</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787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761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752</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Dividends, income tax equivalent and rate equivalent revenue</w:t>
            </w:r>
          </w:p>
        </w:tc>
        <w:tc>
          <w:tcPr>
            <w:tcW w:w="567" w:type="dxa"/>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4.2.2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922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1 103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582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596</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567</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Sales of goods and services</w:t>
            </w:r>
          </w:p>
        </w:tc>
        <w:tc>
          <w:tcPr>
            <w:tcW w:w="567" w:type="dxa"/>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4.2.3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7 541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7 594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8 417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8 685</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8 726</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Grant revenue</w:t>
            </w:r>
          </w:p>
        </w:tc>
        <w:tc>
          <w:tcPr>
            <w:tcW w:w="567" w:type="dxa"/>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4.2.4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33 458</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33 515</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33 697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34 686</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35 942</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revenue</w:t>
            </w:r>
          </w:p>
        </w:tc>
        <w:tc>
          <w:tcPr>
            <w:tcW w:w="567"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4.2.5</w:t>
            </w:r>
          </w:p>
        </w:tc>
        <w:tc>
          <w:tcPr>
            <w:tcW w:w="76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2 622</w:t>
            </w:r>
          </w:p>
        </w:tc>
        <w:tc>
          <w:tcPr>
            <w:tcW w:w="76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2 636</w:t>
            </w:r>
          </w:p>
        </w:tc>
        <w:tc>
          <w:tcPr>
            <w:tcW w:w="76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2 594</w:t>
            </w:r>
          </w:p>
        </w:tc>
        <w:tc>
          <w:tcPr>
            <w:tcW w:w="76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2 656</w:t>
            </w:r>
          </w:p>
        </w:tc>
        <w:tc>
          <w:tcPr>
            <w:tcW w:w="76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2 714</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revenue from transactions</w:t>
            </w:r>
          </w:p>
        </w:tc>
        <w:tc>
          <w:tcPr>
            <w:tcW w:w="567" w:type="dxa"/>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8D5734">
              <w:rPr>
                <w:rFonts w:eastAsiaTheme="minorEastAsia" w:cs="Calibri"/>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69 487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69 757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71 128</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73 221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75 817</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Expenses from transactions</w:t>
            </w:r>
          </w:p>
        </w:tc>
        <w:tc>
          <w:tcPr>
            <w:tcW w:w="567" w:type="dxa"/>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8D5734">
              <w:rPr>
                <w:rFonts w:eastAsiaTheme="minorEastAsia" w:cs="Calibri"/>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Employee expenses</w:t>
            </w:r>
          </w:p>
        </w:tc>
        <w:tc>
          <w:tcPr>
            <w:tcW w:w="567" w:type="dxa"/>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25 562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24 986</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26 446</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27 495</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28 565</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Net superannuation interest expense</w:t>
            </w:r>
          </w:p>
        </w:tc>
        <w:tc>
          <w:tcPr>
            <w:tcW w:w="567" w:type="dxa"/>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4.3.2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662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688</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639</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610</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580</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superannuation</w:t>
            </w:r>
          </w:p>
        </w:tc>
        <w:tc>
          <w:tcPr>
            <w:tcW w:w="567" w:type="dxa"/>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4.3.2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2 676</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2 750</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2 802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2 873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2 992</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Depreciation</w:t>
            </w:r>
          </w:p>
        </w:tc>
        <w:tc>
          <w:tcPr>
            <w:tcW w:w="567" w:type="dxa"/>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4.4.2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2 876</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2 921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3 033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3 332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3 526</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Interest expense</w:t>
            </w:r>
          </w:p>
        </w:tc>
        <w:tc>
          <w:tcPr>
            <w:tcW w:w="567" w:type="dxa"/>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4.5.3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2 167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2 090</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2 133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2 211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2 260</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Grant expense</w:t>
            </w:r>
          </w:p>
        </w:tc>
        <w:tc>
          <w:tcPr>
            <w:tcW w:w="567" w:type="dxa"/>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4.3.3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12 901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12 785</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14 045</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14 007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14 411</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operating expenses</w:t>
            </w:r>
          </w:p>
        </w:tc>
        <w:tc>
          <w:tcPr>
            <w:tcW w:w="567" w:type="dxa"/>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4.3.4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21 264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21 296</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20 305</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20 016</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20 498</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expenses from transactions</w:t>
            </w:r>
          </w:p>
        </w:tc>
        <w:tc>
          <w:tcPr>
            <w:tcW w:w="567"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8D5734">
              <w:rPr>
                <w:rFonts w:eastAsiaTheme="minorEastAsia" w:cs="Arial"/>
                <w:bCs/>
                <w:color w:val="000000"/>
                <w:szCs w:val="18"/>
                <w:lang w:eastAsia="en-AU"/>
              </w:rPr>
              <w:t>4.3.5</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68 108</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67 517</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69 403</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70 544</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72 833</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 xml:space="preserve">Net result from transactions – </w:t>
            </w:r>
            <w:r w:rsidR="00083462">
              <w:rPr>
                <w:rFonts w:eastAsiaTheme="minorEastAsia" w:cs="Calibri"/>
                <w:b/>
                <w:bCs/>
                <w:color w:val="000000"/>
                <w:szCs w:val="18"/>
                <w:lang w:eastAsia="en-AU"/>
              </w:rPr>
              <w:br/>
            </w:r>
            <w:r w:rsidRPr="008D5734">
              <w:rPr>
                <w:rFonts w:eastAsiaTheme="minorEastAsia" w:cs="Calibri"/>
                <w:b/>
                <w:bCs/>
                <w:color w:val="000000"/>
                <w:szCs w:val="18"/>
                <w:lang w:eastAsia="en-AU"/>
              </w:rPr>
              <w:t>net operating balance</w:t>
            </w:r>
          </w:p>
        </w:tc>
        <w:tc>
          <w:tcPr>
            <w:tcW w:w="567"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8D5734">
              <w:rPr>
                <w:rFonts w:eastAsiaTheme="minorEastAsia" w:cs="Calibri"/>
                <w:bCs/>
                <w:color w:val="000000"/>
                <w:lang w:eastAsia="en-AU"/>
              </w:rPr>
              <w:t xml:space="preserve"> </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1 380</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2 241</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1 725</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2 677</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2 984</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7769" w:type="dxa"/>
            <w:gridSpan w:val="7"/>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lang w:eastAsia="en-AU"/>
              </w:rPr>
            </w:pPr>
            <w:r w:rsidRPr="008D5734">
              <w:rPr>
                <w:rFonts w:eastAsiaTheme="minorEastAsia" w:cs="Calibri"/>
                <w:b/>
                <w:bCs/>
                <w:color w:val="000000"/>
                <w:szCs w:val="18"/>
                <w:lang w:eastAsia="en-AU"/>
              </w:rPr>
              <w:t>Other economic flows included in net result</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Net gain/(loss) on disposal of non-financial assets</w:t>
            </w:r>
          </w:p>
        </w:tc>
        <w:tc>
          <w:tcPr>
            <w:tcW w:w="567" w:type="dxa"/>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90</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78</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51</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Net gain/(loss) on financial assets or liabilities at fair value</w:t>
            </w:r>
          </w:p>
        </w:tc>
        <w:tc>
          <w:tcPr>
            <w:tcW w:w="567" w:type="dxa"/>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27</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gains/(losses) from other economic flows</w:t>
            </w:r>
          </w:p>
        </w:tc>
        <w:tc>
          <w:tcPr>
            <w:tcW w:w="567" w:type="dxa"/>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4.7.1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(345)</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(355)</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(362)</w:t>
            </w:r>
          </w:p>
        </w:tc>
      </w:tr>
      <w:tr w:rsidR="004B6846" w:rsidRPr="008D5734" w:rsidTr="00BA2EEF">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 xml:space="preserve">Total other economic flows included in </w:t>
            </w:r>
            <w:r w:rsidR="00083462">
              <w:rPr>
                <w:rFonts w:eastAsiaTheme="minorEastAsia" w:cs="Calibri"/>
                <w:b/>
                <w:bCs/>
                <w:color w:val="000000"/>
                <w:szCs w:val="18"/>
                <w:lang w:eastAsia="en-AU"/>
              </w:rPr>
              <w:br/>
            </w:r>
            <w:r w:rsidRPr="008D5734">
              <w:rPr>
                <w:rFonts w:eastAsiaTheme="minorEastAsia" w:cs="Calibri"/>
                <w:b/>
                <w:bCs/>
                <w:color w:val="000000"/>
                <w:szCs w:val="18"/>
                <w:lang w:eastAsia="en-AU"/>
              </w:rPr>
              <w:t>net result</w:t>
            </w:r>
          </w:p>
        </w:tc>
        <w:tc>
          <w:tcPr>
            <w:tcW w:w="567"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8D5734">
              <w:rPr>
                <w:rFonts w:eastAsiaTheme="minorEastAsia" w:cs="Calibri"/>
                <w:bCs/>
                <w:color w:val="000000"/>
                <w:lang w:eastAsia="en-AU"/>
              </w:rPr>
              <w:t xml:space="preserve"> </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(242)</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(233)</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(251)</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(265)</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(284)</w:t>
            </w:r>
          </w:p>
        </w:tc>
      </w:tr>
      <w:tr w:rsidR="004B6846" w:rsidRPr="00303A81" w:rsidTr="00BA2EE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bottom w:val="single" w:sz="12" w:space="0" w:color="000000"/>
            </w:tcBorders>
          </w:tcPr>
          <w:p w:rsidR="004B6846" w:rsidRPr="00303A81" w:rsidRDefault="004B6846" w:rsidP="00CC0EB7">
            <w:pPr>
              <w:keepLines w:val="0"/>
              <w:autoSpaceDE w:val="0"/>
              <w:autoSpaceDN w:val="0"/>
              <w:adjustRightInd w:val="0"/>
              <w:rPr>
                <w:rFonts w:eastAsiaTheme="minorEastAsia" w:cs="Calibri"/>
                <w:bCs/>
                <w:color w:val="000000"/>
                <w:szCs w:val="18"/>
                <w:lang w:eastAsia="en-AU"/>
              </w:rPr>
            </w:pPr>
            <w:r w:rsidRPr="00303A81">
              <w:rPr>
                <w:rFonts w:eastAsiaTheme="minorEastAsia" w:cs="Calibri"/>
                <w:bCs/>
                <w:color w:val="000000"/>
                <w:szCs w:val="18"/>
                <w:lang w:eastAsia="en-AU"/>
              </w:rPr>
              <w:t>Net result</w:t>
            </w:r>
          </w:p>
        </w:tc>
        <w:tc>
          <w:tcPr>
            <w:tcW w:w="567" w:type="dxa"/>
            <w:tcBorders>
              <w:top w:val="single" w:sz="6" w:space="0" w:color="000000"/>
              <w:bottom w:val="single" w:sz="12" w:space="0" w:color="000000"/>
            </w:tcBorders>
          </w:tcPr>
          <w:p w:rsidR="004B6846" w:rsidRPr="00303A81" w:rsidRDefault="004B6846" w:rsidP="00CC0EB7">
            <w:pPr>
              <w:keepLines w:val="0"/>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303A81">
              <w:rPr>
                <w:rFonts w:eastAsiaTheme="minorEastAsia" w:cs="Calibri"/>
                <w:bCs/>
                <w:color w:val="000000"/>
                <w:lang w:eastAsia="en-AU"/>
              </w:rPr>
              <w:t xml:space="preserve"> </w:t>
            </w:r>
          </w:p>
        </w:tc>
        <w:tc>
          <w:tcPr>
            <w:tcW w:w="760" w:type="dxa"/>
            <w:tcBorders>
              <w:top w:val="single" w:sz="6" w:space="0" w:color="000000"/>
              <w:bottom w:val="single" w:sz="12" w:space="0" w:color="000000"/>
            </w:tcBorders>
          </w:tcPr>
          <w:p w:rsidR="004B6846" w:rsidRPr="00303A8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303A81">
              <w:rPr>
                <w:rFonts w:eastAsiaTheme="minorEastAsia" w:cs="Arial"/>
                <w:bCs/>
                <w:color w:val="000000"/>
                <w:szCs w:val="18"/>
                <w:lang w:eastAsia="en-AU"/>
              </w:rPr>
              <w:t>1 137</w:t>
            </w:r>
          </w:p>
        </w:tc>
        <w:tc>
          <w:tcPr>
            <w:tcW w:w="760" w:type="dxa"/>
            <w:tcBorders>
              <w:top w:val="single" w:sz="6" w:space="0" w:color="000000"/>
              <w:bottom w:val="single" w:sz="12" w:space="0" w:color="000000"/>
            </w:tcBorders>
          </w:tcPr>
          <w:p w:rsidR="004B6846" w:rsidRPr="00303A8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303A81">
              <w:rPr>
                <w:rFonts w:eastAsiaTheme="minorEastAsia" w:cs="Arial"/>
                <w:bCs/>
                <w:color w:val="000000"/>
                <w:szCs w:val="18"/>
                <w:lang w:eastAsia="en-AU"/>
              </w:rPr>
              <w:t>2 008</w:t>
            </w:r>
          </w:p>
        </w:tc>
        <w:tc>
          <w:tcPr>
            <w:tcW w:w="760" w:type="dxa"/>
            <w:tcBorders>
              <w:top w:val="single" w:sz="6" w:space="0" w:color="000000"/>
              <w:bottom w:val="single" w:sz="12" w:space="0" w:color="000000"/>
            </w:tcBorders>
          </w:tcPr>
          <w:p w:rsidR="004B6846" w:rsidRPr="00303A8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303A81">
              <w:rPr>
                <w:rFonts w:eastAsiaTheme="minorEastAsia" w:cs="Arial"/>
                <w:bCs/>
                <w:color w:val="000000"/>
                <w:szCs w:val="18"/>
                <w:lang w:eastAsia="en-AU"/>
              </w:rPr>
              <w:t>1 473</w:t>
            </w:r>
          </w:p>
        </w:tc>
        <w:tc>
          <w:tcPr>
            <w:tcW w:w="760" w:type="dxa"/>
            <w:tcBorders>
              <w:top w:val="single" w:sz="6" w:space="0" w:color="000000"/>
              <w:bottom w:val="single" w:sz="12" w:space="0" w:color="000000"/>
            </w:tcBorders>
          </w:tcPr>
          <w:p w:rsidR="004B6846" w:rsidRPr="00303A8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303A81">
              <w:rPr>
                <w:rFonts w:eastAsiaTheme="minorEastAsia" w:cs="Arial"/>
                <w:bCs/>
                <w:color w:val="000000"/>
                <w:szCs w:val="18"/>
                <w:lang w:eastAsia="en-AU"/>
              </w:rPr>
              <w:t>2 412</w:t>
            </w:r>
          </w:p>
        </w:tc>
        <w:tc>
          <w:tcPr>
            <w:tcW w:w="760" w:type="dxa"/>
            <w:tcBorders>
              <w:top w:val="single" w:sz="6" w:space="0" w:color="000000"/>
              <w:bottom w:val="single" w:sz="12" w:space="0" w:color="000000"/>
            </w:tcBorders>
          </w:tcPr>
          <w:p w:rsidR="004B6846" w:rsidRPr="00303A8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303A81">
              <w:rPr>
                <w:rFonts w:eastAsiaTheme="minorEastAsia" w:cs="Arial"/>
                <w:bCs/>
                <w:color w:val="000000"/>
                <w:szCs w:val="18"/>
                <w:lang w:eastAsia="en-AU"/>
              </w:rPr>
              <w:t>2 700</w:t>
            </w:r>
          </w:p>
        </w:tc>
      </w:tr>
    </w:tbl>
    <w:p w:rsidR="009B3E27" w:rsidRDefault="009B3E27"/>
    <w:p w:rsidR="009B3E27" w:rsidRDefault="009B3E27" w:rsidP="00CB74DA">
      <w:pPr>
        <w:pStyle w:val="Heading1Continued"/>
      </w:pPr>
      <w:r>
        <w:lastRenderedPageBreak/>
        <w:t>Esti</w:t>
      </w:r>
      <w:r w:rsidR="00CB74DA">
        <w:t>mated general government sector</w:t>
      </w:r>
      <w:r>
        <w:br/>
        <w:t xml:space="preserve">comprehensive operating statement </w:t>
      </w:r>
      <w:r w:rsidR="00CB74DA" w:rsidRPr="009B3E27">
        <w:rPr>
          <w:i/>
          <w:caps w:val="0"/>
        </w:rPr>
        <w:t>(continued)</w:t>
      </w:r>
    </w:p>
    <w:p w:rsidR="009B3E27" w:rsidRDefault="009B3E27" w:rsidP="009B3E27">
      <w:pPr>
        <w:pStyle w:val="TableHeading"/>
      </w:pPr>
      <w:r w:rsidRPr="00504EB3">
        <w:t>For the financial year ended 30 June</w:t>
      </w:r>
      <w:r w:rsidRPr="00504EB3">
        <w:tab/>
        <w:t>($ million)</w:t>
      </w:r>
    </w:p>
    <w:tbl>
      <w:tblPr>
        <w:tblStyle w:val="DTFTable"/>
        <w:tblW w:w="7769" w:type="dxa"/>
        <w:tblInd w:w="45" w:type="dxa"/>
        <w:tblLayout w:type="fixed"/>
        <w:tblCellMar>
          <w:left w:w="45" w:type="dxa"/>
          <w:right w:w="45" w:type="dxa"/>
        </w:tblCellMar>
        <w:tblLook w:val="06E0" w:firstRow="1" w:lastRow="1" w:firstColumn="1" w:lastColumn="0" w:noHBand="1" w:noVBand="1"/>
      </w:tblPr>
      <w:tblGrid>
        <w:gridCol w:w="3402"/>
        <w:gridCol w:w="283"/>
        <w:gridCol w:w="284"/>
        <w:gridCol w:w="760"/>
        <w:gridCol w:w="760"/>
        <w:gridCol w:w="760"/>
        <w:gridCol w:w="760"/>
        <w:gridCol w:w="760"/>
      </w:tblGrid>
      <w:tr w:rsidR="009B3E27" w:rsidRPr="008D5734" w:rsidTr="00A97443">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right w:val="nil"/>
            </w:tcBorders>
            <w:shd w:val="solid" w:color="000000" w:fill="auto"/>
          </w:tcPr>
          <w:p w:rsidR="009B3E27" w:rsidRPr="008D5734" w:rsidRDefault="009B3E27" w:rsidP="00A97443">
            <w:pPr>
              <w:autoSpaceDE w:val="0"/>
              <w:autoSpaceDN w:val="0"/>
              <w:adjustRightInd w:val="0"/>
              <w:rPr>
                <w:rFonts w:eastAsiaTheme="minorEastAsia" w:cs="Calibri"/>
                <w:iCs/>
                <w:color w:val="FFFFFF"/>
                <w:lang w:eastAsia="en-AU"/>
              </w:rPr>
            </w:pPr>
          </w:p>
        </w:tc>
        <w:tc>
          <w:tcPr>
            <w:tcW w:w="567" w:type="dxa"/>
            <w:gridSpan w:val="2"/>
            <w:tcBorders>
              <w:top w:val="nil"/>
              <w:left w:val="nil"/>
              <w:right w:val="nil"/>
            </w:tcBorders>
            <w:shd w:val="solid" w:color="000000" w:fill="auto"/>
          </w:tcPr>
          <w:p w:rsidR="009B3E27" w:rsidRPr="008D5734" w:rsidRDefault="009B3E27" w:rsidP="00A97443">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8D5734">
              <w:rPr>
                <w:rFonts w:eastAsiaTheme="minorEastAsia" w:cs="Calibri"/>
                <w:iCs/>
                <w:color w:val="FFFFFF"/>
                <w:szCs w:val="18"/>
                <w:lang w:eastAsia="en-AU"/>
              </w:rPr>
              <w:t>Notes</w:t>
            </w:r>
          </w:p>
        </w:tc>
        <w:tc>
          <w:tcPr>
            <w:tcW w:w="760" w:type="dxa"/>
            <w:tcBorders>
              <w:top w:val="nil"/>
              <w:left w:val="nil"/>
              <w:right w:val="nil"/>
            </w:tcBorders>
            <w:shd w:val="solid" w:color="000000" w:fill="auto"/>
          </w:tcPr>
          <w:p w:rsidR="009B3E27" w:rsidRPr="008D5734" w:rsidRDefault="009B3E27" w:rsidP="00A9744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760" w:type="dxa"/>
            <w:tcBorders>
              <w:top w:val="nil"/>
              <w:left w:val="nil"/>
              <w:right w:val="nil"/>
            </w:tcBorders>
            <w:shd w:val="solid" w:color="000000" w:fill="auto"/>
          </w:tcPr>
          <w:p w:rsidR="009B3E27" w:rsidRPr="008D5734" w:rsidRDefault="009B3E27" w:rsidP="00A9744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760" w:type="dxa"/>
            <w:tcBorders>
              <w:top w:val="nil"/>
              <w:left w:val="nil"/>
              <w:right w:val="nil"/>
            </w:tcBorders>
            <w:shd w:val="solid" w:color="000000" w:fill="auto"/>
          </w:tcPr>
          <w:p w:rsidR="009B3E27" w:rsidRPr="008D5734" w:rsidRDefault="009B3E27" w:rsidP="00A9744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760" w:type="dxa"/>
            <w:tcBorders>
              <w:top w:val="nil"/>
              <w:left w:val="nil"/>
              <w:right w:val="nil"/>
            </w:tcBorders>
            <w:shd w:val="solid" w:color="000000" w:fill="auto"/>
          </w:tcPr>
          <w:p w:rsidR="009B3E27" w:rsidRPr="008D5734" w:rsidRDefault="009B3E27" w:rsidP="00A9744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760" w:type="dxa"/>
            <w:tcBorders>
              <w:top w:val="nil"/>
              <w:left w:val="nil"/>
              <w:right w:val="nil"/>
            </w:tcBorders>
            <w:shd w:val="solid" w:color="000000" w:fill="auto"/>
          </w:tcPr>
          <w:p w:rsidR="009B3E27" w:rsidRPr="008D5734" w:rsidRDefault="009B3E27" w:rsidP="00A9744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7769" w:type="dxa"/>
            <w:gridSpan w:val="8"/>
            <w:tcBorders>
              <w:top w:val="nil"/>
              <w:left w:val="nil"/>
              <w:bottom w:val="nil"/>
              <w:right w:val="nil"/>
            </w:tcBorders>
          </w:tcPr>
          <w:p w:rsidR="004B6846" w:rsidRPr="008D5734" w:rsidRDefault="004B6846" w:rsidP="009B3E27">
            <w:pPr>
              <w:keepLines w:val="0"/>
              <w:autoSpaceDE w:val="0"/>
              <w:autoSpaceDN w:val="0"/>
              <w:adjustRightInd w:val="0"/>
              <w:rPr>
                <w:rFonts w:eastAsiaTheme="minorEastAsia" w:cs="Calibri"/>
                <w:b/>
                <w:bCs/>
                <w:color w:val="000000"/>
                <w:lang w:eastAsia="en-AU"/>
              </w:rPr>
            </w:pPr>
            <w:r w:rsidRPr="008D5734">
              <w:rPr>
                <w:rFonts w:eastAsiaTheme="minorEastAsia" w:cs="Calibri"/>
                <w:b/>
                <w:bCs/>
                <w:color w:val="000000"/>
                <w:szCs w:val="18"/>
                <w:lang w:eastAsia="en-AU"/>
              </w:rPr>
              <w:t>Other economic flows – other comprehensive income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7769" w:type="dxa"/>
            <w:gridSpan w:val="8"/>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lang w:eastAsia="en-AU"/>
              </w:rPr>
            </w:pPr>
            <w:r w:rsidRPr="008D5734">
              <w:rPr>
                <w:rFonts w:eastAsiaTheme="minorEastAsia" w:cs="Calibri"/>
                <w:b/>
                <w:bCs/>
                <w:color w:val="000000"/>
                <w:szCs w:val="18"/>
                <w:lang w:eastAsia="en-AU"/>
              </w:rPr>
              <w:t>Items that will not be reclassified to net result</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Changes in non-financial assets revaluation surplus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699</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699</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6 859</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1 441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3 797</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Remeasurement of superannuation defined benefit plans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4.3.2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1 014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1 996</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1 053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1 074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1 094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movements in equity</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7769" w:type="dxa"/>
            <w:gridSpan w:val="8"/>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lang w:eastAsia="en-AU"/>
              </w:rPr>
            </w:pPr>
            <w:r w:rsidRPr="008D5734">
              <w:rPr>
                <w:rFonts w:eastAsiaTheme="minorEastAsia" w:cs="Calibri"/>
                <w:b/>
                <w:bCs/>
                <w:color w:val="000000"/>
                <w:szCs w:val="18"/>
                <w:lang w:eastAsia="en-AU"/>
              </w:rPr>
              <w:t>Items that may be reclassified subsequently to net result</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Net gain/(loss) on financial assets at fair value</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Net gain/(loss) on equity investments in other sector entities at proportional share of the carrying amount of net assets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4.6.1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2 021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1 152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535</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(524)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 xml:space="preserve">Total other economic flows – </w:t>
            </w:r>
            <w:r w:rsidR="00083462">
              <w:rPr>
                <w:rFonts w:eastAsiaTheme="minorEastAsia" w:cs="Calibri"/>
                <w:b/>
                <w:bCs/>
                <w:color w:val="000000"/>
                <w:szCs w:val="18"/>
                <w:lang w:eastAsia="en-AU"/>
              </w:rPr>
              <w:br/>
            </w:r>
            <w:r w:rsidRPr="008D5734">
              <w:rPr>
                <w:rFonts w:eastAsiaTheme="minorEastAsia" w:cs="Calibri"/>
                <w:b/>
                <w:bCs/>
                <w:color w:val="000000"/>
                <w:szCs w:val="18"/>
                <w:lang w:eastAsia="en-AU"/>
              </w:rPr>
              <w:t>other comprehensive income</w:t>
            </w:r>
          </w:p>
        </w:tc>
        <w:tc>
          <w:tcPr>
            <w:tcW w:w="567" w:type="dxa"/>
            <w:gridSpan w:val="2"/>
            <w:tcBorders>
              <w:top w:val="single" w:sz="6" w:space="0" w:color="000000"/>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8D5734">
              <w:rPr>
                <w:rFonts w:eastAsiaTheme="minorEastAsia" w:cs="Calibri"/>
                <w:bCs/>
                <w:color w:val="000000"/>
                <w:lang w:eastAsia="en-AU"/>
              </w:rPr>
              <w:t xml:space="preserve"> </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1 741</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4 705</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9 074</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3 051</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4 394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gridSpan w:val="2"/>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Comprehensive result – total change in net worth</w:t>
            </w:r>
          </w:p>
        </w:tc>
        <w:tc>
          <w:tcPr>
            <w:tcW w:w="284"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8D5734">
              <w:rPr>
                <w:rFonts w:eastAsiaTheme="minorEastAsia" w:cs="Calibri"/>
                <w:bCs/>
                <w:color w:val="000000"/>
                <w:lang w:eastAsia="en-AU"/>
              </w:rPr>
              <w:t xml:space="preserve"> </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2 878</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6 713</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10 547</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5 463</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7 094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KEY FISCAL AGGREGATES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8D5734">
              <w:rPr>
                <w:rFonts w:eastAsiaTheme="minorEastAsia" w:cs="Calibri"/>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Net operating balance</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8D5734">
              <w:rPr>
                <w:rFonts w:eastAsiaTheme="minorEastAsia" w:cs="Calibri"/>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1 380</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2 241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1 725</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2 677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2 984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Less: Net acquisition of non-financial assets from transactions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4.3.7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1 921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2 027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3 079</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2 345</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1 915</w:t>
            </w:r>
          </w:p>
        </w:tc>
      </w:tr>
      <w:tr w:rsidR="004B6846" w:rsidRPr="008D573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rPr>
                <w:rFonts w:eastAsiaTheme="minorEastAsia" w:cs="Calibri"/>
                <w:bCs/>
                <w:color w:val="000000"/>
                <w:szCs w:val="18"/>
                <w:lang w:eastAsia="en-AU"/>
              </w:rPr>
            </w:pPr>
            <w:r w:rsidRPr="008D5734">
              <w:rPr>
                <w:rFonts w:eastAsiaTheme="minorEastAsia" w:cs="Calibri"/>
                <w:bCs/>
                <w:color w:val="000000"/>
                <w:szCs w:val="18"/>
                <w:lang w:eastAsia="en-AU"/>
              </w:rPr>
              <w:t>Net lending/(borrowing)</w:t>
            </w:r>
          </w:p>
        </w:tc>
        <w:tc>
          <w:tcPr>
            <w:tcW w:w="567" w:type="dxa"/>
            <w:gridSpan w:val="2"/>
            <w:tcBorders>
              <w:top w:val="single" w:sz="6" w:space="0" w:color="000000"/>
              <w:bottom w:val="single" w:sz="12" w:space="0" w:color="000000"/>
            </w:tcBorders>
          </w:tcPr>
          <w:p w:rsidR="004B6846" w:rsidRPr="008D5734" w:rsidRDefault="004B6846" w:rsidP="00CC0EB7">
            <w:pPr>
              <w:keepLines w:val="0"/>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eastAsiaTheme="minorEastAsia" w:cs="Calibri"/>
                <w:b w:val="0"/>
                <w:bCs/>
                <w:color w:val="000000"/>
                <w:lang w:eastAsia="en-AU"/>
              </w:rPr>
            </w:pPr>
            <w:r w:rsidRPr="008D5734">
              <w:rPr>
                <w:rFonts w:eastAsiaTheme="minorEastAsia" w:cs="Calibri"/>
                <w:b w:val="0"/>
                <w:bCs/>
                <w:color w:val="000000"/>
                <w:lang w:eastAsia="en-AU"/>
              </w:rPr>
              <w:t xml:space="preserve"> </w:t>
            </w:r>
          </w:p>
        </w:tc>
        <w:tc>
          <w:tcPr>
            <w:tcW w:w="76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(541)</w:t>
            </w:r>
          </w:p>
        </w:tc>
        <w:tc>
          <w:tcPr>
            <w:tcW w:w="76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214</w:t>
            </w:r>
          </w:p>
        </w:tc>
        <w:tc>
          <w:tcPr>
            <w:tcW w:w="76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(1 355)</w:t>
            </w:r>
          </w:p>
        </w:tc>
        <w:tc>
          <w:tcPr>
            <w:tcW w:w="76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332</w:t>
            </w:r>
          </w:p>
        </w:tc>
        <w:tc>
          <w:tcPr>
            <w:tcW w:w="76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D5734">
              <w:rPr>
                <w:rFonts w:eastAsiaTheme="minorEastAsia" w:cs="Calibri"/>
                <w:bCs/>
                <w:color w:val="000000"/>
                <w:szCs w:val="18"/>
                <w:lang w:eastAsia="en-AU"/>
              </w:rPr>
              <w:t>1 070</w:t>
            </w:r>
          </w:p>
        </w:tc>
      </w:tr>
    </w:tbl>
    <w:p w:rsidR="004B6846" w:rsidRDefault="004B6846" w:rsidP="00CC0EB7">
      <w:pPr>
        <w:pStyle w:val="Source"/>
      </w:pPr>
      <w:r w:rsidRPr="00D87D22">
        <w:t>Source: Dep</w:t>
      </w:r>
      <w:r>
        <w:t>artment of Treasury and Finance</w:t>
      </w:r>
      <w:r w:rsidRPr="00352C54">
        <w:t xml:space="preserve"> </w:t>
      </w:r>
    </w:p>
    <w:p w:rsidR="004B6846" w:rsidRDefault="004B6846" w:rsidP="00CC0EB7">
      <w:pPr>
        <w:pStyle w:val="Source"/>
      </w:pPr>
      <w:r>
        <w:t>The accompanying notes form part of these Estimated Financial Statements.</w:t>
      </w:r>
    </w:p>
    <w:p w:rsidR="004B6846" w:rsidRDefault="004B6846" w:rsidP="00CC0EB7"/>
    <w:p w:rsidR="004B6846" w:rsidRDefault="004B6846" w:rsidP="00CC0EB7">
      <w:pPr>
        <w:keepLines w:val="0"/>
      </w:pPr>
      <w:r>
        <w:br w:type="page"/>
      </w:r>
    </w:p>
    <w:p w:rsidR="004B6846" w:rsidRDefault="004B6846" w:rsidP="00CC0EB7">
      <w:pPr>
        <w:pStyle w:val="Heading10"/>
      </w:pPr>
      <w:bookmarkStart w:id="32" w:name="_Toc517171543"/>
      <w:bookmarkStart w:id="33" w:name="_Toc531884957"/>
      <w:r>
        <w:lastRenderedPageBreak/>
        <w:t>Esti</w:t>
      </w:r>
      <w:r w:rsidR="00CB74DA">
        <w:t>mated general government sector</w:t>
      </w:r>
      <w:r>
        <w:br/>
        <w:t>balance sheet</w:t>
      </w:r>
      <w:bookmarkEnd w:id="32"/>
      <w:bookmarkEnd w:id="33"/>
      <w:r>
        <w:t xml:space="preserve"> </w:t>
      </w:r>
    </w:p>
    <w:p w:rsidR="004B6846" w:rsidRPr="008D5734" w:rsidRDefault="004B6846" w:rsidP="00CC0EB7">
      <w:pPr>
        <w:pStyle w:val="TableHeading"/>
        <w:rPr>
          <w:bCs/>
          <w:lang w:val="en-US"/>
        </w:rPr>
      </w:pPr>
      <w:r>
        <w:t>As at 30 June</w:t>
      </w:r>
      <w:r>
        <w:tab/>
      </w:r>
      <w:r>
        <w:tab/>
        <w:t>($ million)</w:t>
      </w:r>
    </w:p>
    <w:tbl>
      <w:tblPr>
        <w:tblStyle w:val="DTFTable"/>
        <w:tblW w:w="7769" w:type="dxa"/>
        <w:tblInd w:w="45" w:type="dxa"/>
        <w:tblLayout w:type="fixed"/>
        <w:tblCellMar>
          <w:left w:w="45" w:type="dxa"/>
          <w:right w:w="45" w:type="dxa"/>
        </w:tblCellMar>
        <w:tblLook w:val="06A0" w:firstRow="1" w:lastRow="0" w:firstColumn="1" w:lastColumn="0" w:noHBand="1" w:noVBand="1"/>
      </w:tblPr>
      <w:tblGrid>
        <w:gridCol w:w="3402"/>
        <w:gridCol w:w="141"/>
        <w:gridCol w:w="426"/>
        <w:gridCol w:w="760"/>
        <w:gridCol w:w="760"/>
        <w:gridCol w:w="760"/>
        <w:gridCol w:w="760"/>
        <w:gridCol w:w="760"/>
      </w:tblGrid>
      <w:tr w:rsidR="00CC0EB7" w:rsidRPr="008D5734" w:rsidTr="00083462">
        <w:trPr>
          <w:cnfStyle w:val="100000000000" w:firstRow="1" w:lastRow="0" w:firstColumn="0" w:lastColumn="0" w:oddVBand="0" w:evenVBand="0" w:oddHBand="0" w:evenHBand="0" w:firstRowFirstColumn="0" w:firstRowLastColumn="0" w:lastRowFirstColumn="0" w:lastRowLastColumn="0"/>
          <w:trHeight w:val="180"/>
          <w:tblHead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567" w:type="dxa"/>
            <w:gridSpan w:val="2"/>
            <w:tcBorders>
              <w:top w:val="nil"/>
              <w:left w:val="nil"/>
              <w:right w:val="nil"/>
            </w:tcBorders>
            <w:shd w:val="solid" w:color="000000" w:fill="auto"/>
          </w:tcPr>
          <w:p w:rsidR="00CC0EB7" w:rsidRPr="008D5734" w:rsidRDefault="00CC0EB7"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8D5734">
              <w:rPr>
                <w:rFonts w:eastAsiaTheme="minorEastAsia" w:cs="Calibri"/>
                <w:iCs/>
                <w:color w:val="FFFFFF"/>
                <w:lang w:eastAsia="en-AU"/>
              </w:rPr>
              <w:t xml:space="preserve"> </w:t>
            </w:r>
            <w:r>
              <w:rPr>
                <w:rFonts w:eastAsiaTheme="minorEastAsia" w:cs="Calibri"/>
                <w:iCs/>
                <w:color w:val="FFFFFF"/>
                <w:lang w:eastAsia="en-AU"/>
              </w:rPr>
              <w:br/>
              <w:t>Notes</w:t>
            </w:r>
            <w:r w:rsidRPr="008D5734">
              <w:rPr>
                <w:rFonts w:eastAsiaTheme="minorEastAsia" w:cs="Calibri"/>
                <w:iCs/>
                <w:color w:val="FFFFFF"/>
                <w:lang w:eastAsia="en-AU"/>
              </w:rPr>
              <w:t xml:space="preserve"> </w:t>
            </w:r>
          </w:p>
        </w:tc>
        <w:tc>
          <w:tcPr>
            <w:tcW w:w="76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w:t>
            </w:r>
            <w:r>
              <w:rPr>
                <w:rFonts w:eastAsiaTheme="minorEastAsia" w:cs="Calibri"/>
                <w:iCs/>
                <w:color w:val="FFFFFF"/>
                <w:szCs w:val="18"/>
                <w:lang w:eastAsia="en-AU"/>
              </w:rPr>
              <w:br/>
            </w:r>
            <w:r w:rsidRPr="008D5734">
              <w:rPr>
                <w:rFonts w:eastAsiaTheme="minorEastAsia" w:cs="Calibri"/>
                <w:iCs/>
                <w:color w:val="FFFFFF"/>
                <w:szCs w:val="18"/>
                <w:lang w:eastAsia="en-AU"/>
              </w:rPr>
              <w:t xml:space="preserve">budget </w:t>
            </w:r>
            <w:r w:rsidRPr="008D5734">
              <w:rPr>
                <w:rFonts w:eastAsiaTheme="minorEastAsia" w:cs="Calibri"/>
                <w:iCs/>
                <w:color w:val="FFFFFF"/>
                <w:szCs w:val="18"/>
                <w:vertAlign w:val="superscript"/>
                <w:lang w:eastAsia="en-AU"/>
              </w:rPr>
              <w:t>(a)</w:t>
            </w:r>
          </w:p>
        </w:tc>
        <w:tc>
          <w:tcPr>
            <w:tcW w:w="76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76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76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76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Assets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Financial assets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Cash and deposits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6 325</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4 180</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4 282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4 285</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4 265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Advances paid</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4.5.2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8 289</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8 524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6 641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5 342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4 796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Receivables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6 465</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6 400</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6 567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6 935</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7 319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Investments, loans and placements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4.5.2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4 197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4 204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4 707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4 962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5 253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43" w:type="dxa"/>
            <w:gridSpan w:val="2"/>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Investments accounted for using equity method</w:t>
            </w:r>
          </w:p>
        </w:tc>
        <w:tc>
          <w:tcPr>
            <w:tcW w:w="426" w:type="dxa"/>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Investments in other sector entities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4.6.1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107 036</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108 405</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113 084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115 823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117 145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financial assets</w:t>
            </w:r>
          </w:p>
        </w:tc>
        <w:tc>
          <w:tcPr>
            <w:tcW w:w="567" w:type="dxa"/>
            <w:gridSpan w:val="2"/>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132 364</w:t>
            </w:r>
          </w:p>
        </w:tc>
        <w:tc>
          <w:tcPr>
            <w:tcW w:w="76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131 766</w:t>
            </w:r>
          </w:p>
        </w:tc>
        <w:tc>
          <w:tcPr>
            <w:tcW w:w="76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135 334</w:t>
            </w:r>
          </w:p>
        </w:tc>
        <w:tc>
          <w:tcPr>
            <w:tcW w:w="76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137 400</w:t>
            </w:r>
          </w:p>
        </w:tc>
        <w:tc>
          <w:tcPr>
            <w:tcW w:w="76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138 831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Non-financial assets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Inventories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179</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199</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Non-financial assets held for sale</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Land, buildings, infrastructure, plant and equipment</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4.4.1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136 801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136 721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145 677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148 058</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152 615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non-financial assets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4.4.4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1 978</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2 130</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3 157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4 574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5 271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non-financial assets</w:t>
            </w:r>
          </w:p>
        </w:tc>
        <w:tc>
          <w:tcPr>
            <w:tcW w:w="567" w:type="dxa"/>
            <w:gridSpan w:val="2"/>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139 349</w:t>
            </w:r>
          </w:p>
        </w:tc>
        <w:tc>
          <w:tcPr>
            <w:tcW w:w="76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139 428</w:t>
            </w:r>
          </w:p>
        </w:tc>
        <w:tc>
          <w:tcPr>
            <w:tcW w:w="76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149 420</w:t>
            </w:r>
          </w:p>
        </w:tc>
        <w:tc>
          <w:tcPr>
            <w:tcW w:w="76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153 223</w:t>
            </w:r>
          </w:p>
        </w:tc>
        <w:tc>
          <w:tcPr>
            <w:tcW w:w="76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158 484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assets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4.4.5</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271 712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271 194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284 753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290 623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297 315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Liabilities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Deposits held and advances received</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4 669</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4 900</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3 287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2 042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1 461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Payables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4.6.2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8 638</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9 438</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9 157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8 864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7 972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Borrowings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4.5.1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38 859</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34 522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40 158</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42 870</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44 621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Employee benefits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4.3.1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7 372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7 319</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7 631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7 926</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8 227</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Superannuation</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4.6.3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24 164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23 268</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22 220</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21 139</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20 127</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provisions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1 016</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919</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924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974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liabilities</w:t>
            </w:r>
          </w:p>
        </w:tc>
        <w:tc>
          <w:tcPr>
            <w:tcW w:w="567" w:type="dxa"/>
            <w:gridSpan w:val="2"/>
            <w:tcBorders>
              <w:top w:val="single" w:sz="6" w:space="0" w:color="000000"/>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84 718</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80 365</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83 377</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83 784</w:t>
            </w:r>
          </w:p>
        </w:tc>
        <w:tc>
          <w:tcPr>
            <w:tcW w:w="76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83 382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Net assets</w:t>
            </w:r>
          </w:p>
        </w:tc>
        <w:tc>
          <w:tcPr>
            <w:tcW w:w="567" w:type="dxa"/>
            <w:gridSpan w:val="2"/>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186 995</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190 829</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201 376</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206 839</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213 933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Accumulated surplus/(deficit)</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54 730</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56 577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59 114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62 601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66 421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Reserves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132 265</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134 252</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142 263</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144 237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147 512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Net worth</w:t>
            </w:r>
          </w:p>
        </w:tc>
        <w:tc>
          <w:tcPr>
            <w:tcW w:w="567" w:type="dxa"/>
            <w:gridSpan w:val="2"/>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186 995</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190 829</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201 376</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206 839</w:t>
            </w:r>
          </w:p>
        </w:tc>
        <w:tc>
          <w:tcPr>
            <w:tcW w:w="76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213 933</w:t>
            </w:r>
          </w:p>
        </w:tc>
      </w:tr>
      <w:tr w:rsidR="004B6846" w:rsidRPr="008D5734" w:rsidTr="00CC0EB7">
        <w:trPr>
          <w:trHeight w:hRule="exact" w:val="120"/>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lang w:eastAsia="en-AU"/>
              </w:rPr>
            </w:pPr>
            <w:r w:rsidRPr="008D5734">
              <w:rPr>
                <w:rFonts w:eastAsiaTheme="minorEastAsia" w:cs="Calibri"/>
                <w:color w:val="000000"/>
                <w:lang w:eastAsia="en-AU"/>
              </w:rPr>
              <w:t xml:space="preserve"> </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 xml:space="preserve">FISCAL AGGREGATES </w:t>
            </w:r>
            <w:r w:rsidRPr="008D5734">
              <w:rPr>
                <w:rFonts w:eastAsiaTheme="minorEastAsia" w:cs="Calibri"/>
                <w:b/>
                <w:bCs/>
                <w:color w:val="000000"/>
                <w:szCs w:val="18"/>
                <w:vertAlign w:val="superscript"/>
                <w:lang w:eastAsia="en-AU"/>
              </w:rPr>
              <w:t>(b)</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Net financial worth</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47 646</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51 401</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51 957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53 616</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55 449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Net financial liabilities</w:t>
            </w:r>
          </w:p>
        </w:tc>
        <w:tc>
          <w:tcPr>
            <w:tcW w:w="567" w:type="dxa"/>
            <w:gridSpan w:val="2"/>
            <w:tcBorders>
              <w:top w:val="nil"/>
              <w:left w:val="nil"/>
              <w:bottom w:val="nil"/>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59 390</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57 004</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61 127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62 207</w:t>
            </w:r>
          </w:p>
        </w:tc>
        <w:tc>
          <w:tcPr>
            <w:tcW w:w="76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61 696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Net debt</w:t>
            </w:r>
          </w:p>
        </w:tc>
        <w:tc>
          <w:tcPr>
            <w:tcW w:w="567" w:type="dxa"/>
            <w:gridSpan w:val="2"/>
            <w:tcBorders>
              <w:top w:val="nil"/>
              <w:left w:val="nil"/>
              <w:bottom w:val="single" w:sz="12" w:space="0" w:color="000000"/>
              <w:right w:val="nil"/>
            </w:tcBorders>
          </w:tcPr>
          <w:p w:rsidR="004B6846" w:rsidRPr="008D573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760" w:type="dxa"/>
            <w:tcBorders>
              <w:top w:val="nil"/>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24 717</w:t>
            </w:r>
          </w:p>
        </w:tc>
        <w:tc>
          <w:tcPr>
            <w:tcW w:w="760" w:type="dxa"/>
            <w:tcBorders>
              <w:top w:val="nil"/>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22 513</w:t>
            </w:r>
          </w:p>
        </w:tc>
        <w:tc>
          <w:tcPr>
            <w:tcW w:w="760" w:type="dxa"/>
            <w:tcBorders>
              <w:top w:val="nil"/>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27 815</w:t>
            </w:r>
          </w:p>
        </w:tc>
        <w:tc>
          <w:tcPr>
            <w:tcW w:w="760" w:type="dxa"/>
            <w:tcBorders>
              <w:top w:val="nil"/>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30 324</w:t>
            </w:r>
          </w:p>
        </w:tc>
        <w:tc>
          <w:tcPr>
            <w:tcW w:w="760" w:type="dxa"/>
            <w:tcBorders>
              <w:top w:val="nil"/>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31 768</w:t>
            </w:r>
          </w:p>
        </w:tc>
      </w:tr>
    </w:tbl>
    <w:p w:rsidR="004B6846" w:rsidRDefault="004B6846" w:rsidP="00CC0EB7">
      <w:pPr>
        <w:pStyle w:val="Source"/>
      </w:pPr>
      <w:r w:rsidRPr="00D87D22">
        <w:t>Source: Dep</w:t>
      </w:r>
      <w:r>
        <w:t>artment of Treasury and Finance</w:t>
      </w:r>
    </w:p>
    <w:p w:rsidR="004B6846" w:rsidRDefault="004B6846" w:rsidP="00CC0EB7">
      <w:pPr>
        <w:pStyle w:val="Source"/>
      </w:pPr>
      <w:r>
        <w:t>The accompanying notes form part of these Estimated Financial Statements.</w:t>
      </w:r>
    </w:p>
    <w:p w:rsidR="004B6846" w:rsidRDefault="004B6846" w:rsidP="00CC0EB7">
      <w:pPr>
        <w:pStyle w:val="Note"/>
      </w:pPr>
      <w:r>
        <w:t>Notes:</w:t>
      </w:r>
    </w:p>
    <w:p w:rsidR="004B6846" w:rsidRPr="00926603" w:rsidRDefault="004B6846" w:rsidP="00CC0EB7">
      <w:pPr>
        <w:pStyle w:val="Note"/>
      </w:pPr>
      <w:r w:rsidRPr="00926603">
        <w:t>(a)</w:t>
      </w:r>
      <w:r w:rsidRPr="00926603">
        <w:tab/>
        <w:t>Balances represent actual</w:t>
      </w:r>
      <w:r>
        <w:t xml:space="preserve"> opening balances at 1 July 2018 plus 2018-19</w:t>
      </w:r>
      <w:r w:rsidRPr="00926603">
        <w:t xml:space="preserve"> budgeted movements.</w:t>
      </w:r>
    </w:p>
    <w:p w:rsidR="004B6846" w:rsidRPr="00926603" w:rsidRDefault="004B6846" w:rsidP="00CC0EB7">
      <w:pPr>
        <w:pStyle w:val="Note"/>
      </w:pPr>
      <w:r>
        <w:t>(b</w:t>
      </w:r>
      <w:r w:rsidRPr="00926603">
        <w:t>)</w:t>
      </w:r>
      <w:r w:rsidRPr="00926603">
        <w:tab/>
      </w:r>
      <w:r>
        <w:t xml:space="preserve">The fiscal aggregates are defined in Note 9.9 of the </w:t>
      </w:r>
      <w:r w:rsidRPr="00EA7F4C">
        <w:rPr>
          <w:i w:val="0"/>
        </w:rPr>
        <w:t>2017-18 Financial Report.</w:t>
      </w:r>
    </w:p>
    <w:p w:rsidR="004B6846" w:rsidRPr="008F6DA7" w:rsidRDefault="004B6846" w:rsidP="00CC0EB7"/>
    <w:p w:rsidR="004B6846" w:rsidRDefault="004B6846" w:rsidP="00CC0EB7">
      <w:pPr>
        <w:pStyle w:val="Heading10"/>
      </w:pPr>
      <w:bookmarkStart w:id="34" w:name="_Toc517171544"/>
      <w:bookmarkStart w:id="35" w:name="_Toc531884958"/>
      <w:r>
        <w:lastRenderedPageBreak/>
        <w:t>Estimated general government sector</w:t>
      </w:r>
      <w:r>
        <w:br/>
        <w:t>cash flow statement</w:t>
      </w:r>
      <w:bookmarkEnd w:id="34"/>
      <w:bookmarkEnd w:id="35"/>
    </w:p>
    <w:p w:rsidR="004B6846" w:rsidRPr="008D5734" w:rsidRDefault="004B6846" w:rsidP="00CC0EB7">
      <w:pPr>
        <w:pStyle w:val="TableHeading"/>
        <w:rPr>
          <w:bCs/>
          <w:lang w:val="en-US"/>
        </w:rPr>
      </w:pPr>
      <w:r>
        <w:t>For the financial year ended 30 June</w:t>
      </w:r>
      <w:r>
        <w:tab/>
        <w:t xml:space="preserve">($ million) </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2665"/>
        <w:gridCol w:w="232"/>
        <w:gridCol w:w="618"/>
        <w:gridCol w:w="850"/>
        <w:gridCol w:w="850"/>
        <w:gridCol w:w="850"/>
        <w:gridCol w:w="850"/>
        <w:gridCol w:w="850"/>
      </w:tblGrid>
      <w:tr w:rsidR="00CC0EB7" w:rsidRPr="008D5734" w:rsidTr="00D11960">
        <w:trPr>
          <w:cnfStyle w:val="100000000000" w:firstRow="1" w:lastRow="0" w:firstColumn="0" w:lastColumn="0" w:oddVBand="0" w:evenVBand="0" w:oddHBand="0" w:evenHBand="0" w:firstRowFirstColumn="0" w:firstRowLastColumn="0" w:lastRowFirstColumn="0" w:lastRowLastColumn="0"/>
          <w:trHeight w:val="93"/>
          <w:tblHeader/>
        </w:trPr>
        <w:tc>
          <w:tcPr>
            <w:cnfStyle w:val="001000000000" w:firstRow="0" w:lastRow="0" w:firstColumn="1" w:lastColumn="0" w:oddVBand="0" w:evenVBand="0" w:oddHBand="0" w:evenHBand="0" w:firstRowFirstColumn="0" w:firstRowLastColumn="0" w:lastRowFirstColumn="0" w:lastRowLastColumn="0"/>
            <w:tcW w:w="2665" w:type="dxa"/>
            <w:tcBorders>
              <w:top w:val="nil"/>
              <w:left w:val="nil"/>
              <w:right w:val="nil"/>
            </w:tcBorders>
            <w:shd w:val="solid" w:color="000000" w:fill="auto"/>
          </w:tcPr>
          <w:p w:rsidR="00CC0EB7" w:rsidRPr="008D5734" w:rsidRDefault="00CC0EB7" w:rsidP="00CC0EB7">
            <w:pPr>
              <w:autoSpaceDE w:val="0"/>
              <w:autoSpaceDN w:val="0"/>
              <w:adjustRightInd w:val="0"/>
              <w:spacing w:after="0"/>
              <w:rPr>
                <w:rFonts w:eastAsiaTheme="minorEastAsia" w:cs="Calibri"/>
                <w:iCs/>
                <w:color w:val="FFFFFF"/>
                <w:sz w:val="16"/>
                <w:lang w:eastAsia="en-AU"/>
              </w:rPr>
            </w:pPr>
            <w:r w:rsidRPr="008D5734">
              <w:rPr>
                <w:rFonts w:eastAsiaTheme="minorEastAsia" w:cs="Calibri"/>
                <w:iCs/>
                <w:color w:val="FFFFFF"/>
                <w:sz w:val="16"/>
                <w:lang w:eastAsia="en-AU"/>
              </w:rPr>
              <w:t xml:space="preserve">  </w:t>
            </w:r>
          </w:p>
        </w:tc>
        <w:tc>
          <w:tcPr>
            <w:tcW w:w="850" w:type="dxa"/>
            <w:gridSpan w:val="2"/>
            <w:tcBorders>
              <w:top w:val="nil"/>
              <w:left w:val="nil"/>
              <w:right w:val="nil"/>
            </w:tcBorders>
            <w:shd w:val="solid" w:color="000000" w:fill="auto"/>
          </w:tcPr>
          <w:p w:rsidR="00CC0EB7" w:rsidRPr="008D573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lang w:eastAsia="en-AU"/>
              </w:rPr>
            </w:pPr>
            <w:r w:rsidRPr="008D5734">
              <w:rPr>
                <w:rFonts w:eastAsiaTheme="minorEastAsia" w:cs="Calibri"/>
                <w:iCs/>
                <w:color w:val="FFFFFF"/>
                <w:sz w:val="16"/>
                <w:lang w:eastAsia="en-AU"/>
              </w:rPr>
              <w:t xml:space="preserve"> </w:t>
            </w:r>
            <w:r>
              <w:rPr>
                <w:rFonts w:eastAsiaTheme="minorEastAsia" w:cs="Calibri"/>
                <w:iCs/>
                <w:color w:val="FFFFFF"/>
                <w:sz w:val="16"/>
                <w:lang w:eastAsia="en-AU"/>
              </w:rPr>
              <w:br/>
              <w:t>Notes</w:t>
            </w:r>
            <w:r w:rsidRPr="008D5734">
              <w:rPr>
                <w:rFonts w:eastAsiaTheme="minorEastAsia" w:cs="Calibri"/>
                <w:iCs/>
                <w:color w:val="FFFFFF"/>
                <w:sz w:val="16"/>
                <w:lang w:eastAsia="en-AU"/>
              </w:rPr>
              <w:t xml:space="preserve"> </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8"/>
                <w:lang w:eastAsia="en-AU"/>
              </w:rPr>
            </w:pPr>
            <w:r w:rsidRPr="008D5734">
              <w:rPr>
                <w:rFonts w:eastAsiaTheme="minorEastAsia" w:cs="Calibri"/>
                <w:iCs/>
                <w:color w:val="FFFFFF"/>
                <w:sz w:val="16"/>
                <w:szCs w:val="18"/>
                <w:lang w:eastAsia="en-AU"/>
              </w:rPr>
              <w:t>2018-19</w:t>
            </w:r>
            <w:r>
              <w:rPr>
                <w:rFonts w:eastAsiaTheme="minorEastAsia" w:cs="Calibri"/>
                <w:iCs/>
                <w:color w:val="FFFFFF"/>
                <w:sz w:val="16"/>
                <w:szCs w:val="18"/>
                <w:lang w:eastAsia="en-AU"/>
              </w:rPr>
              <w:br/>
            </w:r>
            <w:r w:rsidRPr="008D5734">
              <w:rPr>
                <w:rFonts w:eastAsiaTheme="minorEastAsia" w:cs="Calibri"/>
                <w:iCs/>
                <w:color w:val="FFFFFF"/>
                <w:sz w:val="16"/>
                <w:szCs w:val="18"/>
                <w:lang w:eastAsia="en-AU"/>
              </w:rPr>
              <w:t>budget</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8"/>
                <w:lang w:eastAsia="en-AU"/>
              </w:rPr>
            </w:pPr>
            <w:r w:rsidRPr="008D5734">
              <w:rPr>
                <w:rFonts w:eastAsiaTheme="minorEastAsia" w:cs="Calibri"/>
                <w:iCs/>
                <w:color w:val="FFFFFF"/>
                <w:sz w:val="16"/>
                <w:szCs w:val="18"/>
                <w:lang w:eastAsia="en-AU"/>
              </w:rPr>
              <w:t>2018-19</w:t>
            </w:r>
            <w:r>
              <w:rPr>
                <w:rFonts w:eastAsiaTheme="minorEastAsia" w:cs="Calibri"/>
                <w:iCs/>
                <w:color w:val="FFFFFF"/>
                <w:sz w:val="16"/>
                <w:szCs w:val="18"/>
                <w:lang w:eastAsia="en-AU"/>
              </w:rPr>
              <w:br/>
            </w:r>
            <w:r w:rsidRPr="008D5734">
              <w:rPr>
                <w:rFonts w:eastAsiaTheme="minorEastAsia" w:cs="Calibri"/>
                <w:iCs/>
                <w:color w:val="FFFFFF"/>
                <w:sz w:val="16"/>
                <w:szCs w:val="18"/>
                <w:lang w:eastAsia="en-AU"/>
              </w:rPr>
              <w:t>revised</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8"/>
                <w:lang w:eastAsia="en-AU"/>
              </w:rPr>
            </w:pPr>
            <w:r w:rsidRPr="008D5734">
              <w:rPr>
                <w:rFonts w:eastAsiaTheme="minorEastAsia" w:cs="Calibri"/>
                <w:iCs/>
                <w:color w:val="FFFFFF"/>
                <w:sz w:val="16"/>
                <w:szCs w:val="18"/>
                <w:lang w:eastAsia="en-AU"/>
              </w:rPr>
              <w:t>2019-20</w:t>
            </w:r>
            <w:r>
              <w:rPr>
                <w:rFonts w:eastAsiaTheme="minorEastAsia" w:cs="Calibri"/>
                <w:iCs/>
                <w:color w:val="FFFFFF"/>
                <w:sz w:val="16"/>
                <w:szCs w:val="18"/>
                <w:lang w:eastAsia="en-AU"/>
              </w:rPr>
              <w:br/>
            </w:r>
            <w:r w:rsidRPr="008D5734">
              <w:rPr>
                <w:rFonts w:eastAsiaTheme="minorEastAsia" w:cs="Calibri"/>
                <w:iCs/>
                <w:color w:val="FFFFFF"/>
                <w:sz w:val="16"/>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8"/>
                <w:lang w:eastAsia="en-AU"/>
              </w:rPr>
            </w:pPr>
            <w:r w:rsidRPr="008D5734">
              <w:rPr>
                <w:rFonts w:eastAsiaTheme="minorEastAsia" w:cs="Calibri"/>
                <w:iCs/>
                <w:color w:val="FFFFFF"/>
                <w:sz w:val="16"/>
                <w:szCs w:val="18"/>
                <w:lang w:eastAsia="en-AU"/>
              </w:rPr>
              <w:t>2020-21</w:t>
            </w:r>
            <w:r>
              <w:rPr>
                <w:rFonts w:eastAsiaTheme="minorEastAsia" w:cs="Calibri"/>
                <w:iCs/>
                <w:color w:val="FFFFFF"/>
                <w:sz w:val="16"/>
                <w:szCs w:val="18"/>
                <w:lang w:eastAsia="en-AU"/>
              </w:rPr>
              <w:br/>
            </w:r>
            <w:r w:rsidRPr="008D5734">
              <w:rPr>
                <w:rFonts w:eastAsiaTheme="minorEastAsia" w:cs="Calibri"/>
                <w:iCs/>
                <w:color w:val="FFFFFF"/>
                <w:sz w:val="16"/>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8"/>
                <w:lang w:eastAsia="en-AU"/>
              </w:rPr>
            </w:pPr>
            <w:r w:rsidRPr="008D5734">
              <w:rPr>
                <w:rFonts w:eastAsiaTheme="minorEastAsia" w:cs="Calibri"/>
                <w:iCs/>
                <w:color w:val="FFFFFF"/>
                <w:sz w:val="16"/>
                <w:szCs w:val="18"/>
                <w:lang w:eastAsia="en-AU"/>
              </w:rPr>
              <w:t>2021-22</w:t>
            </w:r>
            <w:r>
              <w:rPr>
                <w:rFonts w:eastAsiaTheme="minorEastAsia" w:cs="Calibri"/>
                <w:iCs/>
                <w:color w:val="FFFFFF"/>
                <w:sz w:val="16"/>
                <w:szCs w:val="18"/>
                <w:lang w:eastAsia="en-AU"/>
              </w:rPr>
              <w:br/>
            </w:r>
            <w:r w:rsidRPr="008D5734">
              <w:rPr>
                <w:rFonts w:eastAsiaTheme="minorEastAsia" w:cs="Calibri"/>
                <w:iCs/>
                <w:color w:val="FFFFFF"/>
                <w:sz w:val="16"/>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Cash flows from operating activities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Receipts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Taxes received</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23 907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23 919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24 836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25 452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26 707</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Grants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33 458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33 515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33 697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34 686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35 942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 xml:space="preserve">Sales of goods and services </w:t>
            </w:r>
            <w:r w:rsidRPr="008D5734">
              <w:rPr>
                <w:rFonts w:eastAsiaTheme="minorEastAsia" w:cs="Calibri"/>
                <w:color w:val="000000"/>
                <w:sz w:val="16"/>
                <w:szCs w:val="18"/>
                <w:vertAlign w:val="superscript"/>
                <w:lang w:eastAsia="en-AU"/>
              </w:rPr>
              <w:t>(a)</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10 086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11 095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9 094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9 389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9 438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Interest received</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864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818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787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761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751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Dividends, income tax equivalent and rate equivalent receipts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861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1 041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576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591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562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Other receipts</w:t>
            </w:r>
          </w:p>
        </w:tc>
        <w:tc>
          <w:tcPr>
            <w:tcW w:w="850" w:type="dxa"/>
            <w:gridSpan w:val="2"/>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2 168</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2 164</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2 110</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2 168</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2 212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Total receipts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71 343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72 552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71 101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73 046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75 612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Payments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Payments for employees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(25 213)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(24 690)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(26 136)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(27 203)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(28 266)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Superannuation</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(3 364)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(3 379)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(3 436)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(3 489)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(3 491)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Interest paid</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(2 130)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(2 053)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(2 096)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(2 174)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(2 223)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Grants and subsidies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(13 158)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(13 246)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(15 187)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(15 572)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(15 236)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 xml:space="preserve">Goods and services </w:t>
            </w:r>
            <w:r w:rsidRPr="008D5734">
              <w:rPr>
                <w:rFonts w:eastAsiaTheme="minorEastAsia" w:cs="Calibri"/>
                <w:color w:val="000000"/>
                <w:sz w:val="16"/>
                <w:szCs w:val="18"/>
                <w:vertAlign w:val="superscript"/>
                <w:lang w:eastAsia="en-AU"/>
              </w:rPr>
              <w:t>(a)</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(21 141)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(21 256)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(20 280)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(19 989)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(20 632)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Other payments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(787)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(775)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(804)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(840)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(801)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after="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Total payments</w:t>
            </w:r>
          </w:p>
        </w:tc>
        <w:tc>
          <w:tcPr>
            <w:tcW w:w="850" w:type="dxa"/>
            <w:gridSpan w:val="2"/>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(65 792)</w:t>
            </w:r>
          </w:p>
        </w:tc>
        <w:tc>
          <w:tcPr>
            <w:tcW w:w="85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(65 398)</w:t>
            </w:r>
          </w:p>
        </w:tc>
        <w:tc>
          <w:tcPr>
            <w:tcW w:w="85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(67 941)</w:t>
            </w:r>
          </w:p>
        </w:tc>
        <w:tc>
          <w:tcPr>
            <w:tcW w:w="85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(69 267)</w:t>
            </w:r>
          </w:p>
        </w:tc>
        <w:tc>
          <w:tcPr>
            <w:tcW w:w="85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(70 650)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Net cash flows from operating activities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5 551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7 155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3 160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3 779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4 962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Cash flows from investing activities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 xml:space="preserve">Cash flows from investments in </w:t>
            </w:r>
            <w:r w:rsidR="00BA2EEF">
              <w:rPr>
                <w:rFonts w:eastAsiaTheme="minorEastAsia" w:cs="Calibri"/>
                <w:b/>
                <w:bCs/>
                <w:color w:val="000000"/>
                <w:sz w:val="16"/>
                <w:szCs w:val="18"/>
                <w:lang w:eastAsia="en-AU"/>
              </w:rPr>
              <w:br/>
            </w:r>
            <w:r w:rsidRPr="008D5734">
              <w:rPr>
                <w:rFonts w:eastAsiaTheme="minorEastAsia" w:cs="Calibri"/>
                <w:b/>
                <w:bCs/>
                <w:color w:val="000000"/>
                <w:sz w:val="16"/>
                <w:szCs w:val="18"/>
                <w:lang w:eastAsia="en-AU"/>
              </w:rPr>
              <w:t>non-financial assets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Purchases of non-financial assets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4.3.6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(10 091)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(9 361)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(8 896)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(7 333)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(6 598)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Sales of non-financial assets</w:t>
            </w:r>
          </w:p>
        </w:tc>
        <w:tc>
          <w:tcPr>
            <w:tcW w:w="850" w:type="dxa"/>
            <w:gridSpan w:val="2"/>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368</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365</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416</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390</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346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Net cash flows from investments in non-financial assets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(9 723)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(8 996)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(8 480)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(6 943)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(6 252)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897" w:type="dxa"/>
            <w:gridSpan w:val="2"/>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Net cash flows from investments in finan</w:t>
            </w:r>
            <w:r>
              <w:rPr>
                <w:rFonts w:eastAsiaTheme="minorEastAsia" w:cs="Calibri"/>
                <w:color w:val="000000"/>
                <w:sz w:val="16"/>
                <w:szCs w:val="18"/>
                <w:lang w:eastAsia="en-AU"/>
              </w:rPr>
              <w:t>cial assets for policy purposes</w:t>
            </w:r>
          </w:p>
        </w:tc>
        <w:tc>
          <w:tcPr>
            <w:tcW w:w="618"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1 624</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1 263</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2 883</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2 450</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830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Subtotal</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(8 099)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(7 733)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(5 597)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(4 493)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(5 422)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Net cash flows from investment in financial assets for liquidity management purposes</w:t>
            </w:r>
          </w:p>
        </w:tc>
        <w:tc>
          <w:tcPr>
            <w:tcW w:w="850" w:type="dxa"/>
            <w:gridSpan w:val="2"/>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(248)</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(257)</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(411)</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(199)</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(263)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Net cash flows from investing activities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(8 347)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(7 990)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(6 008)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(4 692)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(5 685)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Cash flows from financing activities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Advances received (net)</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(2 031)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(1 795)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(1 612)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(1 245)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(581)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Net borrowings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4 895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559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4 563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2 161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1 283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Deposits received (net)</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after="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Net cash flows from financing activities</w:t>
            </w:r>
          </w:p>
        </w:tc>
        <w:tc>
          <w:tcPr>
            <w:tcW w:w="850" w:type="dxa"/>
            <w:gridSpan w:val="2"/>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2 864</w:t>
            </w:r>
          </w:p>
        </w:tc>
        <w:tc>
          <w:tcPr>
            <w:tcW w:w="85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(1 242)</w:t>
            </w:r>
          </w:p>
        </w:tc>
        <w:tc>
          <w:tcPr>
            <w:tcW w:w="85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2 950</w:t>
            </w:r>
          </w:p>
        </w:tc>
        <w:tc>
          <w:tcPr>
            <w:tcW w:w="85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915</w:t>
            </w:r>
          </w:p>
        </w:tc>
        <w:tc>
          <w:tcPr>
            <w:tcW w:w="85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703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Net increase/(decrease) in cash and cash equivalents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68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(2 077)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102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8"/>
                <w:lang w:eastAsia="en-AU"/>
              </w:rPr>
            </w:pPr>
            <w:r>
              <w:rPr>
                <w:rFonts w:eastAsiaTheme="minorEastAsia" w:cs="Calibri"/>
                <w:b/>
                <w:bCs/>
                <w:color w:val="000000"/>
                <w:sz w:val="16"/>
                <w:szCs w:val="18"/>
                <w:lang w:eastAsia="en-AU"/>
              </w:rPr>
              <w:t>(20)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 xml:space="preserve">Cash and cash equivalents at beginning of reporting period </w:t>
            </w:r>
            <w:r>
              <w:rPr>
                <w:rFonts w:eastAsiaTheme="minorEastAsia" w:cs="Calibri"/>
                <w:color w:val="000000"/>
                <w:sz w:val="16"/>
                <w:szCs w:val="18"/>
                <w:vertAlign w:val="superscript"/>
                <w:lang w:eastAsia="en-AU"/>
              </w:rPr>
              <w:t>(b</w:t>
            </w:r>
            <w:r w:rsidRPr="008D5734">
              <w:rPr>
                <w:rFonts w:eastAsiaTheme="minorEastAsia" w:cs="Calibri"/>
                <w:color w:val="000000"/>
                <w:sz w:val="16"/>
                <w:szCs w:val="18"/>
                <w:vertAlign w:val="superscript"/>
                <w:lang w:eastAsia="en-AU"/>
              </w:rPr>
              <w:t>)</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6 257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6 257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4 180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4 282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4 285</w:t>
            </w:r>
          </w:p>
        </w:tc>
      </w:tr>
      <w:tr w:rsidR="004B6846" w:rsidRPr="008D573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tcBorders>
              <w:top w:val="single" w:sz="6" w:space="0" w:color="000000"/>
              <w:bottom w:val="single" w:sz="6" w:space="0" w:color="000000"/>
            </w:tcBorders>
          </w:tcPr>
          <w:p w:rsidR="004B6846" w:rsidRPr="008D5734" w:rsidRDefault="004B6846" w:rsidP="00BA2EEF">
            <w:pPr>
              <w:rPr>
                <w:lang w:eastAsia="en-AU"/>
              </w:rPr>
            </w:pPr>
            <w:r w:rsidRPr="008D5734">
              <w:rPr>
                <w:lang w:eastAsia="en-AU"/>
              </w:rPr>
              <w:t xml:space="preserve">Cash and cash equivalents at end of reporting period </w:t>
            </w:r>
            <w:r>
              <w:rPr>
                <w:vertAlign w:val="superscript"/>
                <w:lang w:eastAsia="en-AU"/>
              </w:rPr>
              <w:t>(b)</w:t>
            </w:r>
          </w:p>
        </w:tc>
        <w:tc>
          <w:tcPr>
            <w:tcW w:w="850" w:type="dxa"/>
            <w:gridSpan w:val="2"/>
            <w:tcBorders>
              <w:top w:val="single" w:sz="6" w:space="0" w:color="000000"/>
              <w:bottom w:val="single" w:sz="6" w:space="0" w:color="000000"/>
            </w:tcBorders>
          </w:tcPr>
          <w:p w:rsidR="004B6846" w:rsidRPr="008D5734" w:rsidRDefault="004B6846" w:rsidP="00BA2EEF">
            <w:pPr>
              <w:cnfStyle w:val="010000000000" w:firstRow="0" w:lastRow="1" w:firstColumn="0" w:lastColumn="0" w:oddVBand="0" w:evenVBand="0" w:oddHBand="0" w:evenHBand="0" w:firstRowFirstColumn="0" w:firstRowLastColumn="0" w:lastRowFirstColumn="0" w:lastRowLastColumn="0"/>
              <w:rPr>
                <w:lang w:eastAsia="en-AU"/>
              </w:rPr>
            </w:pPr>
            <w:r w:rsidRPr="008D5734">
              <w:rPr>
                <w:lang w:eastAsia="en-AU"/>
              </w:rPr>
              <w:t xml:space="preserve"> </w:t>
            </w:r>
          </w:p>
        </w:tc>
        <w:tc>
          <w:tcPr>
            <w:tcW w:w="850" w:type="dxa"/>
            <w:tcBorders>
              <w:top w:val="single" w:sz="6" w:space="0" w:color="000000"/>
              <w:bottom w:val="single" w:sz="6" w:space="0" w:color="000000"/>
            </w:tcBorders>
          </w:tcPr>
          <w:p w:rsidR="004B6846" w:rsidRPr="008D5734" w:rsidRDefault="004B6846" w:rsidP="00BA2EEF">
            <w:pPr>
              <w:cnfStyle w:val="010000000000" w:firstRow="0" w:lastRow="1" w:firstColumn="0" w:lastColumn="0" w:oddVBand="0" w:evenVBand="0" w:oddHBand="0" w:evenHBand="0" w:firstRowFirstColumn="0" w:firstRowLastColumn="0" w:lastRowFirstColumn="0" w:lastRowLastColumn="0"/>
              <w:rPr>
                <w:lang w:eastAsia="en-AU"/>
              </w:rPr>
            </w:pPr>
            <w:r w:rsidRPr="008D5734">
              <w:rPr>
                <w:lang w:eastAsia="en-AU"/>
              </w:rPr>
              <w:t>6 325</w:t>
            </w:r>
          </w:p>
        </w:tc>
        <w:tc>
          <w:tcPr>
            <w:tcW w:w="850" w:type="dxa"/>
            <w:tcBorders>
              <w:top w:val="single" w:sz="6" w:space="0" w:color="000000"/>
              <w:bottom w:val="single" w:sz="6" w:space="0" w:color="000000"/>
            </w:tcBorders>
          </w:tcPr>
          <w:p w:rsidR="004B6846" w:rsidRPr="008D5734" w:rsidRDefault="004B6846" w:rsidP="00BA2EEF">
            <w:pPr>
              <w:cnfStyle w:val="010000000000" w:firstRow="0" w:lastRow="1" w:firstColumn="0" w:lastColumn="0" w:oddVBand="0" w:evenVBand="0" w:oddHBand="0" w:evenHBand="0" w:firstRowFirstColumn="0" w:firstRowLastColumn="0" w:lastRowFirstColumn="0" w:lastRowLastColumn="0"/>
              <w:rPr>
                <w:lang w:eastAsia="en-AU"/>
              </w:rPr>
            </w:pPr>
            <w:r w:rsidRPr="008D5734">
              <w:rPr>
                <w:lang w:eastAsia="en-AU"/>
              </w:rPr>
              <w:t>4 180</w:t>
            </w:r>
          </w:p>
        </w:tc>
        <w:tc>
          <w:tcPr>
            <w:tcW w:w="850" w:type="dxa"/>
            <w:tcBorders>
              <w:top w:val="single" w:sz="6" w:space="0" w:color="000000"/>
              <w:bottom w:val="single" w:sz="6" w:space="0" w:color="000000"/>
            </w:tcBorders>
          </w:tcPr>
          <w:p w:rsidR="004B6846" w:rsidRPr="008D5734" w:rsidRDefault="004B6846" w:rsidP="00BA2EEF">
            <w:pPr>
              <w:cnfStyle w:val="010000000000" w:firstRow="0" w:lastRow="1" w:firstColumn="0" w:lastColumn="0" w:oddVBand="0" w:evenVBand="0" w:oddHBand="0" w:evenHBand="0" w:firstRowFirstColumn="0" w:firstRowLastColumn="0" w:lastRowFirstColumn="0" w:lastRowLastColumn="0"/>
              <w:rPr>
                <w:lang w:eastAsia="en-AU"/>
              </w:rPr>
            </w:pPr>
            <w:r w:rsidRPr="008D5734">
              <w:rPr>
                <w:lang w:eastAsia="en-AU"/>
              </w:rPr>
              <w:t>4 282</w:t>
            </w:r>
          </w:p>
        </w:tc>
        <w:tc>
          <w:tcPr>
            <w:tcW w:w="850" w:type="dxa"/>
            <w:tcBorders>
              <w:top w:val="single" w:sz="6" w:space="0" w:color="000000"/>
              <w:bottom w:val="single" w:sz="6" w:space="0" w:color="000000"/>
            </w:tcBorders>
          </w:tcPr>
          <w:p w:rsidR="004B6846" w:rsidRPr="008D5734" w:rsidRDefault="004B6846" w:rsidP="00BA2EEF">
            <w:pPr>
              <w:cnfStyle w:val="010000000000" w:firstRow="0" w:lastRow="1" w:firstColumn="0" w:lastColumn="0" w:oddVBand="0" w:evenVBand="0" w:oddHBand="0" w:evenHBand="0" w:firstRowFirstColumn="0" w:firstRowLastColumn="0" w:lastRowFirstColumn="0" w:lastRowLastColumn="0"/>
              <w:rPr>
                <w:lang w:eastAsia="en-AU"/>
              </w:rPr>
            </w:pPr>
            <w:r w:rsidRPr="008D5734">
              <w:rPr>
                <w:lang w:eastAsia="en-AU"/>
              </w:rPr>
              <w:t>4 285</w:t>
            </w:r>
          </w:p>
        </w:tc>
        <w:tc>
          <w:tcPr>
            <w:tcW w:w="850" w:type="dxa"/>
            <w:tcBorders>
              <w:top w:val="single" w:sz="6" w:space="0" w:color="000000"/>
              <w:bottom w:val="single" w:sz="6" w:space="0" w:color="000000"/>
            </w:tcBorders>
          </w:tcPr>
          <w:p w:rsidR="004B6846" w:rsidRPr="008D5734" w:rsidRDefault="004B6846" w:rsidP="00BA2EEF">
            <w:pPr>
              <w:cnfStyle w:val="010000000000" w:firstRow="0" w:lastRow="1" w:firstColumn="0" w:lastColumn="0" w:oddVBand="0" w:evenVBand="0" w:oddHBand="0" w:evenHBand="0" w:firstRowFirstColumn="0" w:firstRowLastColumn="0" w:lastRowFirstColumn="0" w:lastRowLastColumn="0"/>
              <w:rPr>
                <w:lang w:eastAsia="en-AU"/>
              </w:rPr>
            </w:pPr>
            <w:r w:rsidRPr="008D5734">
              <w:rPr>
                <w:lang w:eastAsia="en-AU"/>
              </w:rPr>
              <w:t>4 265</w:t>
            </w:r>
          </w:p>
        </w:tc>
      </w:tr>
    </w:tbl>
    <w:p w:rsidR="009B3E27" w:rsidRPr="009B3E27" w:rsidRDefault="009B3E27" w:rsidP="009B3E27">
      <w:pPr>
        <w:spacing w:before="0"/>
        <w:rPr>
          <w:sz w:val="18"/>
        </w:rPr>
      </w:pPr>
    </w:p>
    <w:p w:rsidR="009B3E27" w:rsidRPr="00CB74DA" w:rsidRDefault="009B3E27" w:rsidP="00CB74DA">
      <w:pPr>
        <w:pStyle w:val="Heading1Continued"/>
      </w:pPr>
      <w:r w:rsidRPr="00CB74DA">
        <w:lastRenderedPageBreak/>
        <w:t>Estimated general government sector</w:t>
      </w:r>
      <w:r w:rsidRPr="00CB74DA">
        <w:br/>
        <w:t xml:space="preserve">cash flow statement </w:t>
      </w:r>
      <w:r w:rsidR="00CB74DA" w:rsidRPr="00CB74DA">
        <w:rPr>
          <w:i/>
          <w:caps w:val="0"/>
        </w:rPr>
        <w:t>(continued)</w:t>
      </w:r>
    </w:p>
    <w:p w:rsidR="009B3E27" w:rsidRPr="008D5734" w:rsidRDefault="009B3E27" w:rsidP="009B3E27">
      <w:pPr>
        <w:pStyle w:val="TableHeading"/>
        <w:rPr>
          <w:bCs/>
          <w:lang w:val="en-US"/>
        </w:rPr>
      </w:pPr>
      <w:r>
        <w:t>For the financial year ended 30 June</w:t>
      </w:r>
      <w:r>
        <w:tab/>
        <w:t xml:space="preserve">($ million) </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2665"/>
        <w:gridCol w:w="850"/>
        <w:gridCol w:w="850"/>
        <w:gridCol w:w="850"/>
        <w:gridCol w:w="850"/>
        <w:gridCol w:w="850"/>
        <w:gridCol w:w="850"/>
      </w:tblGrid>
      <w:tr w:rsidR="009B3E27" w:rsidRPr="008D5734" w:rsidTr="009B3E27">
        <w:trPr>
          <w:cnfStyle w:val="100000000000" w:firstRow="1" w:lastRow="0" w:firstColumn="0" w:lastColumn="0" w:oddVBand="0" w:evenVBand="0" w:oddHBand="0" w:evenHBand="0" w:firstRowFirstColumn="0" w:firstRowLastColumn="0" w:lastRowFirstColumn="0" w:lastRowLastColumn="0"/>
          <w:trHeight w:val="181"/>
          <w:tblHeader/>
        </w:trPr>
        <w:tc>
          <w:tcPr>
            <w:cnfStyle w:val="001000000000" w:firstRow="0" w:lastRow="0" w:firstColumn="1" w:lastColumn="0" w:oddVBand="0" w:evenVBand="0" w:oddHBand="0" w:evenHBand="0" w:firstRowFirstColumn="0" w:firstRowLastColumn="0" w:lastRowFirstColumn="0" w:lastRowLastColumn="0"/>
            <w:tcW w:w="2665" w:type="dxa"/>
            <w:tcBorders>
              <w:top w:val="nil"/>
              <w:left w:val="nil"/>
              <w:right w:val="nil"/>
            </w:tcBorders>
            <w:shd w:val="solid" w:color="000000" w:fill="auto"/>
          </w:tcPr>
          <w:p w:rsidR="009B3E27" w:rsidRPr="008D5734" w:rsidRDefault="009B3E27" w:rsidP="00A97443">
            <w:pPr>
              <w:autoSpaceDE w:val="0"/>
              <w:autoSpaceDN w:val="0"/>
              <w:adjustRightInd w:val="0"/>
              <w:spacing w:after="0"/>
              <w:rPr>
                <w:rFonts w:eastAsiaTheme="minorEastAsia" w:cs="Calibri"/>
                <w:iCs/>
                <w:color w:val="FFFFFF"/>
                <w:sz w:val="16"/>
                <w:lang w:eastAsia="en-AU"/>
              </w:rPr>
            </w:pPr>
            <w:r w:rsidRPr="008D5734">
              <w:rPr>
                <w:rFonts w:eastAsiaTheme="minorEastAsia" w:cs="Calibri"/>
                <w:iCs/>
                <w:color w:val="FFFFFF"/>
                <w:sz w:val="16"/>
                <w:lang w:eastAsia="en-AU"/>
              </w:rPr>
              <w:t xml:space="preserve">  </w:t>
            </w:r>
          </w:p>
        </w:tc>
        <w:tc>
          <w:tcPr>
            <w:tcW w:w="850" w:type="dxa"/>
            <w:tcBorders>
              <w:top w:val="nil"/>
              <w:left w:val="nil"/>
              <w:right w:val="nil"/>
            </w:tcBorders>
            <w:shd w:val="solid" w:color="000000" w:fill="auto"/>
          </w:tcPr>
          <w:p w:rsidR="009B3E27" w:rsidRPr="008D5734" w:rsidRDefault="009B3E27" w:rsidP="00A97443">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lang w:eastAsia="en-AU"/>
              </w:rPr>
            </w:pPr>
            <w:r w:rsidRPr="008D5734">
              <w:rPr>
                <w:rFonts w:eastAsiaTheme="minorEastAsia" w:cs="Calibri"/>
                <w:iCs/>
                <w:color w:val="FFFFFF"/>
                <w:sz w:val="16"/>
                <w:lang w:eastAsia="en-AU"/>
              </w:rPr>
              <w:t xml:space="preserve"> </w:t>
            </w:r>
            <w:r>
              <w:rPr>
                <w:rFonts w:eastAsiaTheme="minorEastAsia" w:cs="Calibri"/>
                <w:iCs/>
                <w:color w:val="FFFFFF"/>
                <w:sz w:val="16"/>
                <w:lang w:eastAsia="en-AU"/>
              </w:rPr>
              <w:br/>
              <w:t>Notes</w:t>
            </w:r>
            <w:r w:rsidRPr="008D5734">
              <w:rPr>
                <w:rFonts w:eastAsiaTheme="minorEastAsia" w:cs="Calibri"/>
                <w:iCs/>
                <w:color w:val="FFFFFF"/>
                <w:sz w:val="16"/>
                <w:lang w:eastAsia="en-AU"/>
              </w:rPr>
              <w:t xml:space="preserve"> </w:t>
            </w:r>
          </w:p>
        </w:tc>
        <w:tc>
          <w:tcPr>
            <w:tcW w:w="850" w:type="dxa"/>
            <w:tcBorders>
              <w:top w:val="nil"/>
              <w:left w:val="nil"/>
              <w:right w:val="nil"/>
            </w:tcBorders>
            <w:shd w:val="solid" w:color="000000" w:fill="auto"/>
          </w:tcPr>
          <w:p w:rsidR="009B3E27" w:rsidRPr="008D5734" w:rsidRDefault="009B3E27" w:rsidP="00A97443">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8"/>
                <w:lang w:eastAsia="en-AU"/>
              </w:rPr>
            </w:pPr>
            <w:r w:rsidRPr="008D5734">
              <w:rPr>
                <w:rFonts w:eastAsiaTheme="minorEastAsia" w:cs="Calibri"/>
                <w:iCs/>
                <w:color w:val="FFFFFF"/>
                <w:sz w:val="16"/>
                <w:szCs w:val="18"/>
                <w:lang w:eastAsia="en-AU"/>
              </w:rPr>
              <w:t>2018-19</w:t>
            </w:r>
            <w:r>
              <w:rPr>
                <w:rFonts w:eastAsiaTheme="minorEastAsia" w:cs="Calibri"/>
                <w:iCs/>
                <w:color w:val="FFFFFF"/>
                <w:sz w:val="16"/>
                <w:szCs w:val="18"/>
                <w:lang w:eastAsia="en-AU"/>
              </w:rPr>
              <w:br/>
            </w:r>
            <w:r w:rsidRPr="008D5734">
              <w:rPr>
                <w:rFonts w:eastAsiaTheme="minorEastAsia" w:cs="Calibri"/>
                <w:iCs/>
                <w:color w:val="FFFFFF"/>
                <w:sz w:val="16"/>
                <w:szCs w:val="18"/>
                <w:lang w:eastAsia="en-AU"/>
              </w:rPr>
              <w:t>budget</w:t>
            </w:r>
          </w:p>
        </w:tc>
        <w:tc>
          <w:tcPr>
            <w:tcW w:w="850" w:type="dxa"/>
            <w:tcBorders>
              <w:top w:val="nil"/>
              <w:left w:val="nil"/>
              <w:right w:val="nil"/>
            </w:tcBorders>
            <w:shd w:val="solid" w:color="000000" w:fill="auto"/>
          </w:tcPr>
          <w:p w:rsidR="009B3E27" w:rsidRPr="008D5734" w:rsidRDefault="009B3E27" w:rsidP="00A97443">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8"/>
                <w:lang w:eastAsia="en-AU"/>
              </w:rPr>
            </w:pPr>
            <w:r w:rsidRPr="008D5734">
              <w:rPr>
                <w:rFonts w:eastAsiaTheme="minorEastAsia" w:cs="Calibri"/>
                <w:iCs/>
                <w:color w:val="FFFFFF"/>
                <w:sz w:val="16"/>
                <w:szCs w:val="18"/>
                <w:lang w:eastAsia="en-AU"/>
              </w:rPr>
              <w:t>2018-19</w:t>
            </w:r>
            <w:r>
              <w:rPr>
                <w:rFonts w:eastAsiaTheme="minorEastAsia" w:cs="Calibri"/>
                <w:iCs/>
                <w:color w:val="FFFFFF"/>
                <w:sz w:val="16"/>
                <w:szCs w:val="18"/>
                <w:lang w:eastAsia="en-AU"/>
              </w:rPr>
              <w:br/>
            </w:r>
            <w:r w:rsidRPr="008D5734">
              <w:rPr>
                <w:rFonts w:eastAsiaTheme="minorEastAsia" w:cs="Calibri"/>
                <w:iCs/>
                <w:color w:val="FFFFFF"/>
                <w:sz w:val="16"/>
                <w:szCs w:val="18"/>
                <w:lang w:eastAsia="en-AU"/>
              </w:rPr>
              <w:t>revised</w:t>
            </w:r>
          </w:p>
        </w:tc>
        <w:tc>
          <w:tcPr>
            <w:tcW w:w="850" w:type="dxa"/>
            <w:tcBorders>
              <w:top w:val="nil"/>
              <w:left w:val="nil"/>
              <w:right w:val="nil"/>
            </w:tcBorders>
            <w:shd w:val="solid" w:color="000000" w:fill="auto"/>
          </w:tcPr>
          <w:p w:rsidR="009B3E27" w:rsidRPr="008D5734" w:rsidRDefault="009B3E27" w:rsidP="00A97443">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8"/>
                <w:lang w:eastAsia="en-AU"/>
              </w:rPr>
            </w:pPr>
            <w:r w:rsidRPr="008D5734">
              <w:rPr>
                <w:rFonts w:eastAsiaTheme="minorEastAsia" w:cs="Calibri"/>
                <w:iCs/>
                <w:color w:val="FFFFFF"/>
                <w:sz w:val="16"/>
                <w:szCs w:val="18"/>
                <w:lang w:eastAsia="en-AU"/>
              </w:rPr>
              <w:t>2019-20</w:t>
            </w:r>
            <w:r>
              <w:rPr>
                <w:rFonts w:eastAsiaTheme="minorEastAsia" w:cs="Calibri"/>
                <w:iCs/>
                <w:color w:val="FFFFFF"/>
                <w:sz w:val="16"/>
                <w:szCs w:val="18"/>
                <w:lang w:eastAsia="en-AU"/>
              </w:rPr>
              <w:br/>
            </w:r>
            <w:r w:rsidRPr="008D5734">
              <w:rPr>
                <w:rFonts w:eastAsiaTheme="minorEastAsia" w:cs="Calibri"/>
                <w:iCs/>
                <w:color w:val="FFFFFF"/>
                <w:sz w:val="16"/>
                <w:szCs w:val="18"/>
                <w:lang w:eastAsia="en-AU"/>
              </w:rPr>
              <w:t>estimate</w:t>
            </w:r>
          </w:p>
        </w:tc>
        <w:tc>
          <w:tcPr>
            <w:tcW w:w="850" w:type="dxa"/>
            <w:tcBorders>
              <w:top w:val="nil"/>
              <w:left w:val="nil"/>
              <w:right w:val="nil"/>
            </w:tcBorders>
            <w:shd w:val="solid" w:color="000000" w:fill="auto"/>
          </w:tcPr>
          <w:p w:rsidR="009B3E27" w:rsidRPr="008D5734" w:rsidRDefault="009B3E27" w:rsidP="00A97443">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8"/>
                <w:lang w:eastAsia="en-AU"/>
              </w:rPr>
            </w:pPr>
            <w:r w:rsidRPr="008D5734">
              <w:rPr>
                <w:rFonts w:eastAsiaTheme="minorEastAsia" w:cs="Calibri"/>
                <w:iCs/>
                <w:color w:val="FFFFFF"/>
                <w:sz w:val="16"/>
                <w:szCs w:val="18"/>
                <w:lang w:eastAsia="en-AU"/>
              </w:rPr>
              <w:t>2020-21</w:t>
            </w:r>
            <w:r>
              <w:rPr>
                <w:rFonts w:eastAsiaTheme="minorEastAsia" w:cs="Calibri"/>
                <w:iCs/>
                <w:color w:val="FFFFFF"/>
                <w:sz w:val="16"/>
                <w:szCs w:val="18"/>
                <w:lang w:eastAsia="en-AU"/>
              </w:rPr>
              <w:br/>
            </w:r>
            <w:r w:rsidRPr="008D5734">
              <w:rPr>
                <w:rFonts w:eastAsiaTheme="minorEastAsia" w:cs="Calibri"/>
                <w:iCs/>
                <w:color w:val="FFFFFF"/>
                <w:sz w:val="16"/>
                <w:szCs w:val="18"/>
                <w:lang w:eastAsia="en-AU"/>
              </w:rPr>
              <w:t>estimate</w:t>
            </w:r>
          </w:p>
        </w:tc>
        <w:tc>
          <w:tcPr>
            <w:tcW w:w="850" w:type="dxa"/>
            <w:tcBorders>
              <w:top w:val="nil"/>
              <w:left w:val="nil"/>
              <w:right w:val="nil"/>
            </w:tcBorders>
            <w:shd w:val="solid" w:color="000000" w:fill="auto"/>
          </w:tcPr>
          <w:p w:rsidR="009B3E27" w:rsidRPr="008D5734" w:rsidRDefault="009B3E27" w:rsidP="00A97443">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8"/>
                <w:lang w:eastAsia="en-AU"/>
              </w:rPr>
            </w:pPr>
            <w:r w:rsidRPr="008D5734">
              <w:rPr>
                <w:rFonts w:eastAsiaTheme="minorEastAsia" w:cs="Calibri"/>
                <w:iCs/>
                <w:color w:val="FFFFFF"/>
                <w:sz w:val="16"/>
                <w:szCs w:val="18"/>
                <w:lang w:eastAsia="en-AU"/>
              </w:rPr>
              <w:t>2021-22</w:t>
            </w:r>
            <w:r>
              <w:rPr>
                <w:rFonts w:eastAsiaTheme="minorEastAsia" w:cs="Calibri"/>
                <w:iCs/>
                <w:color w:val="FFFFFF"/>
                <w:sz w:val="16"/>
                <w:szCs w:val="18"/>
                <w:lang w:eastAsia="en-AU"/>
              </w:rPr>
              <w:br/>
            </w:r>
            <w:r w:rsidRPr="008D5734">
              <w:rPr>
                <w:rFonts w:eastAsiaTheme="minorEastAsia" w:cs="Calibri"/>
                <w:iCs/>
                <w:color w:val="FFFFFF"/>
                <w:sz w:val="16"/>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9B3E27">
            <w:pPr>
              <w:keepLines w:val="0"/>
              <w:autoSpaceDE w:val="0"/>
              <w:autoSpaceDN w:val="0"/>
              <w:adjustRightInd w:val="0"/>
              <w:spacing w:after="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FISCAL AGGREGATES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Net cash flows from operating activities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5 551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7 155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3 160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3 779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sidRPr="008D5734">
              <w:rPr>
                <w:rFonts w:eastAsiaTheme="minorEastAsia" w:cs="Calibri"/>
                <w:color w:val="000000"/>
                <w:sz w:val="16"/>
                <w:szCs w:val="18"/>
                <w:lang w:eastAsia="en-AU"/>
              </w:rPr>
              <w:t>4 962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665" w:type="dxa"/>
            <w:tcBorders>
              <w:top w:val="nil"/>
              <w:left w:val="nil"/>
              <w:bottom w:val="nil"/>
              <w:right w:val="nil"/>
            </w:tcBorders>
          </w:tcPr>
          <w:p w:rsidR="004B6846" w:rsidRPr="008D5734" w:rsidRDefault="004B6846" w:rsidP="00CC0EB7">
            <w:pPr>
              <w:keepLines w:val="0"/>
              <w:autoSpaceDE w:val="0"/>
              <w:autoSpaceDN w:val="0"/>
              <w:adjustRightInd w:val="0"/>
              <w:spacing w:after="0"/>
              <w:rPr>
                <w:rFonts w:eastAsiaTheme="minorEastAsia" w:cs="Calibri"/>
                <w:color w:val="000000"/>
                <w:sz w:val="16"/>
                <w:szCs w:val="18"/>
                <w:lang w:eastAsia="en-AU"/>
              </w:rPr>
            </w:pPr>
            <w:r w:rsidRPr="008D5734">
              <w:rPr>
                <w:rFonts w:eastAsiaTheme="minorEastAsia" w:cs="Calibri"/>
                <w:color w:val="000000"/>
                <w:sz w:val="16"/>
                <w:szCs w:val="18"/>
                <w:lang w:eastAsia="en-AU"/>
              </w:rPr>
              <w:t>Net cash flows from investments in non-financial assets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D5734">
              <w:rPr>
                <w:rFonts w:eastAsiaTheme="minorEastAsia" w:cs="Calibri"/>
                <w:color w:val="000000"/>
                <w:sz w:val="16"/>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(9 723)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(8 996)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(8 480)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(6 943)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8"/>
                <w:lang w:eastAsia="en-AU"/>
              </w:rPr>
            </w:pPr>
            <w:r>
              <w:rPr>
                <w:rFonts w:eastAsiaTheme="minorEastAsia" w:cs="Calibri"/>
                <w:color w:val="000000"/>
                <w:sz w:val="16"/>
                <w:szCs w:val="18"/>
                <w:lang w:eastAsia="en-AU"/>
              </w:rPr>
              <w:t>(6 252)</w:t>
            </w:r>
          </w:p>
        </w:tc>
      </w:tr>
      <w:tr w:rsidR="004B6846" w:rsidRPr="008D573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spacing w:after="0"/>
              <w:rPr>
                <w:rFonts w:eastAsiaTheme="minorEastAsia" w:cs="Calibri"/>
                <w:bCs/>
                <w:color w:val="000000"/>
                <w:sz w:val="16"/>
                <w:szCs w:val="18"/>
                <w:lang w:eastAsia="en-AU"/>
              </w:rPr>
            </w:pPr>
            <w:r w:rsidRPr="008D5734">
              <w:rPr>
                <w:rFonts w:eastAsiaTheme="minorEastAsia" w:cs="Calibri"/>
                <w:bCs/>
                <w:color w:val="000000"/>
                <w:sz w:val="16"/>
                <w:szCs w:val="18"/>
                <w:lang w:eastAsia="en-AU"/>
              </w:rPr>
              <w:t>Cash surplus/(deficit)</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lang w:eastAsia="en-AU"/>
              </w:rPr>
            </w:pPr>
            <w:r w:rsidRPr="008D5734">
              <w:rPr>
                <w:rFonts w:eastAsiaTheme="minorEastAsia" w:cs="Calibri"/>
                <w:bCs/>
                <w:color w:val="000000"/>
                <w:sz w:val="16"/>
                <w:lang w:eastAsia="en-AU"/>
              </w:rPr>
              <w:t xml:space="preserve"> </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8"/>
                <w:lang w:eastAsia="en-AU"/>
              </w:rPr>
            </w:pPr>
            <w:r>
              <w:rPr>
                <w:rFonts w:eastAsiaTheme="minorEastAsia" w:cs="Calibri"/>
                <w:bCs/>
                <w:color w:val="000000"/>
                <w:sz w:val="16"/>
                <w:szCs w:val="18"/>
                <w:lang w:eastAsia="en-AU"/>
              </w:rPr>
              <w:t>(4 172)</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8"/>
                <w:lang w:eastAsia="en-AU"/>
              </w:rPr>
            </w:pPr>
            <w:r>
              <w:rPr>
                <w:rFonts w:eastAsiaTheme="minorEastAsia" w:cs="Calibri"/>
                <w:bCs/>
                <w:color w:val="000000"/>
                <w:sz w:val="16"/>
                <w:szCs w:val="18"/>
                <w:lang w:eastAsia="en-AU"/>
              </w:rPr>
              <w:t>(1 841)</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8"/>
                <w:lang w:eastAsia="en-AU"/>
              </w:rPr>
            </w:pPr>
            <w:r>
              <w:rPr>
                <w:rFonts w:eastAsiaTheme="minorEastAsia" w:cs="Calibri"/>
                <w:bCs/>
                <w:color w:val="000000"/>
                <w:sz w:val="16"/>
                <w:szCs w:val="18"/>
                <w:lang w:eastAsia="en-AU"/>
              </w:rPr>
              <w:t>(5 320)</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8"/>
                <w:lang w:eastAsia="en-AU"/>
              </w:rPr>
            </w:pPr>
            <w:r>
              <w:rPr>
                <w:rFonts w:eastAsiaTheme="minorEastAsia" w:cs="Calibri"/>
                <w:bCs/>
                <w:color w:val="000000"/>
                <w:sz w:val="16"/>
                <w:szCs w:val="18"/>
                <w:lang w:eastAsia="en-AU"/>
              </w:rPr>
              <w:t>(3 164)</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8"/>
                <w:lang w:eastAsia="en-AU"/>
              </w:rPr>
            </w:pPr>
            <w:r>
              <w:rPr>
                <w:rFonts w:eastAsiaTheme="minorEastAsia" w:cs="Calibri"/>
                <w:bCs/>
                <w:color w:val="000000"/>
                <w:sz w:val="16"/>
                <w:szCs w:val="18"/>
                <w:lang w:eastAsia="en-AU"/>
              </w:rPr>
              <w:t>(1 289)</w:t>
            </w:r>
          </w:p>
        </w:tc>
      </w:tr>
    </w:tbl>
    <w:p w:rsidR="004B6846" w:rsidRPr="00D87D22" w:rsidRDefault="004B6846" w:rsidP="00CC0EB7">
      <w:pPr>
        <w:pStyle w:val="Source"/>
      </w:pPr>
      <w:r w:rsidRPr="00D87D22">
        <w:t>Source: Department of Treasury and Finance</w:t>
      </w:r>
    </w:p>
    <w:p w:rsidR="004B6846" w:rsidRDefault="004B6846" w:rsidP="00CC0EB7">
      <w:pPr>
        <w:pStyle w:val="Source"/>
      </w:pPr>
      <w:r>
        <w:t>The accompanying notes form part of these Estimated Financial Statements.</w:t>
      </w:r>
    </w:p>
    <w:p w:rsidR="004B6846" w:rsidRDefault="004B6846" w:rsidP="00CC0EB7">
      <w:pPr>
        <w:pStyle w:val="Note"/>
      </w:pPr>
      <w:r>
        <w:t>Notes:</w:t>
      </w:r>
    </w:p>
    <w:p w:rsidR="004B6846" w:rsidRDefault="004B6846" w:rsidP="00CC0EB7">
      <w:pPr>
        <w:pStyle w:val="Note"/>
      </w:pPr>
      <w:r>
        <w:t>(a)</w:t>
      </w:r>
      <w:r>
        <w:tab/>
        <w:t>Inclusive of goods and services tax.</w:t>
      </w:r>
    </w:p>
    <w:p w:rsidR="004B6846" w:rsidRDefault="004B6846" w:rsidP="00CC0EB7">
      <w:pPr>
        <w:pStyle w:val="Note"/>
      </w:pPr>
      <w:r>
        <w:t>(b)</w:t>
      </w:r>
      <w:r>
        <w:tab/>
      </w:r>
      <w:r w:rsidRPr="0001568B">
        <w:rPr>
          <w:i w:val="0"/>
        </w:rPr>
        <w:t>2018-19 Budget</w:t>
      </w:r>
      <w:r w:rsidRPr="00F46CFC">
        <w:t xml:space="preserve"> figures</w:t>
      </w:r>
      <w:r>
        <w:t xml:space="preserve"> have been restated to represent actual opening balances at 1 July 2018.</w:t>
      </w:r>
    </w:p>
    <w:p w:rsidR="004B6846" w:rsidRDefault="004B6846" w:rsidP="00CC0EB7">
      <w:pPr>
        <w:keepLines w:val="0"/>
      </w:pPr>
      <w:r>
        <w:br w:type="page"/>
      </w:r>
    </w:p>
    <w:p w:rsidR="004B6846" w:rsidRDefault="004B6846" w:rsidP="00CC0EB7">
      <w:pPr>
        <w:pStyle w:val="Heading10"/>
      </w:pPr>
      <w:bookmarkStart w:id="36" w:name="_Toc517171546"/>
      <w:bookmarkStart w:id="37" w:name="_Toc531884959"/>
      <w:r>
        <w:lastRenderedPageBreak/>
        <w:t>Estimated general government sector</w:t>
      </w:r>
      <w:r>
        <w:br/>
        <w:t>statement of changes in equity</w:t>
      </w:r>
      <w:bookmarkEnd w:id="36"/>
      <w:bookmarkEnd w:id="37"/>
    </w:p>
    <w:p w:rsidR="004B6846" w:rsidRPr="008D5734" w:rsidRDefault="004B6846" w:rsidP="00CC0EB7">
      <w:pPr>
        <w:pStyle w:val="TableHeading"/>
        <w:rPr>
          <w:bCs/>
          <w:lang w:val="en-US"/>
        </w:rPr>
      </w:pPr>
      <w:r>
        <w:t>For the financial year ended 30 June</w:t>
      </w:r>
      <w:r>
        <w:tab/>
        <w:t xml:space="preserve">($ million) </w:t>
      </w:r>
    </w:p>
    <w:tbl>
      <w:tblPr>
        <w:tblStyle w:val="DTFTable"/>
        <w:tblW w:w="7710" w:type="dxa"/>
        <w:tblInd w:w="45" w:type="dxa"/>
        <w:tblLayout w:type="fixed"/>
        <w:tblCellMar>
          <w:left w:w="45" w:type="dxa"/>
          <w:right w:w="45" w:type="dxa"/>
        </w:tblCellMar>
        <w:tblLook w:val="06E0" w:firstRow="1" w:lastRow="1" w:firstColumn="1" w:lastColumn="0" w:noHBand="1" w:noVBand="1"/>
      </w:tblPr>
      <w:tblGrid>
        <w:gridCol w:w="4252"/>
        <w:gridCol w:w="1570"/>
        <w:gridCol w:w="1888"/>
      </w:tblGrid>
      <w:tr w:rsidR="004B6846" w:rsidRPr="008D5734"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shd w:val="solid" w:color="000000" w:fill="auto"/>
          </w:tcPr>
          <w:p w:rsidR="004B6846" w:rsidRPr="008D5734" w:rsidRDefault="004B6846"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1570" w:type="dxa"/>
            <w:tcBorders>
              <w:top w:val="nil"/>
              <w:left w:val="nil"/>
              <w:bottom w:val="nil"/>
              <w:right w:val="nil"/>
            </w:tcBorders>
            <w:shd w:val="solid" w:color="000000" w:fill="auto"/>
          </w:tcPr>
          <w:p w:rsidR="004B6846" w:rsidRPr="008D573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8D5734">
              <w:rPr>
                <w:rFonts w:eastAsiaTheme="minorEastAsia" w:cs="Calibri"/>
                <w:iCs/>
                <w:color w:val="FFFFFF"/>
                <w:szCs w:val="16"/>
                <w:lang w:eastAsia="en-AU"/>
              </w:rPr>
              <w:t>Accumulated surplus/(deficit)</w:t>
            </w:r>
          </w:p>
        </w:tc>
        <w:tc>
          <w:tcPr>
            <w:tcW w:w="1888" w:type="dxa"/>
            <w:tcBorders>
              <w:top w:val="nil"/>
              <w:left w:val="nil"/>
              <w:bottom w:val="nil"/>
              <w:right w:val="nil"/>
            </w:tcBorders>
            <w:shd w:val="solid" w:color="000000" w:fill="auto"/>
          </w:tcPr>
          <w:p w:rsidR="004B6846" w:rsidRPr="008D573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8D5734">
              <w:rPr>
                <w:rFonts w:eastAsiaTheme="minorEastAsia" w:cs="Calibri"/>
                <w:iCs/>
                <w:color w:val="FFFFFF"/>
                <w:szCs w:val="16"/>
                <w:lang w:eastAsia="en-AU"/>
              </w:rPr>
              <w:t>Non-financial assets revaluation surplus</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6"/>
                <w:lang w:eastAsia="en-AU"/>
              </w:rPr>
            </w:pPr>
            <w:r w:rsidRPr="008D5734">
              <w:rPr>
                <w:rFonts w:eastAsiaTheme="minorEastAsia" w:cs="Calibri"/>
                <w:b/>
                <w:bCs/>
                <w:color w:val="000000"/>
                <w:szCs w:val="16"/>
                <w:lang w:eastAsia="en-AU"/>
              </w:rPr>
              <w:t xml:space="preserve">2018-19 budget </w:t>
            </w:r>
            <w:r w:rsidRPr="008D5734">
              <w:rPr>
                <w:rFonts w:eastAsiaTheme="minorEastAsia" w:cs="Calibri"/>
                <w:b/>
                <w:bCs/>
                <w:color w:val="000000"/>
                <w:szCs w:val="16"/>
                <w:vertAlign w:val="superscript"/>
                <w:lang w:eastAsia="en-AU"/>
              </w:rPr>
              <w:t>(a)</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Balance at 1 July 2018</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52 574</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64 084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Net result for the year</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1 137</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Other comprehensive income for the year</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1 019</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699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6"/>
                <w:lang w:eastAsia="en-AU"/>
              </w:rPr>
            </w:pPr>
            <w:r w:rsidRPr="008D5734">
              <w:rPr>
                <w:rFonts w:eastAsiaTheme="minorEastAsia" w:cs="Calibri"/>
                <w:b/>
                <w:bCs/>
                <w:color w:val="000000"/>
                <w:szCs w:val="16"/>
                <w:lang w:eastAsia="en-AU"/>
              </w:rPr>
              <w:t>Total equity as at 30 June 2019</w:t>
            </w:r>
          </w:p>
        </w:tc>
        <w:tc>
          <w:tcPr>
            <w:tcW w:w="157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D5734">
              <w:rPr>
                <w:rFonts w:eastAsiaTheme="minorEastAsia" w:cs="Calibri"/>
                <w:b/>
                <w:bCs/>
                <w:color w:val="000000"/>
                <w:szCs w:val="16"/>
                <w:lang w:eastAsia="en-AU"/>
              </w:rPr>
              <w:t>54 730</w:t>
            </w:r>
          </w:p>
        </w:tc>
        <w:tc>
          <w:tcPr>
            <w:tcW w:w="1888"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D5734">
              <w:rPr>
                <w:rFonts w:eastAsiaTheme="minorEastAsia" w:cs="Calibri"/>
                <w:b/>
                <w:bCs/>
                <w:color w:val="000000"/>
                <w:szCs w:val="16"/>
                <w:lang w:eastAsia="en-AU"/>
              </w:rPr>
              <w:t>64 783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6"/>
                <w:lang w:eastAsia="en-AU"/>
              </w:rPr>
            </w:pPr>
            <w:r w:rsidRPr="008D5734">
              <w:rPr>
                <w:rFonts w:eastAsiaTheme="minorEastAsia" w:cs="Calibri"/>
                <w:b/>
                <w:bCs/>
                <w:color w:val="000000"/>
                <w:szCs w:val="16"/>
                <w:lang w:eastAsia="en-AU"/>
              </w:rPr>
              <w:t>2018-19 revised</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Balance at 1 July 2018</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52 574</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64 084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Net result for the year</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2 008</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Other comprehensive income for the year</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1 996</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699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6"/>
                <w:lang w:eastAsia="en-AU"/>
              </w:rPr>
            </w:pPr>
            <w:r w:rsidRPr="008D5734">
              <w:rPr>
                <w:rFonts w:eastAsiaTheme="minorEastAsia" w:cs="Calibri"/>
                <w:b/>
                <w:bCs/>
                <w:color w:val="000000"/>
                <w:szCs w:val="16"/>
                <w:lang w:eastAsia="en-AU"/>
              </w:rPr>
              <w:t>Total equity as at 30 June 2019</w:t>
            </w:r>
          </w:p>
        </w:tc>
        <w:tc>
          <w:tcPr>
            <w:tcW w:w="157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D5734">
              <w:rPr>
                <w:rFonts w:eastAsiaTheme="minorEastAsia" w:cs="Calibri"/>
                <w:b/>
                <w:bCs/>
                <w:color w:val="000000"/>
                <w:szCs w:val="16"/>
                <w:lang w:eastAsia="en-AU"/>
              </w:rPr>
              <w:t>56 577</w:t>
            </w:r>
          </w:p>
        </w:tc>
        <w:tc>
          <w:tcPr>
            <w:tcW w:w="1888"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D5734">
              <w:rPr>
                <w:rFonts w:eastAsiaTheme="minorEastAsia" w:cs="Calibri"/>
                <w:b/>
                <w:bCs/>
                <w:color w:val="000000"/>
                <w:szCs w:val="16"/>
                <w:lang w:eastAsia="en-AU"/>
              </w:rPr>
              <w:t>64 783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6"/>
                <w:lang w:eastAsia="en-AU"/>
              </w:rPr>
            </w:pPr>
            <w:r w:rsidRPr="008D5734">
              <w:rPr>
                <w:rFonts w:eastAsiaTheme="minorEastAsia" w:cs="Calibri"/>
                <w:b/>
                <w:bCs/>
                <w:color w:val="000000"/>
                <w:szCs w:val="16"/>
                <w:lang w:eastAsia="en-AU"/>
              </w:rPr>
              <w:t>2019-20 estimate</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Balance at 1 July 2019</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56 577</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64 783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Net result for the year</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1 473</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Other comprehensive income for the year</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1 063</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6 859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6"/>
                <w:lang w:eastAsia="en-AU"/>
              </w:rPr>
            </w:pPr>
            <w:r w:rsidRPr="008D5734">
              <w:rPr>
                <w:rFonts w:eastAsiaTheme="minorEastAsia" w:cs="Calibri"/>
                <w:b/>
                <w:bCs/>
                <w:color w:val="000000"/>
                <w:szCs w:val="16"/>
                <w:lang w:eastAsia="en-AU"/>
              </w:rPr>
              <w:t>Total equity as at 30 June 2020</w:t>
            </w:r>
          </w:p>
        </w:tc>
        <w:tc>
          <w:tcPr>
            <w:tcW w:w="157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D5734">
              <w:rPr>
                <w:rFonts w:eastAsiaTheme="minorEastAsia" w:cs="Calibri"/>
                <w:b/>
                <w:bCs/>
                <w:color w:val="000000"/>
                <w:szCs w:val="16"/>
                <w:lang w:eastAsia="en-AU"/>
              </w:rPr>
              <w:t>59 114</w:t>
            </w:r>
          </w:p>
        </w:tc>
        <w:tc>
          <w:tcPr>
            <w:tcW w:w="1888"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D5734">
              <w:rPr>
                <w:rFonts w:eastAsiaTheme="minorEastAsia" w:cs="Calibri"/>
                <w:b/>
                <w:bCs/>
                <w:color w:val="000000"/>
                <w:szCs w:val="16"/>
                <w:lang w:eastAsia="en-AU"/>
              </w:rPr>
              <w:t>71 642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6"/>
                <w:lang w:eastAsia="en-AU"/>
              </w:rPr>
            </w:pPr>
            <w:r w:rsidRPr="008D5734">
              <w:rPr>
                <w:rFonts w:eastAsiaTheme="minorEastAsia" w:cs="Calibri"/>
                <w:b/>
                <w:bCs/>
                <w:color w:val="000000"/>
                <w:szCs w:val="16"/>
                <w:lang w:eastAsia="en-AU"/>
              </w:rPr>
              <w:t>2020-21 estimate</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Balance at 1 July 2020</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59 114</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71 642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Net result for the year</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2 412</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Other comprehensive income for the year</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1 076</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1 441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6"/>
                <w:lang w:eastAsia="en-AU"/>
              </w:rPr>
            </w:pPr>
            <w:r w:rsidRPr="008D5734">
              <w:rPr>
                <w:rFonts w:eastAsiaTheme="minorEastAsia" w:cs="Calibri"/>
                <w:b/>
                <w:bCs/>
                <w:color w:val="000000"/>
                <w:szCs w:val="16"/>
                <w:lang w:eastAsia="en-AU"/>
              </w:rPr>
              <w:t>Total equity as at 30 June 2021</w:t>
            </w:r>
          </w:p>
        </w:tc>
        <w:tc>
          <w:tcPr>
            <w:tcW w:w="157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D5734">
              <w:rPr>
                <w:rFonts w:eastAsiaTheme="minorEastAsia" w:cs="Calibri"/>
                <w:b/>
                <w:bCs/>
                <w:color w:val="000000"/>
                <w:szCs w:val="16"/>
                <w:lang w:eastAsia="en-AU"/>
              </w:rPr>
              <w:t>62 601</w:t>
            </w:r>
          </w:p>
        </w:tc>
        <w:tc>
          <w:tcPr>
            <w:tcW w:w="1888"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D5734">
              <w:rPr>
                <w:rFonts w:eastAsiaTheme="minorEastAsia" w:cs="Calibri"/>
                <w:b/>
                <w:bCs/>
                <w:color w:val="000000"/>
                <w:szCs w:val="16"/>
                <w:lang w:eastAsia="en-AU"/>
              </w:rPr>
              <w:t>73 083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6"/>
                <w:lang w:eastAsia="en-AU"/>
              </w:rPr>
            </w:pPr>
            <w:r w:rsidRPr="008D5734">
              <w:rPr>
                <w:rFonts w:eastAsiaTheme="minorEastAsia" w:cs="Calibri"/>
                <w:b/>
                <w:bCs/>
                <w:color w:val="000000"/>
                <w:szCs w:val="16"/>
                <w:lang w:eastAsia="en-AU"/>
              </w:rPr>
              <w:t>2021-22 estimate</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Balance at 1 July 2021</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62 601</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73 083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Net result for the year</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2 700</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4252"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Other comprehensive income for the year</w:t>
            </w:r>
          </w:p>
        </w:tc>
        <w:tc>
          <w:tcPr>
            <w:tcW w:w="157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1 119</w:t>
            </w:r>
          </w:p>
        </w:tc>
        <w:tc>
          <w:tcPr>
            <w:tcW w:w="188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3 797</w:t>
            </w:r>
          </w:p>
        </w:tc>
      </w:tr>
      <w:tr w:rsidR="004B6846" w:rsidRPr="008D573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rPr>
                <w:rFonts w:eastAsiaTheme="minorEastAsia" w:cs="Calibri"/>
                <w:bCs/>
                <w:color w:val="000000"/>
                <w:szCs w:val="16"/>
                <w:lang w:eastAsia="en-AU"/>
              </w:rPr>
            </w:pPr>
            <w:r w:rsidRPr="008D5734">
              <w:rPr>
                <w:rFonts w:eastAsiaTheme="minorEastAsia" w:cs="Calibri"/>
                <w:bCs/>
                <w:color w:val="000000"/>
                <w:szCs w:val="16"/>
                <w:lang w:eastAsia="en-AU"/>
              </w:rPr>
              <w:t>Total equity as at 30 June 2022</w:t>
            </w:r>
          </w:p>
        </w:tc>
        <w:tc>
          <w:tcPr>
            <w:tcW w:w="157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8D5734">
              <w:rPr>
                <w:rFonts w:eastAsiaTheme="minorEastAsia" w:cs="Calibri"/>
                <w:bCs/>
                <w:color w:val="000000"/>
                <w:szCs w:val="16"/>
                <w:lang w:eastAsia="en-AU"/>
              </w:rPr>
              <w:t>66 421</w:t>
            </w:r>
          </w:p>
        </w:tc>
        <w:tc>
          <w:tcPr>
            <w:tcW w:w="1888"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8D5734">
              <w:rPr>
                <w:rFonts w:eastAsiaTheme="minorEastAsia" w:cs="Calibri"/>
                <w:bCs/>
                <w:color w:val="000000"/>
                <w:szCs w:val="16"/>
                <w:lang w:eastAsia="en-AU"/>
              </w:rPr>
              <w:t>76 880</w:t>
            </w:r>
          </w:p>
        </w:tc>
      </w:tr>
    </w:tbl>
    <w:p w:rsidR="004B6846" w:rsidRDefault="004B6846" w:rsidP="00CC0EB7">
      <w:pPr>
        <w:pStyle w:val="Source"/>
      </w:pPr>
      <w:r w:rsidRPr="00D87D22">
        <w:t>Source: Dep</w:t>
      </w:r>
      <w:r>
        <w:t>artment of Treasury and Finance</w:t>
      </w:r>
      <w:r w:rsidRPr="009D4AF9">
        <w:t xml:space="preserve"> </w:t>
      </w:r>
    </w:p>
    <w:p w:rsidR="004B6846" w:rsidRDefault="004B6846" w:rsidP="00CC0EB7">
      <w:pPr>
        <w:pStyle w:val="Source"/>
      </w:pPr>
      <w:r>
        <w:t>The accompanying notes form part of these Estimated Financial Statements.</w:t>
      </w:r>
    </w:p>
    <w:p w:rsidR="004B6846" w:rsidRDefault="004B6846" w:rsidP="00CC0EB7">
      <w:pPr>
        <w:pStyle w:val="Note"/>
      </w:pPr>
      <w:r>
        <w:t>Note:</w:t>
      </w:r>
    </w:p>
    <w:p w:rsidR="004B6846" w:rsidRDefault="004B6846" w:rsidP="00CC0EB7">
      <w:pPr>
        <w:pStyle w:val="Note"/>
      </w:pPr>
      <w:r w:rsidRPr="00926603">
        <w:t>(a)</w:t>
      </w:r>
      <w:r w:rsidRPr="00926603">
        <w:tab/>
        <w:t>Balances represent actual</w:t>
      </w:r>
      <w:r>
        <w:t xml:space="preserve"> opening balances at 1 July 2018 plus 2018-19</w:t>
      </w:r>
      <w:r w:rsidRPr="00926603">
        <w:t xml:space="preserve"> budgeted movements.</w:t>
      </w:r>
    </w:p>
    <w:p w:rsidR="004B6846" w:rsidRDefault="004B6846">
      <w:pPr>
        <w:keepLines w:val="0"/>
      </w:pPr>
      <w:r>
        <w:br w:type="page"/>
      </w:r>
    </w:p>
    <w:p w:rsidR="004B6846" w:rsidRDefault="004B6846" w:rsidP="00CC0EB7">
      <w:pPr>
        <w:pStyle w:val="Heading10"/>
      </w:pPr>
      <w:r>
        <w:lastRenderedPageBreak/>
        <w:br/>
      </w:r>
    </w:p>
    <w:p w:rsidR="004B6846" w:rsidRPr="008D5734" w:rsidRDefault="004B6846" w:rsidP="00CC0EB7">
      <w:pPr>
        <w:pStyle w:val="TableHeading"/>
        <w:rPr>
          <w:bCs/>
          <w:lang w:val="en-US"/>
        </w:rPr>
      </w:pP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591"/>
        <w:gridCol w:w="2591"/>
        <w:gridCol w:w="2591"/>
      </w:tblGrid>
      <w:tr w:rsidR="004B6846" w:rsidRPr="008D5734"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shd w:val="solid" w:color="000000" w:fill="auto"/>
          </w:tcPr>
          <w:p w:rsidR="004B6846" w:rsidRPr="008D5734" w:rsidRDefault="004B6846" w:rsidP="00CC0EB7">
            <w:pPr>
              <w:keepLines w:val="0"/>
              <w:autoSpaceDE w:val="0"/>
              <w:autoSpaceDN w:val="0"/>
              <w:adjustRightInd w:val="0"/>
              <w:jc w:val="right"/>
              <w:rPr>
                <w:rFonts w:eastAsiaTheme="minorEastAsia" w:cs="Calibri"/>
                <w:iCs/>
                <w:color w:val="FFFFFF"/>
                <w:szCs w:val="16"/>
                <w:lang w:eastAsia="en-AU"/>
              </w:rPr>
            </w:pPr>
            <w:r w:rsidRPr="008D5734">
              <w:rPr>
                <w:rFonts w:eastAsiaTheme="minorEastAsia" w:cs="Calibri"/>
                <w:iCs/>
                <w:color w:val="FFFFFF"/>
                <w:szCs w:val="16"/>
                <w:lang w:eastAsia="en-AU"/>
              </w:rPr>
              <w:t xml:space="preserve">Investment in other sector </w:t>
            </w:r>
            <w:r>
              <w:rPr>
                <w:rFonts w:eastAsiaTheme="minorEastAsia" w:cs="Calibri"/>
                <w:iCs/>
                <w:color w:val="FFFFFF"/>
                <w:szCs w:val="16"/>
                <w:lang w:eastAsia="en-AU"/>
              </w:rPr>
              <w:br/>
            </w:r>
            <w:r w:rsidRPr="008D5734">
              <w:rPr>
                <w:rFonts w:eastAsiaTheme="minorEastAsia" w:cs="Calibri"/>
                <w:iCs/>
                <w:color w:val="FFFFFF"/>
                <w:szCs w:val="16"/>
                <w:lang w:eastAsia="en-AU"/>
              </w:rPr>
              <w:t>entities revaluation surplus</w:t>
            </w:r>
          </w:p>
        </w:tc>
        <w:tc>
          <w:tcPr>
            <w:tcW w:w="2591" w:type="dxa"/>
            <w:tcBorders>
              <w:top w:val="nil"/>
              <w:left w:val="nil"/>
              <w:bottom w:val="nil"/>
              <w:right w:val="nil"/>
            </w:tcBorders>
            <w:shd w:val="solid" w:color="000000" w:fill="auto"/>
          </w:tcPr>
          <w:p w:rsidR="004B6846" w:rsidRPr="008D573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8D5734">
              <w:rPr>
                <w:rFonts w:eastAsiaTheme="minorEastAsia" w:cs="Calibri"/>
                <w:iCs/>
                <w:color w:val="FFFFFF"/>
                <w:szCs w:val="16"/>
                <w:lang w:eastAsia="en-AU"/>
              </w:rPr>
              <w:t>Other reserves</w:t>
            </w:r>
          </w:p>
        </w:tc>
        <w:tc>
          <w:tcPr>
            <w:tcW w:w="2591" w:type="dxa"/>
            <w:tcBorders>
              <w:top w:val="nil"/>
              <w:left w:val="nil"/>
              <w:bottom w:val="nil"/>
              <w:right w:val="nil"/>
            </w:tcBorders>
            <w:shd w:val="solid" w:color="000000" w:fill="auto"/>
          </w:tcPr>
          <w:p w:rsidR="004B6846" w:rsidRPr="008D573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8D5734">
              <w:rPr>
                <w:rFonts w:eastAsiaTheme="minorEastAsia" w:cs="Calibri"/>
                <w:iCs/>
                <w:color w:val="FFFFFF"/>
                <w:szCs w:val="16"/>
                <w:lang w:eastAsia="en-AU"/>
              </w:rPr>
              <w:t>Total</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color w:val="000000"/>
                <w:szCs w:val="16"/>
                <w:lang w:eastAsia="en-AU"/>
              </w:rPr>
            </w:pPr>
            <w:r w:rsidRPr="008D5734">
              <w:rPr>
                <w:rFonts w:eastAsiaTheme="minorEastAsia" w:cs="Calibri"/>
                <w:color w:val="000000"/>
                <w:szCs w:val="16"/>
                <w:lang w:eastAsia="en-AU"/>
              </w:rPr>
              <w:t>66 351</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1 108</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184 116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1 137</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34</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(12)</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1 741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jc w:val="right"/>
              <w:rPr>
                <w:rFonts w:eastAsiaTheme="minorEastAsia" w:cs="Calibri"/>
                <w:b/>
                <w:bCs/>
                <w:color w:val="000000"/>
                <w:szCs w:val="16"/>
                <w:lang w:eastAsia="en-AU"/>
              </w:rPr>
            </w:pPr>
            <w:r w:rsidRPr="008D5734">
              <w:rPr>
                <w:rFonts w:eastAsiaTheme="minorEastAsia" w:cs="Calibri"/>
                <w:b/>
                <w:bCs/>
                <w:color w:val="000000"/>
                <w:szCs w:val="16"/>
                <w:lang w:eastAsia="en-AU"/>
              </w:rPr>
              <w:t>66 385</w:t>
            </w:r>
          </w:p>
        </w:tc>
        <w:tc>
          <w:tcPr>
            <w:tcW w:w="2591"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D5734">
              <w:rPr>
                <w:rFonts w:eastAsiaTheme="minorEastAsia" w:cs="Calibri"/>
                <w:b/>
                <w:bCs/>
                <w:color w:val="000000"/>
                <w:szCs w:val="16"/>
                <w:lang w:eastAsia="en-AU"/>
              </w:rPr>
              <w:t>1 096</w:t>
            </w:r>
          </w:p>
        </w:tc>
        <w:tc>
          <w:tcPr>
            <w:tcW w:w="2591"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D5734">
              <w:rPr>
                <w:rFonts w:eastAsiaTheme="minorEastAsia" w:cs="Calibri"/>
                <w:b/>
                <w:bCs/>
                <w:color w:val="000000"/>
                <w:szCs w:val="16"/>
                <w:lang w:eastAsia="en-AU"/>
              </w:rPr>
              <w:t>186 995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color w:val="000000"/>
                <w:szCs w:val="16"/>
                <w:lang w:eastAsia="en-AU"/>
              </w:rPr>
            </w:pPr>
            <w:r w:rsidRPr="008D5734">
              <w:rPr>
                <w:rFonts w:eastAsiaTheme="minorEastAsia" w:cs="Calibri"/>
                <w:color w:val="000000"/>
                <w:szCs w:val="16"/>
                <w:lang w:eastAsia="en-AU"/>
              </w:rPr>
              <w:t>66 351</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1 108</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184 116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2 008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color w:val="000000"/>
                <w:szCs w:val="16"/>
                <w:lang w:eastAsia="en-AU"/>
              </w:rPr>
            </w:pPr>
            <w:r w:rsidRPr="008D5734">
              <w:rPr>
                <w:rFonts w:eastAsiaTheme="minorEastAsia" w:cs="Calibri"/>
                <w:color w:val="000000"/>
                <w:szCs w:val="16"/>
                <w:lang w:eastAsia="en-AU"/>
              </w:rPr>
              <w:t>2 021</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(12)</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4 705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jc w:val="right"/>
              <w:rPr>
                <w:rFonts w:eastAsiaTheme="minorEastAsia" w:cs="Calibri"/>
                <w:b/>
                <w:bCs/>
                <w:color w:val="000000"/>
                <w:szCs w:val="16"/>
                <w:lang w:eastAsia="en-AU"/>
              </w:rPr>
            </w:pPr>
            <w:r w:rsidRPr="008D5734">
              <w:rPr>
                <w:rFonts w:eastAsiaTheme="minorEastAsia" w:cs="Calibri"/>
                <w:b/>
                <w:bCs/>
                <w:color w:val="000000"/>
                <w:szCs w:val="16"/>
                <w:lang w:eastAsia="en-AU"/>
              </w:rPr>
              <w:t>68 372</w:t>
            </w:r>
          </w:p>
        </w:tc>
        <w:tc>
          <w:tcPr>
            <w:tcW w:w="2591"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D5734">
              <w:rPr>
                <w:rFonts w:eastAsiaTheme="minorEastAsia" w:cs="Calibri"/>
                <w:b/>
                <w:bCs/>
                <w:color w:val="000000"/>
                <w:szCs w:val="16"/>
                <w:lang w:eastAsia="en-AU"/>
              </w:rPr>
              <w:t>1 096</w:t>
            </w:r>
          </w:p>
        </w:tc>
        <w:tc>
          <w:tcPr>
            <w:tcW w:w="2591"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D5734">
              <w:rPr>
                <w:rFonts w:eastAsiaTheme="minorEastAsia" w:cs="Calibri"/>
                <w:b/>
                <w:bCs/>
                <w:color w:val="000000"/>
                <w:szCs w:val="16"/>
                <w:lang w:eastAsia="en-AU"/>
              </w:rPr>
              <w:t>190 829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color w:val="000000"/>
                <w:szCs w:val="16"/>
                <w:lang w:eastAsia="en-AU"/>
              </w:rPr>
            </w:pPr>
            <w:r w:rsidRPr="008D5734">
              <w:rPr>
                <w:rFonts w:eastAsiaTheme="minorEastAsia" w:cs="Calibri"/>
                <w:color w:val="000000"/>
                <w:szCs w:val="16"/>
                <w:lang w:eastAsia="en-AU"/>
              </w:rPr>
              <w:t>68 372</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1 096</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190 829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1 473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color w:val="000000"/>
                <w:szCs w:val="16"/>
                <w:lang w:eastAsia="en-AU"/>
              </w:rPr>
            </w:pPr>
            <w:r w:rsidRPr="008D5734">
              <w:rPr>
                <w:rFonts w:eastAsiaTheme="minorEastAsia" w:cs="Calibri"/>
                <w:color w:val="000000"/>
                <w:szCs w:val="16"/>
                <w:lang w:eastAsia="en-AU"/>
              </w:rPr>
              <w:t>1 152</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9 074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jc w:val="right"/>
              <w:rPr>
                <w:rFonts w:eastAsiaTheme="minorEastAsia" w:cs="Calibri"/>
                <w:b/>
                <w:bCs/>
                <w:color w:val="000000"/>
                <w:szCs w:val="16"/>
                <w:lang w:eastAsia="en-AU"/>
              </w:rPr>
            </w:pPr>
            <w:r w:rsidRPr="008D5734">
              <w:rPr>
                <w:rFonts w:eastAsiaTheme="minorEastAsia" w:cs="Calibri"/>
                <w:b/>
                <w:bCs/>
                <w:color w:val="000000"/>
                <w:szCs w:val="16"/>
                <w:lang w:eastAsia="en-AU"/>
              </w:rPr>
              <w:t>69 524</w:t>
            </w:r>
          </w:p>
        </w:tc>
        <w:tc>
          <w:tcPr>
            <w:tcW w:w="2591"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D5734">
              <w:rPr>
                <w:rFonts w:eastAsiaTheme="minorEastAsia" w:cs="Calibri"/>
                <w:b/>
                <w:bCs/>
                <w:color w:val="000000"/>
                <w:szCs w:val="16"/>
                <w:lang w:eastAsia="en-AU"/>
              </w:rPr>
              <w:t>1 096</w:t>
            </w:r>
          </w:p>
        </w:tc>
        <w:tc>
          <w:tcPr>
            <w:tcW w:w="2591"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D5734">
              <w:rPr>
                <w:rFonts w:eastAsiaTheme="minorEastAsia" w:cs="Calibri"/>
                <w:b/>
                <w:bCs/>
                <w:color w:val="000000"/>
                <w:szCs w:val="16"/>
                <w:lang w:eastAsia="en-AU"/>
              </w:rPr>
              <w:t>201 376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color w:val="000000"/>
                <w:szCs w:val="16"/>
                <w:lang w:eastAsia="en-AU"/>
              </w:rPr>
            </w:pPr>
            <w:r w:rsidRPr="008D5734">
              <w:rPr>
                <w:rFonts w:eastAsiaTheme="minorEastAsia" w:cs="Calibri"/>
                <w:color w:val="000000"/>
                <w:szCs w:val="16"/>
                <w:lang w:eastAsia="en-AU"/>
              </w:rPr>
              <w:t>69 524</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1 096</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201 376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2 412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535</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3 051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jc w:val="right"/>
              <w:rPr>
                <w:rFonts w:eastAsiaTheme="minorEastAsia" w:cs="Calibri"/>
                <w:b/>
                <w:bCs/>
                <w:color w:val="000000"/>
                <w:szCs w:val="16"/>
                <w:lang w:eastAsia="en-AU"/>
              </w:rPr>
            </w:pPr>
            <w:r w:rsidRPr="008D5734">
              <w:rPr>
                <w:rFonts w:eastAsiaTheme="minorEastAsia" w:cs="Calibri"/>
                <w:b/>
                <w:bCs/>
                <w:color w:val="000000"/>
                <w:szCs w:val="16"/>
                <w:lang w:eastAsia="en-AU"/>
              </w:rPr>
              <w:t>70 058</w:t>
            </w:r>
          </w:p>
        </w:tc>
        <w:tc>
          <w:tcPr>
            <w:tcW w:w="2591"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D5734">
              <w:rPr>
                <w:rFonts w:eastAsiaTheme="minorEastAsia" w:cs="Calibri"/>
                <w:b/>
                <w:bCs/>
                <w:color w:val="000000"/>
                <w:szCs w:val="16"/>
                <w:lang w:eastAsia="en-AU"/>
              </w:rPr>
              <w:t>1 096</w:t>
            </w:r>
          </w:p>
        </w:tc>
        <w:tc>
          <w:tcPr>
            <w:tcW w:w="2591"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8D5734">
              <w:rPr>
                <w:rFonts w:eastAsiaTheme="minorEastAsia" w:cs="Calibri"/>
                <w:b/>
                <w:bCs/>
                <w:color w:val="000000"/>
                <w:szCs w:val="16"/>
                <w:lang w:eastAsia="en-AU"/>
              </w:rPr>
              <w:t>206 839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color w:val="000000"/>
                <w:szCs w:val="16"/>
                <w:lang w:eastAsia="en-AU"/>
              </w:rPr>
            </w:pPr>
            <w:r w:rsidRPr="008D5734">
              <w:rPr>
                <w:rFonts w:eastAsiaTheme="minorEastAsia" w:cs="Calibri"/>
                <w:color w:val="000000"/>
                <w:szCs w:val="16"/>
                <w:lang w:eastAsia="en-AU"/>
              </w:rPr>
              <w:t>70 058</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1 096</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206 839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color w:val="000000"/>
                <w:szCs w:val="16"/>
                <w:lang w:eastAsia="en-AU"/>
              </w:rPr>
            </w:pPr>
            <w:r w:rsidRPr="008D5734">
              <w:rPr>
                <w:rFonts w:eastAsiaTheme="minorEastAsia" w:cs="Calibri"/>
                <w:color w:val="000000"/>
                <w:szCs w:val="16"/>
                <w:lang w:eastAsia="en-AU"/>
              </w:rPr>
              <w:t>..</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2 700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8D5734" w:rsidRDefault="004B6846" w:rsidP="00CC0EB7">
            <w:pPr>
              <w:keepLines w:val="0"/>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(524)</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c>
          <w:tcPr>
            <w:tcW w:w="259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4 394</w:t>
            </w:r>
          </w:p>
        </w:tc>
      </w:tr>
      <w:tr w:rsidR="004B6846" w:rsidRPr="008D573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jc w:val="right"/>
              <w:rPr>
                <w:rFonts w:eastAsiaTheme="minorEastAsia" w:cs="Calibri"/>
                <w:bCs/>
                <w:color w:val="000000"/>
                <w:szCs w:val="16"/>
                <w:lang w:eastAsia="en-AU"/>
              </w:rPr>
            </w:pPr>
            <w:r w:rsidRPr="008D5734">
              <w:rPr>
                <w:rFonts w:eastAsiaTheme="minorEastAsia" w:cs="Calibri"/>
                <w:bCs/>
                <w:color w:val="000000"/>
                <w:szCs w:val="16"/>
                <w:lang w:eastAsia="en-AU"/>
              </w:rPr>
              <w:t>69 534</w:t>
            </w:r>
          </w:p>
        </w:tc>
        <w:tc>
          <w:tcPr>
            <w:tcW w:w="2591"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8D5734">
              <w:rPr>
                <w:rFonts w:eastAsiaTheme="minorEastAsia" w:cs="Calibri"/>
                <w:bCs/>
                <w:color w:val="000000"/>
                <w:szCs w:val="16"/>
                <w:lang w:eastAsia="en-AU"/>
              </w:rPr>
              <w:t>1 098</w:t>
            </w:r>
          </w:p>
        </w:tc>
        <w:tc>
          <w:tcPr>
            <w:tcW w:w="2591"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8D5734">
              <w:rPr>
                <w:rFonts w:eastAsiaTheme="minorEastAsia" w:cs="Calibri"/>
                <w:bCs/>
                <w:color w:val="000000"/>
                <w:szCs w:val="16"/>
                <w:lang w:eastAsia="en-AU"/>
              </w:rPr>
              <w:t>213 933</w:t>
            </w:r>
          </w:p>
        </w:tc>
      </w:tr>
    </w:tbl>
    <w:p w:rsidR="004B6846" w:rsidRDefault="004B6846" w:rsidP="00CC0EB7">
      <w:r>
        <w:br w:type="page"/>
      </w:r>
    </w:p>
    <w:p w:rsidR="004B6846" w:rsidRPr="000324EE" w:rsidRDefault="004B6846" w:rsidP="004B6846">
      <w:pPr>
        <w:pStyle w:val="Heading2"/>
        <w:numPr>
          <w:ilvl w:val="1"/>
          <w:numId w:val="19"/>
        </w:numPr>
      </w:pPr>
      <w:r w:rsidRPr="000324EE">
        <w:lastRenderedPageBreak/>
        <w:t>ABOUT THIS REPORT</w:t>
      </w:r>
    </w:p>
    <w:p w:rsidR="004B6846" w:rsidRPr="000324EE" w:rsidRDefault="004B6846" w:rsidP="00CC0EB7">
      <w:pPr>
        <w:pStyle w:val="Heading20"/>
      </w:pPr>
      <w:r w:rsidRPr="000324EE">
        <w:t>Basis of preparation</w:t>
      </w:r>
    </w:p>
    <w:p w:rsidR="004B6846" w:rsidRDefault="004B6846" w:rsidP="00CC0EB7">
      <w:r>
        <w:t>This note summarises the basis applied in preparing and presenting these Estimated Financial Statements, which includes the budget year and the estimates for the three subsequent years</w:t>
      </w:r>
      <w:r w:rsidRPr="0060066D">
        <w:t>.</w:t>
      </w:r>
      <w:r>
        <w:t xml:space="preserve"> </w:t>
      </w:r>
    </w:p>
    <w:p w:rsidR="004B6846" w:rsidRDefault="004B6846" w:rsidP="00CC0EB7">
      <w:pPr>
        <w:rPr>
          <w:i/>
        </w:rPr>
      </w:pPr>
      <w:r>
        <w:t xml:space="preserve">Unless otherwise stated, the detailed accounting policies applied in preparing the Estimated Financial Statements are consistent with those in the audited 2017-18 annual financial report published in the </w:t>
      </w:r>
      <w:r>
        <w:rPr>
          <w:i/>
        </w:rPr>
        <w:t>2017-18</w:t>
      </w:r>
      <w:r w:rsidRPr="005D4F59">
        <w:rPr>
          <w:i/>
        </w:rPr>
        <w:t xml:space="preserve"> Financial Report</w:t>
      </w:r>
      <w:r>
        <w:t xml:space="preserve"> for the State of Victoria as presented to Parliament. </w:t>
      </w:r>
    </w:p>
    <w:p w:rsidR="004B6846" w:rsidRDefault="004B6846" w:rsidP="00CC0EB7">
      <w:r>
        <w:t xml:space="preserve">The audited 30 June 2018 asset and liability balances, as reported in the </w:t>
      </w:r>
      <w:r>
        <w:rPr>
          <w:i/>
        </w:rPr>
        <w:t>2017-18</w:t>
      </w:r>
      <w:r w:rsidRPr="005D4F59">
        <w:rPr>
          <w:i/>
        </w:rPr>
        <w:t xml:space="preserve"> Financial Report</w:t>
      </w:r>
      <w:r>
        <w:t>, form the basis on which asset and liability balances are projected over the next four years.</w:t>
      </w:r>
    </w:p>
    <w:p w:rsidR="004B6846" w:rsidRDefault="004B6846" w:rsidP="00CC0EB7">
      <w:r>
        <w:t>The Estimated Financial Statements for the 2018-19 budget year have been prepared in accordance with accounting policies expected to be used in preparing historically oriented general purpose financial statements for that year, and the same accounting policies have been used for the subsequent three years.</w:t>
      </w:r>
    </w:p>
    <w:p w:rsidR="004B6846" w:rsidRDefault="004B6846" w:rsidP="00CC0EB7">
      <w:r>
        <w:t>The accrual basis of accounting has been applied in preparing the Estimated Financial Statements whereby assets, liabilities, equity, income and expenses are recognised in the reporting period to which they relate, regardless of when cash is received or paid.</w:t>
      </w:r>
    </w:p>
    <w:p w:rsidR="004B6846" w:rsidRDefault="004B6846" w:rsidP="00CC0EB7">
      <w:r>
        <w:t xml:space="preserve">The Estimated Financial Statements are presented in Australian dollars, which is also the functional currency of the Victorian general government sector. </w:t>
      </w:r>
    </w:p>
    <w:p w:rsidR="004B6846" w:rsidRDefault="004B6846" w:rsidP="00CC0EB7">
      <w:r>
        <w:t>The Estimated Financial Statements have been prepared in accordance with the historical cost convention. Historical cost is based on the fair value of the consideration given in exchange for assets. Exceptions to the historical cost convention include:</w:t>
      </w:r>
    </w:p>
    <w:p w:rsidR="004B6846" w:rsidRPr="000324EE" w:rsidRDefault="004B6846" w:rsidP="00393CA4">
      <w:pPr>
        <w:pStyle w:val="ListBullet"/>
      </w:pPr>
      <w:r w:rsidRPr="000324EE">
        <w:t>general government sector investments in other sector entities, which are measured at net asset value;</w:t>
      </w:r>
    </w:p>
    <w:p w:rsidR="004B6846" w:rsidRPr="000324EE" w:rsidRDefault="004B6846" w:rsidP="00393CA4">
      <w:pPr>
        <w:pStyle w:val="ListBullet"/>
      </w:pPr>
      <w:r w:rsidRPr="000324EE">
        <w:t xml:space="preserve">non-financial physical assets which, subsequent to acquisition, are measured at a revalued amount being their fair value at the date of revaluation less any subsequent accumulated depreciation and subsequent impairment losses. Revaluations are made with sufficient regularity to ensure the carrying amounts do not materially differ from their fair value; </w:t>
      </w:r>
    </w:p>
    <w:p w:rsidR="004B6846" w:rsidRPr="000324EE" w:rsidRDefault="004B6846" w:rsidP="00393CA4">
      <w:pPr>
        <w:pStyle w:val="ListBullet"/>
      </w:pPr>
      <w:r w:rsidRPr="000324EE">
        <w:t>productive trees in commercial native forests, which are measured at their fair value less costs to sell;</w:t>
      </w:r>
    </w:p>
    <w:p w:rsidR="004B6846" w:rsidRPr="000324EE" w:rsidRDefault="004B6846" w:rsidP="00393CA4">
      <w:pPr>
        <w:pStyle w:val="ListBullet"/>
      </w:pPr>
      <w:r w:rsidRPr="000324EE">
        <w:t>financial assets and liabilities measured at fair value through the profit or loss;</w:t>
      </w:r>
    </w:p>
    <w:p w:rsidR="004B6846" w:rsidRPr="000324EE" w:rsidRDefault="004B6846" w:rsidP="00393CA4">
      <w:pPr>
        <w:pStyle w:val="ListBullet"/>
      </w:pPr>
      <w:r w:rsidRPr="000324EE">
        <w:t xml:space="preserve">derivative financial instruments, managed investment schemes, certain debt securities and investment properties after initial recognition, which are measured at fair value with changes reflected in the estimated comprehensive operating statement (fair value through profit or loss); </w:t>
      </w:r>
    </w:p>
    <w:p w:rsidR="004B6846" w:rsidRDefault="004B6846">
      <w:pPr>
        <w:keepLines w:val="0"/>
      </w:pPr>
      <w:r>
        <w:br w:type="page"/>
      </w:r>
    </w:p>
    <w:p w:rsidR="004B6846" w:rsidRPr="000324EE" w:rsidRDefault="004B6846" w:rsidP="00393CA4">
      <w:pPr>
        <w:pStyle w:val="ListBullet"/>
      </w:pPr>
      <w:r w:rsidRPr="000324EE">
        <w:lastRenderedPageBreak/>
        <w:t>certain liabilities, most notably unfunded superannuation and insurance claim provisions, which are subject to an actuarial assessment; and</w:t>
      </w:r>
    </w:p>
    <w:p w:rsidR="004B6846" w:rsidRPr="000324EE" w:rsidRDefault="004B6846" w:rsidP="00393CA4">
      <w:pPr>
        <w:pStyle w:val="ListBullet"/>
      </w:pPr>
      <w:r w:rsidRPr="000324EE">
        <w:t>financial assets measured at fair value through other comprehensive income, which are measured at fair value with movements reflected in ‘Other economic flows – other comprehensive income’.</w:t>
      </w:r>
    </w:p>
    <w:p w:rsidR="004B6846" w:rsidRDefault="004B6846" w:rsidP="00CC0EB7">
      <w:pPr>
        <w:ind w:right="198"/>
      </w:pPr>
      <w:r>
        <w:t xml:space="preserve">Judgements, estimates and assumptions are required to be made about the carrying values of assets and liabilities that are not readily apparent from other sources. The estimates and associated assumptions are based on professional judgements derived from historical experience and various other factors that are believed to be reasonable under the circumstances. Given the prospective nature of the Estimated Financial Statements, actual results are likely to differ from these estimates. Revisions to accounting estimates are recognised in the period in which the estimate is revised and also in future periods that are affected. </w:t>
      </w:r>
    </w:p>
    <w:p w:rsidR="004B6846" w:rsidRDefault="004B6846" w:rsidP="00CC0EB7">
      <w:r>
        <w:t xml:space="preserve">For assets and liabilities measured at fair value in the estimated balance sheet, the principles under AASB 13 </w:t>
      </w:r>
      <w:r w:rsidRPr="00CD5C7E">
        <w:rPr>
          <w:i/>
        </w:rPr>
        <w:t>Fair Value Measurement</w:t>
      </w:r>
      <w:r>
        <w:t xml:space="preserve"> have been applied. </w:t>
      </w:r>
    </w:p>
    <w:p w:rsidR="004B6846" w:rsidRDefault="004B6846" w:rsidP="00CC0EB7">
      <w:r>
        <w:t xml:space="preserve">As required by AASB 1049 </w:t>
      </w:r>
      <w:r>
        <w:rPr>
          <w:i/>
        </w:rPr>
        <w:t xml:space="preserve">Whole of Government and General Government Sector Financial Reporting </w:t>
      </w:r>
      <w:r>
        <w:t>(AASB </w:t>
      </w:r>
      <w:r w:rsidRPr="00DA0F77">
        <w:t>1049)</w:t>
      </w:r>
      <w:r>
        <w:t xml:space="preserve">, the estimated comprehensive operating statement distinguishes between ‘Transactions’ and ‘Other economic flows’ based on the principles in the Government Finance Statistics (GFS) Manual. ‘Transactions’ are those economic flows that are considered to arise as a result of policy decisions, usually interactions between two entities by mutual agreement, and also flows within an entity, such as depreciation where the owner is simultaneously acting as the owner of the depreciating asset and as the consumer of the service provided by the asset. Taxation is regarded as mutually agreed interactions between the government and the taxpayer. Transactions may be cash or settled in kind (e.g. assets provided/given free of charge or for nominal consideration). </w:t>
      </w:r>
    </w:p>
    <w:p w:rsidR="004B6846" w:rsidRDefault="004B6846" w:rsidP="00CC0EB7">
      <w:r>
        <w:t>‘Other economic flows’ are changes arising from market remeasurements. They include:</w:t>
      </w:r>
    </w:p>
    <w:p w:rsidR="004B6846" w:rsidRPr="000324EE" w:rsidRDefault="004B6846" w:rsidP="00393CA4">
      <w:pPr>
        <w:pStyle w:val="ListBullet"/>
      </w:pPr>
      <w:r w:rsidRPr="000324EE">
        <w:t>gains and losses from disposals;</w:t>
      </w:r>
    </w:p>
    <w:p w:rsidR="004B6846" w:rsidRPr="000324EE" w:rsidRDefault="004B6846" w:rsidP="00393CA4">
      <w:pPr>
        <w:pStyle w:val="ListBullet"/>
      </w:pPr>
      <w:r w:rsidRPr="000324EE">
        <w:t>revaluations and impairments of non-financial physical and intangible assets;</w:t>
      </w:r>
    </w:p>
    <w:p w:rsidR="004B6846" w:rsidRPr="000324EE" w:rsidRDefault="004B6846" w:rsidP="00393CA4">
      <w:pPr>
        <w:pStyle w:val="ListBullet"/>
      </w:pPr>
      <w:r w:rsidRPr="000324EE">
        <w:t>remeasurement arising from defined benefit superannuation plans;</w:t>
      </w:r>
    </w:p>
    <w:p w:rsidR="004B6846" w:rsidRPr="000324EE" w:rsidRDefault="004B6846" w:rsidP="00393CA4">
      <w:pPr>
        <w:pStyle w:val="ListBullet"/>
      </w:pPr>
      <w:r w:rsidRPr="000324EE">
        <w:t>fair value changes of financial instruments and agricultural assets; and</w:t>
      </w:r>
    </w:p>
    <w:p w:rsidR="004B6846" w:rsidRPr="000324EE" w:rsidRDefault="004B6846" w:rsidP="00393CA4">
      <w:pPr>
        <w:pStyle w:val="ListBullet"/>
      </w:pPr>
      <w:r w:rsidRPr="000324EE">
        <w:t>depletion of natural assets (non-produced) from their use or removal.</w:t>
      </w:r>
    </w:p>
    <w:p w:rsidR="004B6846" w:rsidRDefault="004B6846" w:rsidP="00CC0EB7">
      <w:r>
        <w:t>All amounts in the Estimated Financial Statements have been rounded to the nearest $1 million unless otherwise stated. The Estimated Financial Statements may not add due to rounding.</w:t>
      </w:r>
    </w:p>
    <w:p w:rsidR="004B6846" w:rsidRPr="000324EE" w:rsidRDefault="004B6846">
      <w:pPr>
        <w:keepLines w:val="0"/>
      </w:pPr>
      <w:r w:rsidRPr="000324EE">
        <w:br w:type="page"/>
      </w:r>
    </w:p>
    <w:p w:rsidR="004B6846" w:rsidRDefault="004B6846" w:rsidP="00CC0EB7">
      <w:pPr>
        <w:pStyle w:val="Heading20"/>
      </w:pPr>
      <w:r>
        <w:lastRenderedPageBreak/>
        <w:t>Reporting entity</w:t>
      </w:r>
    </w:p>
    <w:p w:rsidR="004B6846" w:rsidRDefault="004B6846" w:rsidP="00CC0EB7">
      <w:r>
        <w:t>The Estimated Financial Statements are prepared for the general government sector, which includes all government departments, offices and other bodies engaged in providing services free of charge or at prices significantly below their cost. The primary function of entities within the general government sector is to provide public services (outputs), which are mainly non-market in nature, for the collective consumption of the community. These services are primarily funded through transferring or redistributing revenue that is collected mainly through taxes and other compulsory levies.</w:t>
      </w:r>
    </w:p>
    <w:p w:rsidR="004B6846" w:rsidRDefault="004B6846" w:rsidP="00CC0EB7">
      <w:r>
        <w:t>The general government sector is not a separate entity but represents a sector within the State of Victoria reporting entity. Unless otherwise noted, accounting policies applied by the State apply equally to the general government sector.</w:t>
      </w:r>
    </w:p>
    <w:p w:rsidR="004B6846" w:rsidRDefault="004B6846" w:rsidP="00CC0EB7">
      <w:pPr>
        <w:pStyle w:val="Heading20"/>
      </w:pPr>
      <w:r>
        <w:t>Basis for consolidation</w:t>
      </w:r>
    </w:p>
    <w:p w:rsidR="004B6846" w:rsidRDefault="004B6846" w:rsidP="00CC0EB7">
      <w:r>
        <w:t xml:space="preserve">The Estimated Financial Statements present the estimated consolidated results and position of all reporting entities in the general government sector that are controlled by the State, consistent with the principles of AASB 1049 and AASB 10 </w:t>
      </w:r>
      <w:r w:rsidRPr="00CD5C7E">
        <w:rPr>
          <w:i/>
        </w:rPr>
        <w:t>Consolidated Financial Statements</w:t>
      </w:r>
      <w:r>
        <w:t>.</w:t>
      </w:r>
    </w:p>
    <w:p w:rsidR="004B6846" w:rsidRDefault="004B6846" w:rsidP="00CC0EB7">
      <w:r>
        <w:t xml:space="preserve">Entities in the public non-financial corporations (PNFC) and public financial corporations (PFC) sectors are not consolidated into the financial statements of the general government sector, but are accounted for as equity investments measured at the Government’s proportional share of the carrying amount of net assets of PNFC and PFC sector entities before consolidation eliminations. </w:t>
      </w:r>
    </w:p>
    <w:p w:rsidR="004B6846" w:rsidRDefault="004B6846" w:rsidP="00CC0EB7">
      <w:r>
        <w:t xml:space="preserve">Where the carrying amount of a PNFC or PFC entity’s net assets before consolidation eliminations is less than zero, the carrying amount is not included in the general government sector. Any change in the carrying amount of the investment from period to period is accounted for as if the change in carrying amount is a change in fair value and accounted for consistent with AASB 9 </w:t>
      </w:r>
      <w:r>
        <w:rPr>
          <w:i/>
        </w:rPr>
        <w:t xml:space="preserve">Financial Instruments </w:t>
      </w:r>
      <w:r>
        <w:t>and AASB 1049.</w:t>
      </w:r>
    </w:p>
    <w:p w:rsidR="004B6846" w:rsidRDefault="004B6846" w:rsidP="00CC0EB7">
      <w:r>
        <w:t>Where control of an entity is expected to be obtained during the reporting period, its results are included in the estimated comprehensive operating statement from the date on which control will commence. Where control is expected to cease during a reporting period, the entity’s results are included for that part of the period for which control would exist. Where entities adopt dissimilar accounting policies and their effect is considered material, adjustments are made to ensure consistent policies are adopted in the Estimated Financial Statements.</w:t>
      </w:r>
    </w:p>
    <w:p w:rsidR="004B6846" w:rsidRDefault="004B6846" w:rsidP="00CC0EB7">
      <w:r>
        <w:t>All material transactions and balances between entities within the general government sector are eliminated.</w:t>
      </w:r>
    </w:p>
    <w:p w:rsidR="004B6846" w:rsidRDefault="004B6846" w:rsidP="00CC0EB7">
      <w:r>
        <w:t xml:space="preserve">Except as stated in Note 3.7.5 of the Estimated Financial Statements, the significant entities consolidated within the sector comprise those general government sector entities listed in Note 9.8 of Chapter 4 </w:t>
      </w:r>
      <w:r w:rsidRPr="00CD5C7E">
        <w:rPr>
          <w:i/>
        </w:rPr>
        <w:t>Annual Financial Report</w:t>
      </w:r>
      <w:r>
        <w:t xml:space="preserve"> of the </w:t>
      </w:r>
      <w:r>
        <w:rPr>
          <w:i/>
        </w:rPr>
        <w:t>2017</w:t>
      </w:r>
      <w:r>
        <w:rPr>
          <w:i/>
        </w:rPr>
        <w:noBreakHyphen/>
        <w:t>18 </w:t>
      </w:r>
      <w:r w:rsidRPr="00CD5C7E">
        <w:rPr>
          <w:i/>
        </w:rPr>
        <w:t>Financial Report</w:t>
      </w:r>
      <w:r>
        <w:t xml:space="preserve"> for the State of Victoria. </w:t>
      </w:r>
    </w:p>
    <w:p w:rsidR="004B6846" w:rsidRDefault="004B6846">
      <w:pPr>
        <w:keepLines w:val="0"/>
        <w:rPr>
          <w:rFonts w:asciiTheme="majorHAnsi" w:eastAsiaTheme="majorEastAsia" w:hAnsiTheme="majorHAnsi" w:cstheme="majorBidi"/>
          <w:b/>
          <w:spacing w:val="-2"/>
          <w:sz w:val="26"/>
          <w:szCs w:val="26"/>
        </w:rPr>
      </w:pPr>
      <w:r>
        <w:br w:type="page"/>
      </w:r>
    </w:p>
    <w:p w:rsidR="004B6846" w:rsidRDefault="004B6846" w:rsidP="00CC0EB7">
      <w:pPr>
        <w:pStyle w:val="Heading20"/>
      </w:pPr>
      <w:r>
        <w:lastRenderedPageBreak/>
        <w:t>Compliance</w:t>
      </w:r>
    </w:p>
    <w:p w:rsidR="004B6846" w:rsidRDefault="004B6846" w:rsidP="00CC0EB7">
      <w:r>
        <w:t xml:space="preserve">These Estimated Financial Statements have been prepared in accordance with Sections 23L-23N of the </w:t>
      </w:r>
      <w:r w:rsidRPr="00510379">
        <w:rPr>
          <w:i/>
        </w:rPr>
        <w:t>Financial Management Act 1994</w:t>
      </w:r>
      <w:r>
        <w:t xml:space="preserve">, having regard to Australian Accounting Standards (AAS). AAS include Interpretations issued by the Australian Accounting Standards Board (AASB). </w:t>
      </w:r>
    </w:p>
    <w:p w:rsidR="004B6846" w:rsidRDefault="004B6846" w:rsidP="00CC0EB7">
      <w:r>
        <w:t xml:space="preserve">The Estimated Financial Statements are presented in a manner consistent with the principles of AASB 1049. However, the prospective nature of these Estimated Financial Statements means that some AAS disclosures are neither relevant nor practical and have been omitted. Where applicable, those AASs paragraphs relevant to not-for-profit entities have been applied. Because AASs do not prescribe requirements for preparing and presenting prospective financial statements, the Estimated Financial Statements have been prepared having regard to the principles set out in New Zealand Public Benefit Entity Financial Reporting Standard 42 </w:t>
      </w:r>
      <w:r w:rsidRPr="00CD5C7E">
        <w:rPr>
          <w:i/>
        </w:rPr>
        <w:t>Prospective Financial Statements</w:t>
      </w:r>
      <w:r>
        <w:t>.</w:t>
      </w:r>
    </w:p>
    <w:p w:rsidR="004B6846" w:rsidRDefault="004B6846" w:rsidP="00CC0EB7">
      <w:r>
        <w:t xml:space="preserve">The GFS information included in this report is based on the </w:t>
      </w:r>
      <w:r w:rsidRPr="00CD5C7E">
        <w:rPr>
          <w:i/>
        </w:rPr>
        <w:t>Australian System of Government Finance Statistics: C</w:t>
      </w:r>
      <w:r>
        <w:rPr>
          <w:i/>
        </w:rPr>
        <w:t>oncepts, Sources and Methods 201</w:t>
      </w:r>
      <w:r w:rsidRPr="00CD5C7E">
        <w:rPr>
          <w:i/>
        </w:rPr>
        <w:t>5 Cat. No. 5514.0</w:t>
      </w:r>
      <w:r>
        <w:rPr>
          <w:i/>
        </w:rPr>
        <w:t xml:space="preserve"> </w:t>
      </w:r>
      <w:r w:rsidRPr="0007131F">
        <w:t>(ABS GFS)</w:t>
      </w:r>
      <w:r>
        <w:t xml:space="preserve">. Note 1.7.5 of Budget Paper No.5 </w:t>
      </w:r>
      <w:r w:rsidRPr="00BC57B6">
        <w:rPr>
          <w:i/>
        </w:rPr>
        <w:t>Estimated Financial Statements</w:t>
      </w:r>
      <w:r>
        <w:t xml:space="preserve"> of the </w:t>
      </w:r>
      <w:r w:rsidRPr="00BC57B6">
        <w:rPr>
          <w:i/>
        </w:rPr>
        <w:t>2018-19 Budget</w:t>
      </w:r>
      <w:r>
        <w:t xml:space="preserve"> provides further information on the updated ABS GFS manual.</w:t>
      </w:r>
    </w:p>
    <w:p w:rsidR="004B6846" w:rsidRDefault="004B6846" w:rsidP="00CC0EB7">
      <w:r>
        <w:t xml:space="preserve">The information presented in the Estimated Financial Statements takes into account all policy decisions made by the Victorian Government, as well as known Commonwealth Government funding revisions and circumstances that may have a material effect on the Estimated Financial Statements as </w:t>
      </w:r>
      <w:r w:rsidRPr="000379ED">
        <w:t xml:space="preserve">at </w:t>
      </w:r>
      <w:r w:rsidRPr="009118BB">
        <w:t>30 November 2018.</w:t>
      </w:r>
      <w:r>
        <w:t xml:space="preserve"> </w:t>
      </w:r>
    </w:p>
    <w:p w:rsidR="004B6846" w:rsidRDefault="004B6846" w:rsidP="00D11960"/>
    <w:p w:rsidR="004B6846" w:rsidRDefault="004B6846" w:rsidP="00CC0EB7"/>
    <w:p w:rsidR="004B6846" w:rsidRDefault="004B6846" w:rsidP="00CC0EB7">
      <w:pPr>
        <w:pStyle w:val="Heading10"/>
      </w:pPr>
      <w:r>
        <w:br w:type="page"/>
      </w:r>
    </w:p>
    <w:p w:rsidR="004B6846" w:rsidRDefault="004B6846" w:rsidP="00CC0EB7">
      <w:pPr>
        <w:pStyle w:val="Heading20"/>
      </w:pPr>
      <w:r w:rsidRPr="00354C44">
        <w:lastRenderedPageBreak/>
        <w:t>Material economic assumptions</w:t>
      </w:r>
      <w:r>
        <w:t xml:space="preserve"> </w:t>
      </w:r>
    </w:p>
    <w:p w:rsidR="004B6846" w:rsidRDefault="004B6846" w:rsidP="00CC0EB7">
      <w:r>
        <w:t xml:space="preserve">The Estimated Financial Statements have been prepared using the material economic assumptions listed below. </w:t>
      </w:r>
    </w:p>
    <w:p w:rsidR="004B6846" w:rsidRPr="00CD19AA" w:rsidRDefault="004B6846" w:rsidP="00CC0EB7">
      <w:pPr>
        <w:pStyle w:val="TableHeading"/>
        <w:ind w:left="0" w:firstLine="0"/>
        <w:rPr>
          <w:vertAlign w:val="superscript"/>
        </w:rPr>
      </w:pPr>
      <w:r w:rsidRPr="00766CA7">
        <w:t xml:space="preserve">Key economic assumptions </w:t>
      </w:r>
      <w:r w:rsidRPr="00766CA7">
        <w:rPr>
          <w:vertAlign w:val="superscript"/>
        </w:rPr>
        <w:t>(a)</w:t>
      </w:r>
      <w:r>
        <w:rPr>
          <w:vertAlign w:val="superscript"/>
        </w:rPr>
        <w:t xml:space="preserve"> </w:t>
      </w:r>
    </w:p>
    <w:tbl>
      <w:tblPr>
        <w:tblStyle w:val="DTFTable"/>
        <w:tblW w:w="7760" w:type="dxa"/>
        <w:tblLayout w:type="fixed"/>
        <w:tblLook w:val="06A0" w:firstRow="1" w:lastRow="0" w:firstColumn="1" w:lastColumn="0" w:noHBand="1" w:noVBand="1"/>
      </w:tblPr>
      <w:tblGrid>
        <w:gridCol w:w="2788"/>
        <w:gridCol w:w="1069"/>
        <w:gridCol w:w="8"/>
        <w:gridCol w:w="126"/>
        <w:gridCol w:w="784"/>
        <w:gridCol w:w="994"/>
        <w:gridCol w:w="994"/>
        <w:gridCol w:w="997"/>
      </w:tblGrid>
      <w:tr w:rsidR="004B6846" w:rsidRPr="00CD5C7E" w:rsidTr="00CC0EB7">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788" w:type="dxa"/>
          </w:tcPr>
          <w:p w:rsidR="004B6846" w:rsidRPr="00CD5C7E" w:rsidRDefault="004B6846" w:rsidP="00CC0EB7">
            <w:pPr>
              <w:ind w:left="0" w:firstLine="0"/>
            </w:pPr>
          </w:p>
        </w:tc>
        <w:tc>
          <w:tcPr>
            <w:tcW w:w="1069" w:type="dxa"/>
          </w:tcPr>
          <w:p w:rsidR="004B6846" w:rsidRPr="006D156A" w:rsidRDefault="004B6846" w:rsidP="00CC0EB7">
            <w:pPr>
              <w:cnfStyle w:val="100000000000" w:firstRow="1" w:lastRow="0" w:firstColumn="0" w:lastColumn="0" w:oddVBand="0" w:evenVBand="0" w:oddHBand="0" w:evenHBand="0" w:firstRowFirstColumn="0" w:firstRowLastColumn="0" w:lastRowFirstColumn="0" w:lastRowLastColumn="0"/>
            </w:pPr>
            <w:r w:rsidRPr="006D156A">
              <w:t xml:space="preserve">2017-18 </w:t>
            </w:r>
            <w:r>
              <w:t>actual</w:t>
            </w:r>
          </w:p>
        </w:tc>
        <w:tc>
          <w:tcPr>
            <w:tcW w:w="918" w:type="dxa"/>
            <w:gridSpan w:val="3"/>
          </w:tcPr>
          <w:p w:rsidR="004B6846" w:rsidRPr="006D156A" w:rsidRDefault="004B6846" w:rsidP="00CC0EB7">
            <w:pPr>
              <w:cnfStyle w:val="100000000000" w:firstRow="1" w:lastRow="0" w:firstColumn="0" w:lastColumn="0" w:oddVBand="0" w:evenVBand="0" w:oddHBand="0" w:evenHBand="0" w:firstRowFirstColumn="0" w:firstRowLastColumn="0" w:lastRowFirstColumn="0" w:lastRowLastColumn="0"/>
            </w:pPr>
            <w:r w:rsidRPr="006D156A">
              <w:t>2018-19 forecast</w:t>
            </w:r>
          </w:p>
        </w:tc>
        <w:tc>
          <w:tcPr>
            <w:tcW w:w="994" w:type="dxa"/>
          </w:tcPr>
          <w:p w:rsidR="004B6846" w:rsidRPr="006D156A" w:rsidRDefault="004B6846" w:rsidP="00CC0EB7">
            <w:pPr>
              <w:cnfStyle w:val="100000000000" w:firstRow="1" w:lastRow="0" w:firstColumn="0" w:lastColumn="0" w:oddVBand="0" w:evenVBand="0" w:oddHBand="0" w:evenHBand="0" w:firstRowFirstColumn="0" w:firstRowLastColumn="0" w:lastRowFirstColumn="0" w:lastRowLastColumn="0"/>
            </w:pPr>
            <w:r w:rsidRPr="006D156A">
              <w:t>2019-20 forecast</w:t>
            </w:r>
          </w:p>
        </w:tc>
        <w:tc>
          <w:tcPr>
            <w:tcW w:w="994" w:type="dxa"/>
          </w:tcPr>
          <w:p w:rsidR="004B6846" w:rsidRPr="006D156A" w:rsidRDefault="004B6846" w:rsidP="00CC0EB7">
            <w:pPr>
              <w:cnfStyle w:val="100000000000" w:firstRow="1" w:lastRow="0" w:firstColumn="0" w:lastColumn="0" w:oddVBand="0" w:evenVBand="0" w:oddHBand="0" w:evenHBand="0" w:firstRowFirstColumn="0" w:firstRowLastColumn="0" w:lastRowFirstColumn="0" w:lastRowLastColumn="0"/>
            </w:pPr>
            <w:r w:rsidRPr="006D156A">
              <w:t>2020-21 projection</w:t>
            </w:r>
          </w:p>
        </w:tc>
        <w:tc>
          <w:tcPr>
            <w:tcW w:w="997" w:type="dxa"/>
          </w:tcPr>
          <w:p w:rsidR="004B6846" w:rsidRDefault="004B6846" w:rsidP="00CC0EB7">
            <w:pPr>
              <w:cnfStyle w:val="100000000000" w:firstRow="1" w:lastRow="0" w:firstColumn="0" w:lastColumn="0" w:oddVBand="0" w:evenVBand="0" w:oddHBand="0" w:evenHBand="0" w:firstRowFirstColumn="0" w:firstRowLastColumn="0" w:lastRowFirstColumn="0" w:lastRowLastColumn="0"/>
            </w:pPr>
            <w:r w:rsidRPr="006D156A">
              <w:t>2021-22 projection</w:t>
            </w:r>
          </w:p>
        </w:tc>
      </w:tr>
      <w:tr w:rsidR="004B6846" w:rsidRPr="00CD5C7E" w:rsidTr="00CC0EB7">
        <w:tc>
          <w:tcPr>
            <w:cnfStyle w:val="001000000000" w:firstRow="0" w:lastRow="0" w:firstColumn="1" w:lastColumn="0" w:oddVBand="0" w:evenVBand="0" w:oddHBand="0" w:evenHBand="0" w:firstRowFirstColumn="0" w:firstRowLastColumn="0" w:lastRowFirstColumn="0" w:lastRowLastColumn="0"/>
            <w:tcW w:w="2788" w:type="dxa"/>
          </w:tcPr>
          <w:p w:rsidR="004B6846" w:rsidRPr="00CD5C7E" w:rsidRDefault="004B6846" w:rsidP="00CC0EB7">
            <w:pPr>
              <w:ind w:left="0" w:firstLine="0"/>
            </w:pPr>
          </w:p>
        </w:tc>
        <w:tc>
          <w:tcPr>
            <w:tcW w:w="4972" w:type="dxa"/>
            <w:gridSpan w:val="7"/>
          </w:tcPr>
          <w:p w:rsidR="004B6846" w:rsidRPr="00CD5C7E" w:rsidRDefault="004B6846" w:rsidP="00CC0EB7">
            <w:pPr>
              <w:pStyle w:val="TableUnits"/>
              <w:jc w:val="center"/>
              <w:cnfStyle w:val="000000000000" w:firstRow="0" w:lastRow="0" w:firstColumn="0" w:lastColumn="0" w:oddVBand="0" w:evenVBand="0" w:oddHBand="0" w:evenHBand="0" w:firstRowFirstColumn="0" w:firstRowLastColumn="0" w:lastRowFirstColumn="0" w:lastRowLastColumn="0"/>
            </w:pPr>
            <w:r w:rsidRPr="00CD5C7E">
              <w:t>($ billion)</w:t>
            </w:r>
          </w:p>
        </w:tc>
      </w:tr>
      <w:tr w:rsidR="004B6846" w:rsidRPr="00CD5C7E" w:rsidTr="00CC0EB7">
        <w:tc>
          <w:tcPr>
            <w:cnfStyle w:val="001000000000" w:firstRow="0" w:lastRow="0" w:firstColumn="1" w:lastColumn="0" w:oddVBand="0" w:evenVBand="0" w:oddHBand="0" w:evenHBand="0" w:firstRowFirstColumn="0" w:firstRowLastColumn="0" w:lastRowFirstColumn="0" w:lastRowLastColumn="0"/>
            <w:tcW w:w="2788" w:type="dxa"/>
          </w:tcPr>
          <w:p w:rsidR="004B6846" w:rsidRPr="00CD5C7E" w:rsidRDefault="004B6846" w:rsidP="00CC0EB7">
            <w:pPr>
              <w:ind w:left="0" w:firstLine="0"/>
            </w:pPr>
            <w:r w:rsidRPr="00CD5C7E">
              <w:t>Nominal gross state product</w:t>
            </w:r>
          </w:p>
        </w:tc>
        <w:tc>
          <w:tcPr>
            <w:tcW w:w="1077" w:type="dxa"/>
            <w:gridSpan w:val="2"/>
          </w:tcPr>
          <w:p w:rsidR="004B6846" w:rsidRPr="0078174C" w:rsidRDefault="004B6846" w:rsidP="00CC0EB7">
            <w:pPr>
              <w:cnfStyle w:val="000000000000" w:firstRow="0" w:lastRow="0" w:firstColumn="0" w:lastColumn="0" w:oddVBand="0" w:evenVBand="0" w:oddHBand="0" w:evenHBand="0" w:firstRowFirstColumn="0" w:firstRowLastColumn="0" w:lastRowFirstColumn="0" w:lastRowLastColumn="0"/>
            </w:pPr>
            <w:r>
              <w:t>430.5</w:t>
            </w:r>
          </w:p>
        </w:tc>
        <w:tc>
          <w:tcPr>
            <w:tcW w:w="910" w:type="dxa"/>
            <w:gridSpan w:val="2"/>
          </w:tcPr>
          <w:p w:rsidR="004B6846" w:rsidRPr="004E2EFA" w:rsidRDefault="004B6846" w:rsidP="00CC0EB7">
            <w:pPr>
              <w:cnfStyle w:val="000000000000" w:firstRow="0" w:lastRow="0" w:firstColumn="0" w:lastColumn="0" w:oddVBand="0" w:evenVBand="0" w:oddHBand="0" w:evenHBand="0" w:firstRowFirstColumn="0" w:firstRowLastColumn="0" w:lastRowFirstColumn="0" w:lastRowLastColumn="0"/>
            </w:pPr>
            <w:r>
              <w:t>453.7</w:t>
            </w:r>
          </w:p>
        </w:tc>
        <w:tc>
          <w:tcPr>
            <w:tcW w:w="994" w:type="dxa"/>
          </w:tcPr>
          <w:p w:rsidR="004B6846" w:rsidRPr="004E2EFA" w:rsidRDefault="004B6846" w:rsidP="00CC0EB7">
            <w:pPr>
              <w:cnfStyle w:val="000000000000" w:firstRow="0" w:lastRow="0" w:firstColumn="0" w:lastColumn="0" w:oddVBand="0" w:evenVBand="0" w:oddHBand="0" w:evenHBand="0" w:firstRowFirstColumn="0" w:firstRowLastColumn="0" w:lastRowFirstColumn="0" w:lastRowLastColumn="0"/>
            </w:pPr>
            <w:r>
              <w:t>477.5</w:t>
            </w:r>
          </w:p>
        </w:tc>
        <w:tc>
          <w:tcPr>
            <w:tcW w:w="994" w:type="dxa"/>
          </w:tcPr>
          <w:p w:rsidR="004B6846" w:rsidRPr="004E2EFA" w:rsidRDefault="004B6846" w:rsidP="00CC0EB7">
            <w:pPr>
              <w:cnfStyle w:val="000000000000" w:firstRow="0" w:lastRow="0" w:firstColumn="0" w:lastColumn="0" w:oddVBand="0" w:evenVBand="0" w:oddHBand="0" w:evenHBand="0" w:firstRowFirstColumn="0" w:firstRowLastColumn="0" w:lastRowFirstColumn="0" w:lastRowLastColumn="0"/>
            </w:pPr>
            <w:r>
              <w:t>502.7</w:t>
            </w:r>
          </w:p>
        </w:tc>
        <w:tc>
          <w:tcPr>
            <w:tcW w:w="997" w:type="dxa"/>
          </w:tcPr>
          <w:p w:rsidR="004B6846" w:rsidRDefault="004B6846" w:rsidP="00CC0EB7">
            <w:pPr>
              <w:cnfStyle w:val="000000000000" w:firstRow="0" w:lastRow="0" w:firstColumn="0" w:lastColumn="0" w:oddVBand="0" w:evenVBand="0" w:oddHBand="0" w:evenHBand="0" w:firstRowFirstColumn="0" w:firstRowLastColumn="0" w:lastRowFirstColumn="0" w:lastRowLastColumn="0"/>
            </w:pPr>
            <w:r>
              <w:t>529.2</w:t>
            </w:r>
          </w:p>
        </w:tc>
      </w:tr>
      <w:tr w:rsidR="004B6846" w:rsidRPr="00CD5C7E" w:rsidTr="00CC0EB7">
        <w:tc>
          <w:tcPr>
            <w:cnfStyle w:val="001000000000" w:firstRow="0" w:lastRow="0" w:firstColumn="1" w:lastColumn="0" w:oddVBand="0" w:evenVBand="0" w:oddHBand="0" w:evenHBand="0" w:firstRowFirstColumn="0" w:firstRowLastColumn="0" w:lastRowFirstColumn="0" w:lastRowLastColumn="0"/>
            <w:tcW w:w="2788" w:type="dxa"/>
          </w:tcPr>
          <w:p w:rsidR="004B6846" w:rsidRPr="00CD5C7E" w:rsidRDefault="004B6846" w:rsidP="00CC0EB7">
            <w:pPr>
              <w:ind w:left="0" w:firstLine="0"/>
            </w:pPr>
          </w:p>
        </w:tc>
        <w:tc>
          <w:tcPr>
            <w:tcW w:w="4972" w:type="dxa"/>
            <w:gridSpan w:val="7"/>
          </w:tcPr>
          <w:p w:rsidR="004B6846" w:rsidRPr="00733C27" w:rsidRDefault="004B6846" w:rsidP="00CC0EB7">
            <w:pPr>
              <w:pStyle w:val="TableUnits"/>
              <w:jc w:val="center"/>
              <w:cnfStyle w:val="000000000000" w:firstRow="0" w:lastRow="0" w:firstColumn="0" w:lastColumn="0" w:oddVBand="0" w:evenVBand="0" w:oddHBand="0" w:evenHBand="0" w:firstRowFirstColumn="0" w:firstRowLastColumn="0" w:lastRowFirstColumn="0" w:lastRowLastColumn="0"/>
            </w:pPr>
            <w:r w:rsidRPr="00733C27">
              <w:t>(percentage change)</w:t>
            </w:r>
          </w:p>
        </w:tc>
      </w:tr>
      <w:tr w:rsidR="004B6846" w:rsidRPr="00CD5C7E" w:rsidTr="00CC0EB7">
        <w:tc>
          <w:tcPr>
            <w:cnfStyle w:val="001000000000" w:firstRow="0" w:lastRow="0" w:firstColumn="1" w:lastColumn="0" w:oddVBand="0" w:evenVBand="0" w:oddHBand="0" w:evenHBand="0" w:firstRowFirstColumn="0" w:firstRowLastColumn="0" w:lastRowFirstColumn="0" w:lastRowLastColumn="0"/>
            <w:tcW w:w="2788" w:type="dxa"/>
          </w:tcPr>
          <w:p w:rsidR="004B6846" w:rsidRPr="00CD5C7E" w:rsidRDefault="004B6846" w:rsidP="00CC0EB7">
            <w:pPr>
              <w:ind w:left="0" w:firstLine="0"/>
            </w:pPr>
            <w:r w:rsidRPr="00CD5C7E">
              <w:t>Real gross state product</w:t>
            </w:r>
          </w:p>
        </w:tc>
        <w:tc>
          <w:tcPr>
            <w:tcW w:w="1069" w:type="dxa"/>
          </w:tcPr>
          <w:p w:rsidR="004B6846" w:rsidRPr="002C2A36" w:rsidRDefault="004B6846" w:rsidP="00CC0EB7">
            <w:pPr>
              <w:cnfStyle w:val="000000000000" w:firstRow="0" w:lastRow="0" w:firstColumn="0" w:lastColumn="0" w:oddVBand="0" w:evenVBand="0" w:oddHBand="0" w:evenHBand="0" w:firstRowFirstColumn="0" w:firstRowLastColumn="0" w:lastRowFirstColumn="0" w:lastRowLastColumn="0"/>
            </w:pPr>
            <w:r>
              <w:t>3.5</w:t>
            </w:r>
          </w:p>
        </w:tc>
        <w:tc>
          <w:tcPr>
            <w:tcW w:w="918" w:type="dxa"/>
            <w:gridSpan w:val="3"/>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t>3.00</w:t>
            </w:r>
          </w:p>
        </w:tc>
        <w:tc>
          <w:tcPr>
            <w:tcW w:w="994" w:type="dxa"/>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rsidRPr="00C06497">
              <w:t>2.75</w:t>
            </w:r>
          </w:p>
        </w:tc>
        <w:tc>
          <w:tcPr>
            <w:tcW w:w="994" w:type="dxa"/>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rsidRPr="00C06497">
              <w:t>2.75</w:t>
            </w:r>
          </w:p>
        </w:tc>
        <w:tc>
          <w:tcPr>
            <w:tcW w:w="997" w:type="dxa"/>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rsidRPr="00C06497">
              <w:t>2.75</w:t>
            </w:r>
          </w:p>
        </w:tc>
      </w:tr>
      <w:tr w:rsidR="004B6846" w:rsidRPr="00CD5C7E" w:rsidTr="00CC0EB7">
        <w:tc>
          <w:tcPr>
            <w:cnfStyle w:val="001000000000" w:firstRow="0" w:lastRow="0" w:firstColumn="1" w:lastColumn="0" w:oddVBand="0" w:evenVBand="0" w:oddHBand="0" w:evenHBand="0" w:firstRowFirstColumn="0" w:firstRowLastColumn="0" w:lastRowFirstColumn="0" w:lastRowLastColumn="0"/>
            <w:tcW w:w="2788" w:type="dxa"/>
          </w:tcPr>
          <w:p w:rsidR="004B6846" w:rsidRPr="00CD5C7E" w:rsidRDefault="004B6846" w:rsidP="00CC0EB7">
            <w:pPr>
              <w:ind w:left="0" w:firstLine="0"/>
            </w:pPr>
            <w:r w:rsidRPr="00CD5C7E">
              <w:t>Employment</w:t>
            </w:r>
          </w:p>
        </w:tc>
        <w:tc>
          <w:tcPr>
            <w:tcW w:w="1069" w:type="dxa"/>
          </w:tcPr>
          <w:p w:rsidR="004B6846" w:rsidRPr="002C2A36" w:rsidRDefault="004B6846" w:rsidP="00CC0EB7">
            <w:pPr>
              <w:cnfStyle w:val="000000000000" w:firstRow="0" w:lastRow="0" w:firstColumn="0" w:lastColumn="0" w:oddVBand="0" w:evenVBand="0" w:oddHBand="0" w:evenHBand="0" w:firstRowFirstColumn="0" w:firstRowLastColumn="0" w:lastRowFirstColumn="0" w:lastRowLastColumn="0"/>
            </w:pPr>
            <w:r>
              <w:t>2.7</w:t>
            </w:r>
          </w:p>
        </w:tc>
        <w:tc>
          <w:tcPr>
            <w:tcW w:w="918" w:type="dxa"/>
            <w:gridSpan w:val="3"/>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t>2.5</w:t>
            </w:r>
            <w:r w:rsidRPr="00C06497">
              <w:t>0</w:t>
            </w:r>
          </w:p>
        </w:tc>
        <w:tc>
          <w:tcPr>
            <w:tcW w:w="994" w:type="dxa"/>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t>2.00</w:t>
            </w:r>
          </w:p>
        </w:tc>
        <w:tc>
          <w:tcPr>
            <w:tcW w:w="994" w:type="dxa"/>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rsidRPr="00C06497">
              <w:t>1.75</w:t>
            </w:r>
          </w:p>
        </w:tc>
        <w:tc>
          <w:tcPr>
            <w:tcW w:w="997" w:type="dxa"/>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rsidRPr="00C06497">
              <w:t>1.75</w:t>
            </w:r>
          </w:p>
        </w:tc>
      </w:tr>
      <w:tr w:rsidR="004B6846" w:rsidRPr="00CD5C7E" w:rsidTr="00CC0EB7">
        <w:tc>
          <w:tcPr>
            <w:cnfStyle w:val="001000000000" w:firstRow="0" w:lastRow="0" w:firstColumn="1" w:lastColumn="0" w:oddVBand="0" w:evenVBand="0" w:oddHBand="0" w:evenHBand="0" w:firstRowFirstColumn="0" w:firstRowLastColumn="0" w:lastRowFirstColumn="0" w:lastRowLastColumn="0"/>
            <w:tcW w:w="2788" w:type="dxa"/>
          </w:tcPr>
          <w:p w:rsidR="004B6846" w:rsidRPr="00CD5C7E" w:rsidRDefault="004B6846" w:rsidP="00CC0EB7">
            <w:pPr>
              <w:ind w:left="0" w:firstLine="0"/>
            </w:pPr>
            <w:r w:rsidRPr="00CD5C7E">
              <w:t xml:space="preserve">Unemployment rate </w:t>
            </w:r>
            <w:r>
              <w:rPr>
                <w:vertAlign w:val="superscript"/>
              </w:rPr>
              <w:t>(b</w:t>
            </w:r>
            <w:r w:rsidRPr="00C51545">
              <w:rPr>
                <w:vertAlign w:val="superscript"/>
              </w:rPr>
              <w:t>)</w:t>
            </w:r>
          </w:p>
        </w:tc>
        <w:tc>
          <w:tcPr>
            <w:tcW w:w="1069" w:type="dxa"/>
          </w:tcPr>
          <w:p w:rsidR="004B6846" w:rsidRPr="002C2A36" w:rsidRDefault="004B6846" w:rsidP="00CC0EB7">
            <w:pPr>
              <w:cnfStyle w:val="000000000000" w:firstRow="0" w:lastRow="0" w:firstColumn="0" w:lastColumn="0" w:oddVBand="0" w:evenVBand="0" w:oddHBand="0" w:evenHBand="0" w:firstRowFirstColumn="0" w:firstRowLastColumn="0" w:lastRowFirstColumn="0" w:lastRowLastColumn="0"/>
            </w:pPr>
            <w:r>
              <w:t>5.6</w:t>
            </w:r>
          </w:p>
        </w:tc>
        <w:tc>
          <w:tcPr>
            <w:tcW w:w="918" w:type="dxa"/>
            <w:gridSpan w:val="3"/>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t>4.75</w:t>
            </w:r>
          </w:p>
        </w:tc>
        <w:tc>
          <w:tcPr>
            <w:tcW w:w="994" w:type="dxa"/>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t>5.00</w:t>
            </w:r>
          </w:p>
        </w:tc>
        <w:tc>
          <w:tcPr>
            <w:tcW w:w="994" w:type="dxa"/>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t>5.25</w:t>
            </w:r>
          </w:p>
        </w:tc>
        <w:tc>
          <w:tcPr>
            <w:tcW w:w="997" w:type="dxa"/>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rsidRPr="00C06497">
              <w:t>5.50</w:t>
            </w:r>
          </w:p>
        </w:tc>
      </w:tr>
      <w:tr w:rsidR="004B6846" w:rsidRPr="00CD5C7E" w:rsidTr="00CC0EB7">
        <w:tc>
          <w:tcPr>
            <w:cnfStyle w:val="001000000000" w:firstRow="0" w:lastRow="0" w:firstColumn="1" w:lastColumn="0" w:oddVBand="0" w:evenVBand="0" w:oddHBand="0" w:evenHBand="0" w:firstRowFirstColumn="0" w:firstRowLastColumn="0" w:lastRowFirstColumn="0" w:lastRowLastColumn="0"/>
            <w:tcW w:w="2788" w:type="dxa"/>
          </w:tcPr>
          <w:p w:rsidR="004B6846" w:rsidRPr="00CD5C7E" w:rsidRDefault="004B6846" w:rsidP="00CC0EB7">
            <w:pPr>
              <w:ind w:left="0" w:firstLine="0"/>
            </w:pPr>
            <w:r w:rsidRPr="00CD5C7E">
              <w:t xml:space="preserve">Consumer price index </w:t>
            </w:r>
            <w:r>
              <w:rPr>
                <w:vertAlign w:val="superscript"/>
              </w:rPr>
              <w:t>(c</w:t>
            </w:r>
            <w:r w:rsidRPr="00455A23">
              <w:rPr>
                <w:vertAlign w:val="superscript"/>
              </w:rPr>
              <w:t>)</w:t>
            </w:r>
          </w:p>
        </w:tc>
        <w:tc>
          <w:tcPr>
            <w:tcW w:w="1069" w:type="dxa"/>
          </w:tcPr>
          <w:p w:rsidR="004B6846" w:rsidRPr="002C2A36" w:rsidRDefault="004B6846" w:rsidP="00CC0EB7">
            <w:pPr>
              <w:cnfStyle w:val="000000000000" w:firstRow="0" w:lastRow="0" w:firstColumn="0" w:lastColumn="0" w:oddVBand="0" w:evenVBand="0" w:oddHBand="0" w:evenHBand="0" w:firstRowFirstColumn="0" w:firstRowLastColumn="0" w:lastRowFirstColumn="0" w:lastRowLastColumn="0"/>
            </w:pPr>
            <w:r>
              <w:t>2.3</w:t>
            </w:r>
          </w:p>
        </w:tc>
        <w:tc>
          <w:tcPr>
            <w:tcW w:w="918" w:type="dxa"/>
            <w:gridSpan w:val="3"/>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t>2.25</w:t>
            </w:r>
          </w:p>
        </w:tc>
        <w:tc>
          <w:tcPr>
            <w:tcW w:w="994" w:type="dxa"/>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rsidRPr="00C06497">
              <w:t>2.50</w:t>
            </w:r>
          </w:p>
        </w:tc>
        <w:tc>
          <w:tcPr>
            <w:tcW w:w="994" w:type="dxa"/>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rsidRPr="00C06497">
              <w:t>2.50</w:t>
            </w:r>
          </w:p>
        </w:tc>
        <w:tc>
          <w:tcPr>
            <w:tcW w:w="997" w:type="dxa"/>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rsidRPr="00C06497">
              <w:t>2.50</w:t>
            </w:r>
          </w:p>
        </w:tc>
      </w:tr>
      <w:tr w:rsidR="004B6846" w:rsidRPr="00CD5C7E" w:rsidTr="00CC0EB7">
        <w:tc>
          <w:tcPr>
            <w:cnfStyle w:val="001000000000" w:firstRow="0" w:lastRow="0" w:firstColumn="1" w:lastColumn="0" w:oddVBand="0" w:evenVBand="0" w:oddHBand="0" w:evenHBand="0" w:firstRowFirstColumn="0" w:firstRowLastColumn="0" w:lastRowFirstColumn="0" w:lastRowLastColumn="0"/>
            <w:tcW w:w="2788" w:type="dxa"/>
          </w:tcPr>
          <w:p w:rsidR="004B6846" w:rsidRPr="00CD5C7E" w:rsidRDefault="004B6846" w:rsidP="00CC0EB7">
            <w:pPr>
              <w:ind w:left="0" w:firstLine="0"/>
            </w:pPr>
            <w:r w:rsidRPr="00CD5C7E">
              <w:t xml:space="preserve">Wage price index </w:t>
            </w:r>
            <w:r>
              <w:rPr>
                <w:vertAlign w:val="superscript"/>
              </w:rPr>
              <w:t>(d</w:t>
            </w:r>
            <w:r w:rsidRPr="00CD5C7E">
              <w:rPr>
                <w:vertAlign w:val="superscript"/>
              </w:rPr>
              <w:t>)</w:t>
            </w:r>
          </w:p>
        </w:tc>
        <w:tc>
          <w:tcPr>
            <w:tcW w:w="1069" w:type="dxa"/>
          </w:tcPr>
          <w:p w:rsidR="004B6846" w:rsidRPr="002C2A36" w:rsidRDefault="004B6846" w:rsidP="00CC0EB7">
            <w:pPr>
              <w:cnfStyle w:val="000000000000" w:firstRow="0" w:lastRow="0" w:firstColumn="0" w:lastColumn="0" w:oddVBand="0" w:evenVBand="0" w:oddHBand="0" w:evenHBand="0" w:firstRowFirstColumn="0" w:firstRowLastColumn="0" w:lastRowFirstColumn="0" w:lastRowLastColumn="0"/>
            </w:pPr>
            <w:r>
              <w:t>2.3</w:t>
            </w:r>
          </w:p>
        </w:tc>
        <w:tc>
          <w:tcPr>
            <w:tcW w:w="918" w:type="dxa"/>
            <w:gridSpan w:val="3"/>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t>2.75</w:t>
            </w:r>
          </w:p>
        </w:tc>
        <w:tc>
          <w:tcPr>
            <w:tcW w:w="994" w:type="dxa"/>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t>3.00</w:t>
            </w:r>
          </w:p>
        </w:tc>
        <w:tc>
          <w:tcPr>
            <w:tcW w:w="994" w:type="dxa"/>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t>3.25</w:t>
            </w:r>
          </w:p>
        </w:tc>
        <w:tc>
          <w:tcPr>
            <w:tcW w:w="997" w:type="dxa"/>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t>3.50</w:t>
            </w:r>
          </w:p>
        </w:tc>
      </w:tr>
      <w:tr w:rsidR="004B6846" w:rsidRPr="00CD5C7E" w:rsidTr="00CC0EB7">
        <w:tc>
          <w:tcPr>
            <w:cnfStyle w:val="001000000000" w:firstRow="0" w:lastRow="0" w:firstColumn="1" w:lastColumn="0" w:oddVBand="0" w:evenVBand="0" w:oddHBand="0" w:evenHBand="0" w:firstRowFirstColumn="0" w:firstRowLastColumn="0" w:lastRowFirstColumn="0" w:lastRowLastColumn="0"/>
            <w:tcW w:w="2788" w:type="dxa"/>
          </w:tcPr>
          <w:p w:rsidR="004B6846" w:rsidRPr="00CD5C7E" w:rsidRDefault="004B6846" w:rsidP="00CC0EB7">
            <w:pPr>
              <w:ind w:left="0" w:firstLine="0"/>
            </w:pPr>
            <w:r w:rsidRPr="00CD5C7E">
              <w:t xml:space="preserve">Population </w:t>
            </w:r>
            <w:r>
              <w:rPr>
                <w:vertAlign w:val="superscript"/>
              </w:rPr>
              <w:t>(e</w:t>
            </w:r>
            <w:r w:rsidRPr="00CD5C7E">
              <w:rPr>
                <w:vertAlign w:val="superscript"/>
              </w:rPr>
              <w:t>)</w:t>
            </w:r>
          </w:p>
        </w:tc>
        <w:tc>
          <w:tcPr>
            <w:tcW w:w="1203" w:type="dxa"/>
            <w:gridSpan w:val="3"/>
          </w:tcPr>
          <w:p w:rsidR="004B6846" w:rsidRPr="004123D7" w:rsidRDefault="004B6846" w:rsidP="00CC0EB7">
            <w:pPr>
              <w:cnfStyle w:val="000000000000" w:firstRow="0" w:lastRow="0" w:firstColumn="0" w:lastColumn="0" w:oddVBand="0" w:evenVBand="0" w:oddHBand="0" w:evenHBand="0" w:firstRowFirstColumn="0" w:firstRowLastColumn="0" w:lastRowFirstColumn="0" w:lastRowLastColumn="0"/>
            </w:pPr>
            <w:r w:rsidRPr="004123D7">
              <w:t>2.2</w:t>
            </w:r>
            <w:r>
              <w:t xml:space="preserve"> </w:t>
            </w:r>
            <w:r>
              <w:rPr>
                <w:vertAlign w:val="superscript"/>
              </w:rPr>
              <w:t>(f</w:t>
            </w:r>
            <w:r w:rsidRPr="00D85F7F">
              <w:rPr>
                <w:vertAlign w:val="superscript"/>
              </w:rPr>
              <w:t>)</w:t>
            </w:r>
          </w:p>
        </w:tc>
        <w:tc>
          <w:tcPr>
            <w:tcW w:w="784" w:type="dxa"/>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t>2.1</w:t>
            </w:r>
          </w:p>
        </w:tc>
        <w:tc>
          <w:tcPr>
            <w:tcW w:w="994" w:type="dxa"/>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t>2.0</w:t>
            </w:r>
          </w:p>
        </w:tc>
        <w:tc>
          <w:tcPr>
            <w:tcW w:w="994" w:type="dxa"/>
          </w:tcPr>
          <w:p w:rsidR="004B6846" w:rsidRPr="00C06497" w:rsidRDefault="004B6846" w:rsidP="00CC0EB7">
            <w:pPr>
              <w:cnfStyle w:val="000000000000" w:firstRow="0" w:lastRow="0" w:firstColumn="0" w:lastColumn="0" w:oddVBand="0" w:evenVBand="0" w:oddHBand="0" w:evenHBand="0" w:firstRowFirstColumn="0" w:firstRowLastColumn="0" w:lastRowFirstColumn="0" w:lastRowLastColumn="0"/>
            </w:pPr>
            <w:r>
              <w:t>1.9</w:t>
            </w:r>
          </w:p>
        </w:tc>
        <w:tc>
          <w:tcPr>
            <w:tcW w:w="997" w:type="dxa"/>
          </w:tcPr>
          <w:p w:rsidR="004B6846" w:rsidRDefault="004B6846" w:rsidP="00CC0EB7">
            <w:pPr>
              <w:cnfStyle w:val="000000000000" w:firstRow="0" w:lastRow="0" w:firstColumn="0" w:lastColumn="0" w:oddVBand="0" w:evenVBand="0" w:oddHBand="0" w:evenHBand="0" w:firstRowFirstColumn="0" w:firstRowLastColumn="0" w:lastRowFirstColumn="0" w:lastRowLastColumn="0"/>
            </w:pPr>
            <w:r>
              <w:t>1.9</w:t>
            </w:r>
          </w:p>
        </w:tc>
      </w:tr>
    </w:tbl>
    <w:p w:rsidR="004B6846" w:rsidRDefault="004B6846" w:rsidP="00CC0EB7">
      <w:pPr>
        <w:pStyle w:val="Source"/>
      </w:pPr>
      <w:r w:rsidRPr="008B258B">
        <w:t>Source: Department of Treasury and Finance</w:t>
      </w:r>
    </w:p>
    <w:p w:rsidR="004B6846" w:rsidRPr="006912E1" w:rsidRDefault="004B6846" w:rsidP="00CC0EB7">
      <w:pPr>
        <w:pStyle w:val="Note"/>
      </w:pPr>
      <w:r w:rsidRPr="006912E1">
        <w:t>Notes:</w:t>
      </w:r>
    </w:p>
    <w:p w:rsidR="004B6846" w:rsidRDefault="004B6846" w:rsidP="00CC0EB7">
      <w:pPr>
        <w:pStyle w:val="Note"/>
      </w:pPr>
      <w:r w:rsidRPr="006912E1">
        <w:t>(a)</w:t>
      </w:r>
      <w:r w:rsidRPr="006912E1">
        <w:tab/>
      </w:r>
      <w:r w:rsidRPr="006869F5">
        <w:t>Percentage change in year average terms compared with previous year, except for th</w:t>
      </w:r>
      <w:r>
        <w:t>e unemployment rate (see note (b)) and population (see note (e</w:t>
      </w:r>
      <w:r w:rsidRPr="006869F5">
        <w:t>)). Forecasts are rounded to the nearest 0.25 percentage points, ex</w:t>
      </w:r>
      <w:r>
        <w:t>cept for population (see note (e</w:t>
      </w:r>
      <w:r w:rsidRPr="006869F5">
        <w:t>)).</w:t>
      </w:r>
    </w:p>
    <w:p w:rsidR="004B6846" w:rsidRDefault="004B6846" w:rsidP="00CC0EB7">
      <w:pPr>
        <w:pStyle w:val="Note"/>
      </w:pPr>
      <w:r>
        <w:tab/>
        <w:t xml:space="preserve">Projections for 2020-21 and 2021-22 represent long-run average growth rates, except for the wage price index, which remains below trend in 2020-21, and population growth, which remains above trend by 2021-22. </w:t>
      </w:r>
    </w:p>
    <w:p w:rsidR="004B6846" w:rsidRDefault="004B6846" w:rsidP="00CC0EB7">
      <w:pPr>
        <w:pStyle w:val="Note"/>
      </w:pPr>
      <w:r>
        <w:tab/>
        <w:t>The key assumptions underlying the economic forecasts include: interest rates are reflective of movements in market expectations; an Australian dollar trade-weighted index of 62.5; and oil prices that follow the path suggested by the futures market.</w:t>
      </w:r>
    </w:p>
    <w:p w:rsidR="004B6846" w:rsidRPr="006912E1" w:rsidRDefault="004B6846" w:rsidP="00CC0EB7">
      <w:pPr>
        <w:pStyle w:val="Note"/>
      </w:pPr>
      <w:r>
        <w:t>(b</w:t>
      </w:r>
      <w:r w:rsidRPr="006912E1">
        <w:t xml:space="preserve">) </w:t>
      </w:r>
      <w:r w:rsidRPr="006912E1">
        <w:tab/>
        <w:t>Year average</w:t>
      </w:r>
      <w:r>
        <w:t>, per cent.</w:t>
      </w:r>
    </w:p>
    <w:p w:rsidR="004B6846" w:rsidRPr="006912E1" w:rsidRDefault="004B6846" w:rsidP="00CC0EB7">
      <w:pPr>
        <w:pStyle w:val="Note"/>
      </w:pPr>
      <w:r>
        <w:t>(c</w:t>
      </w:r>
      <w:r w:rsidRPr="006912E1">
        <w:t>)</w:t>
      </w:r>
      <w:r w:rsidRPr="006912E1">
        <w:tab/>
        <w:t>Melbourne consumer price index.</w:t>
      </w:r>
    </w:p>
    <w:p w:rsidR="004B6846" w:rsidRDefault="004B6846" w:rsidP="00CC0EB7">
      <w:pPr>
        <w:pStyle w:val="Note"/>
      </w:pPr>
      <w:r>
        <w:t>(d</w:t>
      </w:r>
      <w:r w:rsidRPr="006912E1">
        <w:t>)</w:t>
      </w:r>
      <w:r w:rsidRPr="006912E1">
        <w:tab/>
      </w:r>
      <w:r w:rsidRPr="009F3616">
        <w:t>Wage price index, Victoria (based on total hourly rates of pay, excluding bonuses).</w:t>
      </w:r>
      <w:r w:rsidRPr="006912E1">
        <w:t xml:space="preserve"> </w:t>
      </w:r>
    </w:p>
    <w:p w:rsidR="004B6846" w:rsidRDefault="004B6846" w:rsidP="00CC0EB7">
      <w:pPr>
        <w:pStyle w:val="Note"/>
      </w:pPr>
      <w:r>
        <w:t>(e</w:t>
      </w:r>
      <w:r w:rsidRPr="006912E1">
        <w:t>)</w:t>
      </w:r>
      <w:r w:rsidRPr="006912E1">
        <w:tab/>
        <w:t>Percentage change over the year to 30 June. Forecasts are rounded to the nearest 0.1 percentage point.</w:t>
      </w:r>
    </w:p>
    <w:p w:rsidR="004B6846" w:rsidRPr="006912E1" w:rsidRDefault="004B6846" w:rsidP="00CC0EB7">
      <w:pPr>
        <w:pStyle w:val="Note"/>
      </w:pPr>
      <w:r>
        <w:t>(f)</w:t>
      </w:r>
      <w:r>
        <w:tab/>
        <w:t>Estimate, actual not yet available.</w:t>
      </w:r>
    </w:p>
    <w:p w:rsidR="004B6846" w:rsidRDefault="004B6846" w:rsidP="00CC0EB7">
      <w:pPr>
        <w:pStyle w:val="Source"/>
      </w:pPr>
    </w:p>
    <w:p w:rsidR="004B6846" w:rsidRPr="009D1DC2" w:rsidRDefault="004B6846" w:rsidP="00CC0EB7">
      <w:pPr>
        <w:rPr>
          <w:b/>
          <w:bCs/>
          <w:lang w:val="en-US"/>
        </w:rPr>
      </w:pPr>
    </w:p>
    <w:p w:rsidR="004B6846" w:rsidRDefault="004B6846" w:rsidP="00A171DC"/>
    <w:p w:rsidR="004B6846" w:rsidRDefault="004B6846" w:rsidP="00A171DC"/>
    <w:p w:rsidR="004B6846" w:rsidRDefault="004B6846" w:rsidP="00A171DC">
      <w:r>
        <w:br w:type="page"/>
      </w:r>
    </w:p>
    <w:p w:rsidR="004B6846" w:rsidRDefault="004B6846" w:rsidP="004B6846">
      <w:pPr>
        <w:pStyle w:val="Heading2"/>
        <w:numPr>
          <w:ilvl w:val="1"/>
          <w:numId w:val="20"/>
        </w:numPr>
      </w:pPr>
      <w:r w:rsidRPr="004E4D8E">
        <w:lastRenderedPageBreak/>
        <w:t>HOW FUNDS ARE RAISED</w:t>
      </w:r>
    </w:p>
    <w:p w:rsidR="004B6846" w:rsidRDefault="004B6846" w:rsidP="00CC0EB7">
      <w:pPr>
        <w:pStyle w:val="Heading30"/>
        <w:pBdr>
          <w:bottom w:val="single" w:sz="4" w:space="1" w:color="auto"/>
        </w:pBdr>
        <w:sectPr w:rsidR="004B6846" w:rsidSect="00CC0EB7">
          <w:headerReference w:type="even" r:id="rId37"/>
          <w:headerReference w:type="default" r:id="rId38"/>
          <w:footerReference w:type="even" r:id="rId39"/>
          <w:footerReference w:type="default" r:id="rId40"/>
          <w:headerReference w:type="first" r:id="rId41"/>
          <w:footerReference w:type="first" r:id="rId42"/>
          <w:type w:val="oddPage"/>
          <w:pgSz w:w="9979" w:h="14175" w:code="9"/>
          <w:pgMar w:top="850" w:right="1134" w:bottom="850" w:left="1134" w:header="624" w:footer="567" w:gutter="0"/>
          <w:cols w:sep="1" w:space="567"/>
          <w:docGrid w:linePitch="360"/>
        </w:sectPr>
      </w:pPr>
    </w:p>
    <w:p w:rsidR="004B6846" w:rsidRDefault="004B6846" w:rsidP="00CC0EB7">
      <w:pPr>
        <w:pStyle w:val="Heading30"/>
        <w:pBdr>
          <w:bottom w:val="single" w:sz="4" w:space="1" w:color="auto"/>
        </w:pBdr>
      </w:pPr>
      <w:r>
        <w:t>Introduction</w:t>
      </w:r>
    </w:p>
    <w:p w:rsidR="004B6846" w:rsidRDefault="004B6846" w:rsidP="00CC0EB7">
      <w:r>
        <w:t>This section presents the sources and amounts of revenue forecast for the general government sector.</w:t>
      </w:r>
    </w:p>
    <w:p w:rsidR="004B6846" w:rsidRDefault="004B6846" w:rsidP="00CC0EB7">
      <w:r>
        <w:t>Revenue from transactions is recognised to the extent that it is probable that the economic benefits will flow to the entity and the revenue can be reliably estimated at fair value.</w:t>
      </w:r>
    </w:p>
    <w:p w:rsidR="004B6846" w:rsidRDefault="004B6846" w:rsidP="00D11960">
      <w:pPr>
        <w:pStyle w:val="Heading30"/>
        <w:pBdr>
          <w:bottom w:val="single" w:sz="4" w:space="1" w:color="auto"/>
        </w:pBdr>
        <w:spacing w:before="120"/>
      </w:pPr>
      <w:r>
        <w:br w:type="column"/>
      </w:r>
      <w:r>
        <w:t>Structure</w:t>
      </w:r>
    </w:p>
    <w:p w:rsidR="004B6846" w:rsidRDefault="004B6846" w:rsidP="00C7540B">
      <w:pPr>
        <w:pStyle w:val="TOC9"/>
        <w:rPr>
          <w:rFonts w:eastAsiaTheme="minorEastAsia"/>
          <w:noProof/>
          <w:spacing w:val="0"/>
          <w:lang w:eastAsia="en-AU"/>
        </w:rPr>
      </w:pPr>
      <w:r>
        <w:fldChar w:fldCharType="begin"/>
      </w:r>
      <w:r>
        <w:instrText xml:space="preserve"> TOC \h \z \t "Heading 3 (#),9" \b Section_2 \* MERGEFORMAT </w:instrText>
      </w:r>
      <w:r>
        <w:fldChar w:fldCharType="separate"/>
      </w:r>
      <w:hyperlink w:anchor="_Toc530147729" w:history="1">
        <w:r w:rsidRPr="005D2686">
          <w:rPr>
            <w:rStyle w:val="Hyperlink"/>
            <w:noProof/>
            <w:lang w:val="en-US"/>
          </w:rPr>
          <w:t>4.2.1</w:t>
        </w:r>
        <w:r>
          <w:rPr>
            <w:rFonts w:eastAsiaTheme="minorEastAsia"/>
            <w:noProof/>
            <w:spacing w:val="0"/>
            <w:lang w:eastAsia="en-AU"/>
          </w:rPr>
          <w:tab/>
        </w:r>
        <w:r>
          <w:rPr>
            <w:rStyle w:val="Hyperlink"/>
            <w:noProof/>
          </w:rPr>
          <w:t>Taxation revenue</w:t>
        </w:r>
        <w:r>
          <w:rPr>
            <w:noProof/>
            <w:webHidden/>
          </w:rPr>
          <w:tab/>
        </w:r>
        <w:r>
          <w:rPr>
            <w:noProof/>
            <w:webHidden/>
          </w:rPr>
          <w:fldChar w:fldCharType="begin"/>
        </w:r>
        <w:r>
          <w:rPr>
            <w:noProof/>
            <w:webHidden/>
          </w:rPr>
          <w:instrText xml:space="preserve"> PAGEREF _Toc530147729 \h </w:instrText>
        </w:r>
        <w:r>
          <w:rPr>
            <w:noProof/>
            <w:webHidden/>
          </w:rPr>
        </w:r>
        <w:r>
          <w:rPr>
            <w:noProof/>
            <w:webHidden/>
          </w:rPr>
          <w:fldChar w:fldCharType="separate"/>
        </w:r>
        <w:r w:rsidR="004B094E">
          <w:rPr>
            <w:noProof/>
            <w:webHidden/>
          </w:rPr>
          <w:t>2</w:t>
        </w:r>
        <w:r>
          <w:rPr>
            <w:noProof/>
            <w:webHidden/>
          </w:rPr>
          <w:fldChar w:fldCharType="end"/>
        </w:r>
      </w:hyperlink>
    </w:p>
    <w:p w:rsidR="004B6846" w:rsidRDefault="00F919DB" w:rsidP="00C7540B">
      <w:pPr>
        <w:pStyle w:val="TOC9"/>
        <w:rPr>
          <w:rFonts w:eastAsiaTheme="minorEastAsia"/>
          <w:noProof/>
          <w:spacing w:val="0"/>
          <w:lang w:eastAsia="en-AU"/>
        </w:rPr>
      </w:pPr>
      <w:hyperlink w:anchor="_Toc530147730" w:history="1">
        <w:r w:rsidR="004B6846" w:rsidRPr="005D2686">
          <w:rPr>
            <w:rStyle w:val="Hyperlink"/>
            <w:noProof/>
            <w:lang w:val="en-US"/>
          </w:rPr>
          <w:t>4.2.2</w:t>
        </w:r>
        <w:r w:rsidR="004B6846">
          <w:rPr>
            <w:rFonts w:eastAsiaTheme="minorEastAsia"/>
            <w:noProof/>
            <w:spacing w:val="0"/>
            <w:lang w:eastAsia="en-AU"/>
          </w:rPr>
          <w:tab/>
        </w:r>
        <w:r w:rsidR="004B6846" w:rsidRPr="005D2686">
          <w:rPr>
            <w:rStyle w:val="Hyperlink"/>
            <w:noProof/>
          </w:rPr>
          <w:t>Dividends, income tax equivalent and rat</w:t>
        </w:r>
        <w:r w:rsidR="004B6846">
          <w:rPr>
            <w:rStyle w:val="Hyperlink"/>
            <w:noProof/>
          </w:rPr>
          <w:t>e equivalent revenue</w:t>
        </w:r>
        <w:r w:rsidR="004B6846">
          <w:rPr>
            <w:noProof/>
            <w:webHidden/>
          </w:rPr>
          <w:tab/>
        </w:r>
        <w:r w:rsidR="004B6846">
          <w:rPr>
            <w:noProof/>
            <w:webHidden/>
          </w:rPr>
          <w:fldChar w:fldCharType="begin"/>
        </w:r>
        <w:r w:rsidR="004B6846">
          <w:rPr>
            <w:noProof/>
            <w:webHidden/>
          </w:rPr>
          <w:instrText xml:space="preserve"> PAGEREF _Toc530147730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F919DB" w:rsidP="00C7540B">
      <w:pPr>
        <w:pStyle w:val="TOC9"/>
        <w:rPr>
          <w:rFonts w:eastAsiaTheme="minorEastAsia"/>
          <w:noProof/>
          <w:spacing w:val="0"/>
          <w:lang w:eastAsia="en-AU"/>
        </w:rPr>
      </w:pPr>
      <w:hyperlink w:anchor="_Toc530147731" w:history="1">
        <w:r w:rsidR="004B6846" w:rsidRPr="005D2686">
          <w:rPr>
            <w:rStyle w:val="Hyperlink"/>
            <w:noProof/>
            <w:lang w:val="en-US"/>
          </w:rPr>
          <w:t>4.2.3</w:t>
        </w:r>
        <w:r w:rsidR="004B6846">
          <w:rPr>
            <w:rFonts w:eastAsiaTheme="minorEastAsia"/>
            <w:noProof/>
            <w:spacing w:val="0"/>
            <w:lang w:eastAsia="en-AU"/>
          </w:rPr>
          <w:tab/>
        </w:r>
        <w:r w:rsidR="004B6846" w:rsidRPr="005D2686">
          <w:rPr>
            <w:rStyle w:val="Hyperlink"/>
            <w:noProof/>
          </w:rPr>
          <w:t>Sales o</w:t>
        </w:r>
        <w:r w:rsidR="004B6846">
          <w:rPr>
            <w:rStyle w:val="Hyperlink"/>
            <w:noProof/>
          </w:rPr>
          <w:t>f goods and services</w:t>
        </w:r>
        <w:r w:rsidR="004B6846">
          <w:rPr>
            <w:noProof/>
            <w:webHidden/>
          </w:rPr>
          <w:tab/>
        </w:r>
        <w:r w:rsidR="004B6846">
          <w:rPr>
            <w:noProof/>
            <w:webHidden/>
          </w:rPr>
          <w:fldChar w:fldCharType="begin"/>
        </w:r>
        <w:r w:rsidR="004B6846">
          <w:rPr>
            <w:noProof/>
            <w:webHidden/>
          </w:rPr>
          <w:instrText xml:space="preserve"> PAGEREF _Toc530147731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F919DB" w:rsidP="00C7540B">
      <w:pPr>
        <w:pStyle w:val="TOC9"/>
        <w:rPr>
          <w:rFonts w:eastAsiaTheme="minorEastAsia"/>
          <w:noProof/>
          <w:spacing w:val="0"/>
          <w:lang w:eastAsia="en-AU"/>
        </w:rPr>
      </w:pPr>
      <w:hyperlink w:anchor="_Toc530147732" w:history="1">
        <w:r w:rsidR="004B6846" w:rsidRPr="005D2686">
          <w:rPr>
            <w:rStyle w:val="Hyperlink"/>
            <w:noProof/>
            <w:lang w:val="en-US"/>
          </w:rPr>
          <w:t>4.2.4</w:t>
        </w:r>
        <w:r w:rsidR="004B6846">
          <w:rPr>
            <w:rFonts w:eastAsiaTheme="minorEastAsia"/>
            <w:noProof/>
            <w:spacing w:val="0"/>
            <w:lang w:eastAsia="en-AU"/>
          </w:rPr>
          <w:tab/>
        </w:r>
        <w:r w:rsidR="004B6846">
          <w:rPr>
            <w:rStyle w:val="Hyperlink"/>
            <w:noProof/>
          </w:rPr>
          <w:t>Grant revenue</w:t>
        </w:r>
        <w:r w:rsidR="004B6846">
          <w:rPr>
            <w:noProof/>
            <w:webHidden/>
          </w:rPr>
          <w:tab/>
        </w:r>
        <w:r w:rsidR="004B6846">
          <w:rPr>
            <w:noProof/>
            <w:webHidden/>
          </w:rPr>
          <w:fldChar w:fldCharType="begin"/>
        </w:r>
        <w:r w:rsidR="004B6846">
          <w:rPr>
            <w:noProof/>
            <w:webHidden/>
          </w:rPr>
          <w:instrText xml:space="preserve"> PAGEREF _Toc530147732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F919DB" w:rsidP="00C7540B">
      <w:pPr>
        <w:pStyle w:val="TOC9"/>
      </w:pPr>
      <w:hyperlink w:anchor="_Toc530147733" w:history="1">
        <w:r w:rsidR="004B6846" w:rsidRPr="005D2686">
          <w:rPr>
            <w:rStyle w:val="Hyperlink"/>
            <w:noProof/>
            <w:lang w:val="en-US"/>
          </w:rPr>
          <w:t>4.2.5</w:t>
        </w:r>
        <w:r w:rsidR="004B6846">
          <w:rPr>
            <w:rFonts w:eastAsiaTheme="minorEastAsia"/>
            <w:noProof/>
            <w:spacing w:val="0"/>
            <w:lang w:eastAsia="en-AU"/>
          </w:rPr>
          <w:tab/>
        </w:r>
        <w:r w:rsidR="004B6846">
          <w:rPr>
            <w:rStyle w:val="Hyperlink"/>
            <w:noProof/>
          </w:rPr>
          <w:t>Other revenue</w:t>
        </w:r>
        <w:r w:rsidR="004B6846">
          <w:rPr>
            <w:noProof/>
            <w:webHidden/>
          </w:rPr>
          <w:tab/>
        </w:r>
        <w:r w:rsidR="004B6846">
          <w:rPr>
            <w:noProof/>
            <w:webHidden/>
          </w:rPr>
          <w:fldChar w:fldCharType="begin"/>
        </w:r>
        <w:r w:rsidR="004B6846">
          <w:rPr>
            <w:noProof/>
            <w:webHidden/>
          </w:rPr>
          <w:instrText xml:space="preserve"> PAGEREF _Toc530147733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r w:rsidR="004B6846">
        <w:rPr>
          <w:b/>
          <w:bCs/>
          <w:noProof/>
          <w:lang w:val="en-US"/>
        </w:rPr>
        <w:fldChar w:fldCharType="end"/>
      </w:r>
    </w:p>
    <w:p w:rsidR="004B6846" w:rsidRDefault="004B6846">
      <w:pPr>
        <w:keepLines w:val="0"/>
        <w:sectPr w:rsidR="004B6846" w:rsidSect="00CC0EB7">
          <w:headerReference w:type="even" r:id="rId43"/>
          <w:headerReference w:type="default" r:id="rId44"/>
          <w:footerReference w:type="even" r:id="rId45"/>
          <w:footerReference w:type="default" r:id="rId46"/>
          <w:headerReference w:type="first" r:id="rId47"/>
          <w:footerReference w:type="first" r:id="rId48"/>
          <w:type w:val="continuous"/>
          <w:pgSz w:w="9979" w:h="14175" w:code="9"/>
          <w:pgMar w:top="850" w:right="1134" w:bottom="850" w:left="1134" w:header="624" w:footer="567" w:gutter="0"/>
          <w:cols w:num="2" w:space="567"/>
          <w:titlePg/>
          <w:docGrid w:linePitch="360"/>
        </w:sectPr>
      </w:pPr>
    </w:p>
    <w:p w:rsidR="004B6846" w:rsidRPr="008D5734" w:rsidRDefault="004B6846" w:rsidP="004B6846">
      <w:pPr>
        <w:pStyle w:val="Heading3"/>
        <w:numPr>
          <w:ilvl w:val="2"/>
          <w:numId w:val="19"/>
        </w:numPr>
        <w:spacing w:before="120" w:after="60"/>
        <w:rPr>
          <w:lang w:val="en-US"/>
        </w:rPr>
      </w:pPr>
      <w:bookmarkStart w:id="39" w:name="_Toc530147729"/>
      <w:bookmarkStart w:id="40" w:name="Section_2"/>
      <w:r w:rsidRPr="007C6C55">
        <w:t>Taxation</w:t>
      </w:r>
      <w:r w:rsidRPr="008C4F9A">
        <w:t xml:space="preserve"> revenue</w:t>
      </w:r>
      <w:r>
        <w:tab/>
      </w:r>
      <w:r w:rsidRPr="008C4F9A">
        <w:t>($ million)</w:t>
      </w:r>
      <w:bookmarkEnd w:id="39"/>
    </w:p>
    <w:tbl>
      <w:tblPr>
        <w:tblStyle w:val="DTFTable"/>
        <w:tblW w:w="7768" w:type="dxa"/>
        <w:tblInd w:w="45" w:type="dxa"/>
        <w:tblLayout w:type="fixed"/>
        <w:tblCellMar>
          <w:left w:w="45" w:type="dxa"/>
          <w:right w:w="45" w:type="dxa"/>
        </w:tblCellMar>
        <w:tblLook w:val="06A0" w:firstRow="1" w:lastRow="0" w:firstColumn="1" w:lastColumn="0" w:noHBand="1" w:noVBand="1"/>
      </w:tblPr>
      <w:tblGrid>
        <w:gridCol w:w="3685"/>
        <w:gridCol w:w="794"/>
        <w:gridCol w:w="839"/>
        <w:gridCol w:w="828"/>
        <w:gridCol w:w="811"/>
        <w:gridCol w:w="811"/>
      </w:tblGrid>
      <w:tr w:rsidR="00CC0EB7" w:rsidRPr="008D5734" w:rsidTr="00D11960">
        <w:trPr>
          <w:cnfStyle w:val="100000000000" w:firstRow="1" w:lastRow="0" w:firstColumn="0" w:lastColumn="0" w:oddVBand="0" w:evenVBand="0" w:oddHBand="0" w:evenHBand="0" w:firstRowFirstColumn="0" w:firstRowLastColumn="0" w:lastRowFirstColumn="0" w:lastRowLastColumn="0"/>
          <w:trHeight w:val="88"/>
          <w:tblHeader/>
        </w:trPr>
        <w:tc>
          <w:tcPr>
            <w:cnfStyle w:val="001000000000" w:firstRow="0" w:lastRow="0" w:firstColumn="1" w:lastColumn="0" w:oddVBand="0" w:evenVBand="0" w:oddHBand="0" w:evenHBand="0" w:firstRowFirstColumn="0" w:firstRowLastColumn="0" w:lastRowFirstColumn="0" w:lastRowLastColumn="0"/>
            <w:tcW w:w="3685" w:type="dxa"/>
            <w:tcBorders>
              <w:top w:val="nil"/>
              <w:left w:val="nil"/>
              <w:right w:val="nil"/>
            </w:tcBorders>
            <w:shd w:val="solid" w:color="000000" w:fill="auto"/>
          </w:tcPr>
          <w:p w:rsidR="00CC0EB7" w:rsidRPr="008D5734" w:rsidRDefault="00CC0EB7" w:rsidP="00CC0EB7">
            <w:pPr>
              <w:autoSpaceDE w:val="0"/>
              <w:autoSpaceDN w:val="0"/>
              <w:adjustRightInd w:val="0"/>
              <w:spacing w:before="10" w:after="10"/>
              <w:rPr>
                <w:rFonts w:eastAsiaTheme="minorEastAsia" w:cs="Calibri"/>
                <w:iCs/>
                <w:color w:val="FFFFFF"/>
                <w:sz w:val="16"/>
                <w:lang w:eastAsia="en-AU"/>
              </w:rPr>
            </w:pPr>
            <w:r w:rsidRPr="008D5734">
              <w:rPr>
                <w:rFonts w:eastAsiaTheme="minorEastAsia" w:cs="Calibri"/>
                <w:iCs/>
                <w:color w:val="FFFFFF"/>
                <w:sz w:val="16"/>
                <w:lang w:eastAsia="en-AU"/>
              </w:rPr>
              <w:t xml:space="preserve">  </w:t>
            </w:r>
          </w:p>
        </w:tc>
        <w:tc>
          <w:tcPr>
            <w:tcW w:w="794" w:type="dxa"/>
            <w:tcBorders>
              <w:top w:val="nil"/>
              <w:left w:val="nil"/>
              <w:right w:val="nil"/>
            </w:tcBorders>
            <w:shd w:val="solid" w:color="000000" w:fill="auto"/>
          </w:tcPr>
          <w:p w:rsidR="00CC0EB7" w:rsidRPr="008D5734" w:rsidRDefault="00CC0EB7" w:rsidP="00CC0EB7">
            <w:pPr>
              <w:keepLines w:val="0"/>
              <w:autoSpaceDE w:val="0"/>
              <w:autoSpaceDN w:val="0"/>
              <w:adjustRightInd w:val="0"/>
              <w:spacing w:before="10" w:after="1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8"/>
                <w:lang w:eastAsia="en-AU"/>
              </w:rPr>
            </w:pPr>
            <w:r w:rsidRPr="008D5734">
              <w:rPr>
                <w:rFonts w:eastAsiaTheme="minorEastAsia" w:cs="Calibri"/>
                <w:iCs/>
                <w:color w:val="FFFFFF"/>
                <w:sz w:val="16"/>
                <w:szCs w:val="18"/>
                <w:lang w:eastAsia="en-AU"/>
              </w:rPr>
              <w:t>2018-19</w:t>
            </w:r>
            <w:r>
              <w:rPr>
                <w:rFonts w:eastAsiaTheme="minorEastAsia" w:cs="Calibri"/>
                <w:iCs/>
                <w:color w:val="FFFFFF"/>
                <w:sz w:val="16"/>
                <w:szCs w:val="18"/>
                <w:lang w:eastAsia="en-AU"/>
              </w:rPr>
              <w:br/>
            </w:r>
            <w:r w:rsidRPr="008D5734">
              <w:rPr>
                <w:rFonts w:eastAsiaTheme="minorEastAsia" w:cs="Calibri"/>
                <w:iCs/>
                <w:color w:val="FFFFFF"/>
                <w:sz w:val="16"/>
                <w:szCs w:val="18"/>
                <w:lang w:eastAsia="en-AU"/>
              </w:rPr>
              <w:t>budget</w:t>
            </w:r>
          </w:p>
        </w:tc>
        <w:tc>
          <w:tcPr>
            <w:tcW w:w="839" w:type="dxa"/>
            <w:tcBorders>
              <w:top w:val="nil"/>
              <w:left w:val="nil"/>
              <w:right w:val="nil"/>
            </w:tcBorders>
            <w:shd w:val="solid" w:color="000000" w:fill="auto"/>
          </w:tcPr>
          <w:p w:rsidR="00CC0EB7" w:rsidRPr="008D5734" w:rsidRDefault="00CC0EB7" w:rsidP="00CC0EB7">
            <w:pPr>
              <w:keepLines w:val="0"/>
              <w:autoSpaceDE w:val="0"/>
              <w:autoSpaceDN w:val="0"/>
              <w:adjustRightInd w:val="0"/>
              <w:spacing w:before="10" w:after="1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8"/>
                <w:lang w:eastAsia="en-AU"/>
              </w:rPr>
            </w:pPr>
            <w:r w:rsidRPr="008D5734">
              <w:rPr>
                <w:rFonts w:eastAsiaTheme="minorEastAsia" w:cs="Calibri"/>
                <w:iCs/>
                <w:color w:val="FFFFFF"/>
                <w:sz w:val="16"/>
                <w:szCs w:val="18"/>
                <w:lang w:eastAsia="en-AU"/>
              </w:rPr>
              <w:t>2018-19</w:t>
            </w:r>
            <w:r>
              <w:rPr>
                <w:rFonts w:eastAsiaTheme="minorEastAsia" w:cs="Calibri"/>
                <w:iCs/>
                <w:color w:val="FFFFFF"/>
                <w:sz w:val="16"/>
                <w:szCs w:val="18"/>
                <w:lang w:eastAsia="en-AU"/>
              </w:rPr>
              <w:br/>
            </w:r>
            <w:r w:rsidRPr="008D5734">
              <w:rPr>
                <w:rFonts w:eastAsiaTheme="minorEastAsia" w:cs="Calibri"/>
                <w:iCs/>
                <w:color w:val="FFFFFF"/>
                <w:sz w:val="16"/>
                <w:szCs w:val="18"/>
                <w:lang w:eastAsia="en-AU"/>
              </w:rPr>
              <w:t>revised</w:t>
            </w:r>
          </w:p>
        </w:tc>
        <w:tc>
          <w:tcPr>
            <w:tcW w:w="828" w:type="dxa"/>
            <w:tcBorders>
              <w:top w:val="nil"/>
              <w:left w:val="nil"/>
              <w:right w:val="nil"/>
            </w:tcBorders>
            <w:shd w:val="solid" w:color="000000" w:fill="auto"/>
          </w:tcPr>
          <w:p w:rsidR="00CC0EB7" w:rsidRPr="008D5734" w:rsidRDefault="00CC0EB7" w:rsidP="00CC0EB7">
            <w:pPr>
              <w:keepLines w:val="0"/>
              <w:autoSpaceDE w:val="0"/>
              <w:autoSpaceDN w:val="0"/>
              <w:adjustRightInd w:val="0"/>
              <w:spacing w:before="10" w:after="1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8"/>
                <w:lang w:eastAsia="en-AU"/>
              </w:rPr>
            </w:pPr>
            <w:r w:rsidRPr="008D5734">
              <w:rPr>
                <w:rFonts w:eastAsiaTheme="minorEastAsia" w:cs="Calibri"/>
                <w:iCs/>
                <w:color w:val="FFFFFF"/>
                <w:sz w:val="16"/>
                <w:szCs w:val="18"/>
                <w:lang w:eastAsia="en-AU"/>
              </w:rPr>
              <w:t>2019-20</w:t>
            </w:r>
            <w:r>
              <w:rPr>
                <w:rFonts w:eastAsiaTheme="minorEastAsia" w:cs="Calibri"/>
                <w:iCs/>
                <w:color w:val="FFFFFF"/>
                <w:sz w:val="16"/>
                <w:szCs w:val="18"/>
                <w:lang w:eastAsia="en-AU"/>
              </w:rPr>
              <w:br/>
            </w:r>
            <w:r w:rsidRPr="008D5734">
              <w:rPr>
                <w:rFonts w:eastAsiaTheme="minorEastAsia" w:cs="Calibri"/>
                <w:iCs/>
                <w:color w:val="FFFFFF"/>
                <w:sz w:val="16"/>
                <w:szCs w:val="18"/>
                <w:lang w:eastAsia="en-AU"/>
              </w:rPr>
              <w:t>estimate</w:t>
            </w:r>
          </w:p>
        </w:tc>
        <w:tc>
          <w:tcPr>
            <w:tcW w:w="811" w:type="dxa"/>
            <w:tcBorders>
              <w:top w:val="nil"/>
              <w:left w:val="nil"/>
              <w:right w:val="nil"/>
            </w:tcBorders>
            <w:shd w:val="solid" w:color="000000" w:fill="auto"/>
          </w:tcPr>
          <w:p w:rsidR="00CC0EB7" w:rsidRPr="008D5734" w:rsidRDefault="00CC0EB7" w:rsidP="00CC0EB7">
            <w:pPr>
              <w:keepLines w:val="0"/>
              <w:autoSpaceDE w:val="0"/>
              <w:autoSpaceDN w:val="0"/>
              <w:adjustRightInd w:val="0"/>
              <w:spacing w:before="10" w:after="1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8"/>
                <w:lang w:eastAsia="en-AU"/>
              </w:rPr>
            </w:pPr>
            <w:r w:rsidRPr="008D5734">
              <w:rPr>
                <w:rFonts w:eastAsiaTheme="minorEastAsia" w:cs="Calibri"/>
                <w:iCs/>
                <w:color w:val="FFFFFF"/>
                <w:sz w:val="16"/>
                <w:szCs w:val="18"/>
                <w:lang w:eastAsia="en-AU"/>
              </w:rPr>
              <w:t>2020-21</w:t>
            </w:r>
            <w:r>
              <w:rPr>
                <w:rFonts w:eastAsiaTheme="minorEastAsia" w:cs="Calibri"/>
                <w:iCs/>
                <w:color w:val="FFFFFF"/>
                <w:sz w:val="16"/>
                <w:szCs w:val="18"/>
                <w:lang w:eastAsia="en-AU"/>
              </w:rPr>
              <w:br/>
            </w:r>
            <w:r w:rsidRPr="008D5734">
              <w:rPr>
                <w:rFonts w:eastAsiaTheme="minorEastAsia" w:cs="Calibri"/>
                <w:iCs/>
                <w:color w:val="FFFFFF"/>
                <w:sz w:val="16"/>
                <w:szCs w:val="18"/>
                <w:lang w:eastAsia="en-AU"/>
              </w:rPr>
              <w:t>estimate</w:t>
            </w:r>
          </w:p>
        </w:tc>
        <w:tc>
          <w:tcPr>
            <w:tcW w:w="811" w:type="dxa"/>
            <w:tcBorders>
              <w:top w:val="nil"/>
              <w:left w:val="nil"/>
              <w:right w:val="nil"/>
            </w:tcBorders>
            <w:shd w:val="solid" w:color="000000" w:fill="auto"/>
          </w:tcPr>
          <w:p w:rsidR="00CC0EB7" w:rsidRPr="008D5734" w:rsidRDefault="00CC0EB7" w:rsidP="00CC0EB7">
            <w:pPr>
              <w:keepLines w:val="0"/>
              <w:autoSpaceDE w:val="0"/>
              <w:autoSpaceDN w:val="0"/>
              <w:adjustRightInd w:val="0"/>
              <w:spacing w:before="10" w:after="1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8"/>
                <w:lang w:eastAsia="en-AU"/>
              </w:rPr>
            </w:pPr>
            <w:r w:rsidRPr="008D5734">
              <w:rPr>
                <w:rFonts w:eastAsiaTheme="minorEastAsia" w:cs="Calibri"/>
                <w:iCs/>
                <w:color w:val="FFFFFF"/>
                <w:sz w:val="16"/>
                <w:szCs w:val="18"/>
                <w:lang w:eastAsia="en-AU"/>
              </w:rPr>
              <w:t>2021-22</w:t>
            </w:r>
            <w:r>
              <w:rPr>
                <w:rFonts w:eastAsiaTheme="minorEastAsia" w:cs="Calibri"/>
                <w:iCs/>
                <w:color w:val="FFFFFF"/>
                <w:sz w:val="16"/>
                <w:szCs w:val="18"/>
                <w:lang w:eastAsia="en-AU"/>
              </w:rPr>
              <w:br/>
            </w:r>
            <w:r w:rsidRPr="008D5734">
              <w:rPr>
                <w:rFonts w:eastAsiaTheme="minorEastAsia" w:cs="Calibri"/>
                <w:iCs/>
                <w:color w:val="FFFFFF"/>
                <w:sz w:val="16"/>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before="10" w:after="1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Taxes on employers’ payroll and labour force</w:t>
            </w:r>
          </w:p>
        </w:tc>
        <w:tc>
          <w:tcPr>
            <w:tcW w:w="794"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6 193</w:t>
            </w:r>
          </w:p>
        </w:tc>
        <w:tc>
          <w:tcPr>
            <w:tcW w:w="839"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6 327</w:t>
            </w:r>
          </w:p>
        </w:tc>
        <w:tc>
          <w:tcPr>
            <w:tcW w:w="828"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6 605</w:t>
            </w:r>
          </w:p>
        </w:tc>
        <w:tc>
          <w:tcPr>
            <w:tcW w:w="811"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6 903</w:t>
            </w:r>
          </w:p>
        </w:tc>
        <w:tc>
          <w:tcPr>
            <w:tcW w:w="811"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7 234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Taxes on immovable property</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color w:val="000000"/>
                <w:sz w:val="16"/>
                <w:szCs w:val="18"/>
                <w:lang w:eastAsia="en-AU"/>
              </w:rPr>
            </w:pPr>
            <w:r w:rsidRPr="008D5734">
              <w:rPr>
                <w:rFonts w:eastAsiaTheme="minorEastAsia" w:cs="Calibri"/>
                <w:color w:val="000000"/>
                <w:sz w:val="16"/>
                <w:szCs w:val="18"/>
                <w:lang w:eastAsia="en-AU"/>
              </w:rPr>
              <w:t>Land tax</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3 093</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3 433</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3 620</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3 696</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4 016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color w:val="000000"/>
                <w:sz w:val="16"/>
                <w:szCs w:val="18"/>
                <w:lang w:eastAsia="en-AU"/>
              </w:rPr>
            </w:pPr>
            <w:r w:rsidRPr="008D5734">
              <w:rPr>
                <w:rFonts w:eastAsiaTheme="minorEastAsia" w:cs="Calibri"/>
                <w:color w:val="000000"/>
                <w:sz w:val="16"/>
                <w:szCs w:val="18"/>
                <w:lang w:eastAsia="en-AU"/>
              </w:rPr>
              <w:t xml:space="preserve">Fire Services Property Levy </w:t>
            </w:r>
            <w:r w:rsidRPr="008D5734">
              <w:rPr>
                <w:rFonts w:eastAsiaTheme="minorEastAsia" w:cs="Calibri"/>
                <w:color w:val="000000"/>
                <w:sz w:val="16"/>
                <w:szCs w:val="18"/>
                <w:vertAlign w:val="superscript"/>
                <w:lang w:eastAsia="en-AU"/>
              </w:rPr>
              <w:t>(a)</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642</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644</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698</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719</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738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color w:val="000000"/>
                <w:sz w:val="16"/>
                <w:szCs w:val="18"/>
                <w:lang w:eastAsia="en-AU"/>
              </w:rPr>
            </w:pPr>
            <w:r w:rsidRPr="008D5734">
              <w:rPr>
                <w:rFonts w:eastAsiaTheme="minorEastAsia" w:cs="Calibri"/>
                <w:color w:val="000000"/>
                <w:sz w:val="16"/>
                <w:szCs w:val="18"/>
                <w:lang w:eastAsia="en-AU"/>
              </w:rPr>
              <w:t>Congestion levy</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122</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104</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105</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105</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106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color w:val="000000"/>
                <w:sz w:val="16"/>
                <w:szCs w:val="18"/>
                <w:lang w:eastAsia="en-AU"/>
              </w:rPr>
            </w:pPr>
            <w:r w:rsidRPr="008D5734">
              <w:rPr>
                <w:rFonts w:eastAsiaTheme="minorEastAsia" w:cs="Calibri"/>
                <w:color w:val="000000"/>
                <w:sz w:val="16"/>
                <w:szCs w:val="18"/>
                <w:lang w:eastAsia="en-AU"/>
              </w:rPr>
              <w:t>Metropolitan improvement levy</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169</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169</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174</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178</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182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before="10" w:after="1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Total taxes on property</w:t>
            </w:r>
          </w:p>
        </w:tc>
        <w:tc>
          <w:tcPr>
            <w:tcW w:w="794"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4 026</w:t>
            </w:r>
          </w:p>
        </w:tc>
        <w:tc>
          <w:tcPr>
            <w:tcW w:w="839"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4 350</w:t>
            </w:r>
          </w:p>
        </w:tc>
        <w:tc>
          <w:tcPr>
            <w:tcW w:w="828"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4 597</w:t>
            </w:r>
          </w:p>
        </w:tc>
        <w:tc>
          <w:tcPr>
            <w:tcW w:w="811"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4 698</w:t>
            </w:r>
          </w:p>
        </w:tc>
        <w:tc>
          <w:tcPr>
            <w:tcW w:w="811"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5 042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Gambling taxes</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color w:val="000000"/>
                <w:sz w:val="16"/>
                <w:szCs w:val="18"/>
                <w:lang w:eastAsia="en-AU"/>
              </w:rPr>
            </w:pPr>
            <w:r w:rsidRPr="008D5734">
              <w:rPr>
                <w:rFonts w:eastAsiaTheme="minorEastAsia" w:cs="Calibri"/>
                <w:color w:val="000000"/>
                <w:sz w:val="16"/>
                <w:szCs w:val="18"/>
                <w:lang w:eastAsia="en-AU"/>
              </w:rPr>
              <w:t>Public lotteries</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418</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424</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424</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424</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424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color w:val="000000"/>
                <w:sz w:val="16"/>
                <w:szCs w:val="18"/>
                <w:lang w:eastAsia="en-AU"/>
              </w:rPr>
            </w:pPr>
            <w:r w:rsidRPr="008D5734">
              <w:rPr>
                <w:rFonts w:eastAsiaTheme="minorEastAsia" w:cs="Calibri"/>
                <w:color w:val="000000"/>
                <w:sz w:val="16"/>
                <w:szCs w:val="18"/>
                <w:lang w:eastAsia="en-AU"/>
              </w:rPr>
              <w:t>Electronic gaming machines</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1 119</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1 147</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1 154</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1 167</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1 180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color w:val="000000"/>
                <w:sz w:val="16"/>
                <w:szCs w:val="18"/>
                <w:lang w:eastAsia="en-AU"/>
              </w:rPr>
            </w:pPr>
            <w:r w:rsidRPr="008D5734">
              <w:rPr>
                <w:rFonts w:eastAsiaTheme="minorEastAsia" w:cs="Calibri"/>
                <w:color w:val="000000"/>
                <w:sz w:val="16"/>
                <w:szCs w:val="18"/>
                <w:lang w:eastAsia="en-AU"/>
              </w:rPr>
              <w:t>Casino</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237</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239</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247</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254</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261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color w:val="000000"/>
                <w:sz w:val="16"/>
                <w:szCs w:val="18"/>
                <w:lang w:eastAsia="en-AU"/>
              </w:rPr>
            </w:pPr>
            <w:r w:rsidRPr="008D5734">
              <w:rPr>
                <w:rFonts w:eastAsiaTheme="minorEastAsia" w:cs="Calibri"/>
                <w:color w:val="000000"/>
                <w:sz w:val="16"/>
                <w:szCs w:val="18"/>
                <w:lang w:eastAsia="en-AU"/>
              </w:rPr>
              <w:t xml:space="preserve">Racing and other sports betting </w:t>
            </w:r>
            <w:r w:rsidRPr="008D5734">
              <w:rPr>
                <w:rFonts w:eastAsiaTheme="minorEastAsia" w:cs="Calibri"/>
                <w:color w:val="000000"/>
                <w:sz w:val="16"/>
                <w:szCs w:val="18"/>
                <w:vertAlign w:val="superscript"/>
                <w:lang w:eastAsia="en-AU"/>
              </w:rPr>
              <w:t>(b)</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70</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106</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140</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143</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147</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color w:val="000000"/>
                <w:sz w:val="16"/>
                <w:szCs w:val="18"/>
                <w:lang w:eastAsia="en-AU"/>
              </w:rPr>
            </w:pPr>
            <w:r w:rsidRPr="008D5734">
              <w:rPr>
                <w:rFonts w:eastAsiaTheme="minorEastAsia" w:cs="Calibri"/>
                <w:color w:val="000000"/>
                <w:sz w:val="16"/>
                <w:szCs w:val="18"/>
                <w:lang w:eastAsia="en-AU"/>
              </w:rPr>
              <w:t xml:space="preserve">Other </w:t>
            </w:r>
            <w:r w:rsidRPr="008D5734">
              <w:rPr>
                <w:rFonts w:eastAsiaTheme="minorEastAsia" w:cs="Calibri"/>
                <w:color w:val="000000"/>
                <w:sz w:val="16"/>
                <w:szCs w:val="18"/>
                <w:vertAlign w:val="superscript"/>
                <w:lang w:eastAsia="en-AU"/>
              </w:rPr>
              <w:t>(b)</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32</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13</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13</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14</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Financial and capital transactions</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color w:val="000000"/>
                <w:sz w:val="16"/>
                <w:szCs w:val="18"/>
                <w:lang w:eastAsia="en-AU"/>
              </w:rPr>
            </w:pPr>
            <w:r w:rsidRPr="008D5734">
              <w:rPr>
                <w:rFonts w:eastAsiaTheme="minorEastAsia" w:cs="Calibri"/>
                <w:color w:val="000000"/>
                <w:sz w:val="16"/>
                <w:szCs w:val="18"/>
                <w:lang w:eastAsia="en-AU"/>
              </w:rPr>
              <w:t>Land transfer duty</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7 067</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6 463</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6 598</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6 863</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7 171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color w:val="000000"/>
                <w:sz w:val="16"/>
                <w:szCs w:val="18"/>
                <w:lang w:eastAsia="en-AU"/>
              </w:rPr>
            </w:pPr>
            <w:r w:rsidRPr="008D5734">
              <w:rPr>
                <w:rFonts w:eastAsiaTheme="minorEastAsia" w:cs="Calibri"/>
                <w:color w:val="000000"/>
                <w:sz w:val="16"/>
                <w:szCs w:val="18"/>
                <w:lang w:eastAsia="en-AU"/>
              </w:rPr>
              <w:t>Metropolitan planning levy</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26</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24</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23</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24</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color w:val="000000"/>
                <w:sz w:val="16"/>
                <w:szCs w:val="18"/>
                <w:lang w:eastAsia="en-AU"/>
              </w:rPr>
            </w:pPr>
            <w:r w:rsidRPr="008D5734">
              <w:rPr>
                <w:rFonts w:eastAsiaTheme="minorEastAsia" w:cs="Calibri"/>
                <w:color w:val="000000"/>
                <w:sz w:val="16"/>
                <w:szCs w:val="18"/>
                <w:lang w:eastAsia="en-AU"/>
              </w:rPr>
              <w:t>Financial accommodation levy</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174</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170</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193</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209</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222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color w:val="000000"/>
                <w:sz w:val="16"/>
                <w:szCs w:val="18"/>
                <w:lang w:eastAsia="en-AU"/>
              </w:rPr>
            </w:pPr>
            <w:r w:rsidRPr="008D5734">
              <w:rPr>
                <w:rFonts w:eastAsiaTheme="minorEastAsia" w:cs="Calibri"/>
                <w:color w:val="000000"/>
                <w:sz w:val="16"/>
                <w:szCs w:val="18"/>
                <w:lang w:eastAsia="en-AU"/>
              </w:rPr>
              <w:t>Growth areas infrastructure contributions</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238</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287</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300</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330</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369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 xml:space="preserve">Levies on statutory corporations </w:t>
            </w:r>
            <w:r w:rsidRPr="008D5734">
              <w:rPr>
                <w:rFonts w:eastAsiaTheme="minorEastAsia" w:cs="Calibri"/>
                <w:b/>
                <w:bCs/>
                <w:color w:val="000000"/>
                <w:sz w:val="16"/>
                <w:szCs w:val="18"/>
                <w:vertAlign w:val="superscript"/>
                <w:lang w:eastAsia="en-AU"/>
              </w:rPr>
              <w:t>(c)</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157</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157</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157</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Taxes on insurance</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1 367</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1 400</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1 491</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1 582</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1 679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before="10" w:after="1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Total taxes on the provision of goods and services</w:t>
            </w:r>
          </w:p>
        </w:tc>
        <w:tc>
          <w:tcPr>
            <w:tcW w:w="794"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10 904</w:t>
            </w:r>
          </w:p>
        </w:tc>
        <w:tc>
          <w:tcPr>
            <w:tcW w:w="839"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10 429</w:t>
            </w:r>
          </w:p>
        </w:tc>
        <w:tc>
          <w:tcPr>
            <w:tcW w:w="828"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10 739</w:t>
            </w:r>
          </w:p>
        </w:tc>
        <w:tc>
          <w:tcPr>
            <w:tcW w:w="811"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11 010</w:t>
            </w:r>
          </w:p>
        </w:tc>
        <w:tc>
          <w:tcPr>
            <w:tcW w:w="811"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11 493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Motor vehicle taxes</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D5734">
              <w:rPr>
                <w:rFonts w:eastAsiaTheme="minorEastAsia" w:cs="Calibri"/>
                <w:b/>
                <w:bCs/>
                <w:color w:val="000000"/>
                <w:sz w:val="16"/>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color w:val="000000"/>
                <w:sz w:val="16"/>
                <w:szCs w:val="18"/>
                <w:lang w:eastAsia="en-AU"/>
              </w:rPr>
            </w:pPr>
            <w:r w:rsidRPr="008D5734">
              <w:rPr>
                <w:rFonts w:eastAsiaTheme="minorEastAsia" w:cs="Calibri"/>
                <w:color w:val="000000"/>
                <w:sz w:val="16"/>
                <w:szCs w:val="18"/>
                <w:lang w:eastAsia="en-AU"/>
              </w:rPr>
              <w:t>Vehicle registration fees</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1 676</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1 701</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1 792</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1 869</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1 950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color w:val="000000"/>
                <w:sz w:val="16"/>
                <w:szCs w:val="18"/>
                <w:lang w:eastAsia="en-AU"/>
              </w:rPr>
            </w:pPr>
            <w:r w:rsidRPr="008D5734">
              <w:rPr>
                <w:rFonts w:eastAsiaTheme="minorEastAsia" w:cs="Calibri"/>
                <w:color w:val="000000"/>
                <w:sz w:val="16"/>
                <w:szCs w:val="18"/>
                <w:lang w:eastAsia="en-AU"/>
              </w:rPr>
              <w:t>Duty on vehicle registrations and transfers</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975</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977</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1 012</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1 047</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8D5734">
              <w:rPr>
                <w:rFonts w:eastAsiaTheme="minorEastAsia" w:cs="Arial"/>
                <w:color w:val="000000"/>
                <w:sz w:val="16"/>
                <w:szCs w:val="18"/>
                <w:lang w:eastAsia="en-AU"/>
              </w:rPr>
              <w:t>1 084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Liquor licence fees</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24</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24</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25</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25</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Other</w:t>
            </w:r>
          </w:p>
        </w:tc>
        <w:tc>
          <w:tcPr>
            <w:tcW w:w="794"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283</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283</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281</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284</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286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spacing w:before="10" w:after="1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Total taxes on the use of goods and performance of activities</w:t>
            </w:r>
          </w:p>
        </w:tc>
        <w:tc>
          <w:tcPr>
            <w:tcW w:w="794"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2 957</w:t>
            </w:r>
          </w:p>
        </w:tc>
        <w:tc>
          <w:tcPr>
            <w:tcW w:w="839"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2 986</w:t>
            </w:r>
          </w:p>
        </w:tc>
        <w:tc>
          <w:tcPr>
            <w:tcW w:w="828"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3 109</w:t>
            </w:r>
          </w:p>
        </w:tc>
        <w:tc>
          <w:tcPr>
            <w:tcW w:w="811"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3 226</w:t>
            </w:r>
          </w:p>
        </w:tc>
        <w:tc>
          <w:tcPr>
            <w:tcW w:w="811"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3 346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spacing w:before="10" w:after="10"/>
              <w:rPr>
                <w:rFonts w:eastAsiaTheme="minorEastAsia" w:cs="Calibri"/>
                <w:b/>
                <w:bCs/>
                <w:color w:val="000000"/>
                <w:sz w:val="16"/>
                <w:szCs w:val="18"/>
                <w:lang w:eastAsia="en-AU"/>
              </w:rPr>
            </w:pPr>
            <w:r w:rsidRPr="008D5734">
              <w:rPr>
                <w:rFonts w:eastAsiaTheme="minorEastAsia" w:cs="Calibri"/>
                <w:b/>
                <w:bCs/>
                <w:color w:val="000000"/>
                <w:sz w:val="16"/>
                <w:szCs w:val="18"/>
                <w:lang w:eastAsia="en-AU"/>
              </w:rPr>
              <w:t>Total taxation revenue</w:t>
            </w:r>
          </w:p>
        </w:tc>
        <w:tc>
          <w:tcPr>
            <w:tcW w:w="794"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24 081</w:t>
            </w:r>
          </w:p>
        </w:tc>
        <w:tc>
          <w:tcPr>
            <w:tcW w:w="839"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24 092</w:t>
            </w:r>
          </w:p>
        </w:tc>
        <w:tc>
          <w:tcPr>
            <w:tcW w:w="828"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25 050</w:t>
            </w:r>
          </w:p>
        </w:tc>
        <w:tc>
          <w:tcPr>
            <w:tcW w:w="811"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25 836</w:t>
            </w:r>
          </w:p>
        </w:tc>
        <w:tc>
          <w:tcPr>
            <w:tcW w:w="811"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8D5734">
              <w:rPr>
                <w:rFonts w:eastAsiaTheme="minorEastAsia" w:cs="Arial"/>
                <w:b/>
                <w:bCs/>
                <w:color w:val="000000"/>
                <w:sz w:val="16"/>
                <w:szCs w:val="18"/>
                <w:lang w:eastAsia="en-AU"/>
              </w:rPr>
              <w:t>27 116</w:t>
            </w:r>
          </w:p>
        </w:tc>
      </w:tr>
    </w:tbl>
    <w:p w:rsidR="004B6846" w:rsidRDefault="004B6846" w:rsidP="00CC0EB7">
      <w:pPr>
        <w:pStyle w:val="Source"/>
      </w:pPr>
      <w:r w:rsidRPr="00D87D22">
        <w:t>Source: Department of Treasury and Finance</w:t>
      </w:r>
    </w:p>
    <w:p w:rsidR="004B6846" w:rsidRDefault="004B6846" w:rsidP="00CC0EB7">
      <w:pPr>
        <w:pStyle w:val="Note"/>
      </w:pPr>
      <w:r w:rsidRPr="00D87D22">
        <w:t>Note</w:t>
      </w:r>
      <w:r>
        <w:t>s</w:t>
      </w:r>
      <w:r w:rsidRPr="00D87D22">
        <w:t>:</w:t>
      </w:r>
    </w:p>
    <w:p w:rsidR="004B6846" w:rsidRDefault="004B6846" w:rsidP="00CC0EB7">
      <w:pPr>
        <w:pStyle w:val="Note"/>
      </w:pPr>
      <w:r>
        <w:t>(a)</w:t>
      </w:r>
      <w:r>
        <w:tab/>
        <w:t xml:space="preserve">The Government set the 2017-18 and 2018-19 Fire Services Property Levy rates to collect the amount that was budgeted in 2016-17 ($662 million). In the </w:t>
      </w:r>
      <w:r w:rsidRPr="004F620A">
        <w:rPr>
          <w:i w:val="0"/>
        </w:rPr>
        <w:t>2018-19 Budget</w:t>
      </w:r>
      <w:r>
        <w:t>, the Government decided to return the 2017-18 over-collection through reduced rates for the 2018-19 levy year.</w:t>
      </w:r>
    </w:p>
    <w:p w:rsidR="004B6846" w:rsidRDefault="004B6846" w:rsidP="00CC0EB7">
      <w:pPr>
        <w:pStyle w:val="Note"/>
      </w:pPr>
      <w:r>
        <w:t>(b)</w:t>
      </w:r>
      <w:r>
        <w:tab/>
        <w:t>The decline in other</w:t>
      </w:r>
      <w:r w:rsidRPr="00BE7B58">
        <w:t xml:space="preserve"> gambling taxes reflects a </w:t>
      </w:r>
      <w:r>
        <w:t>reclassification of Tabcorp sports betting to racing and other sports betting</w:t>
      </w:r>
      <w:r w:rsidRPr="00BE7B58">
        <w:t xml:space="preserve"> </w:t>
      </w:r>
      <w:r>
        <w:t>following</w:t>
      </w:r>
      <w:r w:rsidRPr="00BE7B58">
        <w:t xml:space="preserve"> the introduction of a point of consumption tax.</w:t>
      </w:r>
    </w:p>
    <w:p w:rsidR="004B6846" w:rsidRDefault="004B6846" w:rsidP="00CC0EB7">
      <w:pPr>
        <w:pStyle w:val="Note"/>
      </w:pPr>
      <w:r>
        <w:t>(c</w:t>
      </w:r>
      <w:r w:rsidRPr="00DC10C3">
        <w:t xml:space="preserve">) </w:t>
      </w:r>
      <w:r>
        <w:tab/>
      </w:r>
      <w:r w:rsidRPr="00DC10C3">
        <w:t xml:space="preserve">The fourth tranche of </w:t>
      </w:r>
      <w:r>
        <w:t xml:space="preserve">the </w:t>
      </w:r>
      <w:r w:rsidRPr="00DC10C3">
        <w:t xml:space="preserve">environmental contribution levy commenced on 1 July 2016 for a period of four years concluding </w:t>
      </w:r>
      <w:r>
        <w:t>on 30 June </w:t>
      </w:r>
      <w:r w:rsidRPr="00DC10C3">
        <w:t>2020.</w:t>
      </w:r>
    </w:p>
    <w:p w:rsidR="004B6846" w:rsidRPr="008D5734" w:rsidRDefault="004B6846" w:rsidP="004B6846">
      <w:pPr>
        <w:pStyle w:val="Heading3"/>
        <w:numPr>
          <w:ilvl w:val="2"/>
          <w:numId w:val="19"/>
        </w:numPr>
        <w:spacing w:after="60"/>
        <w:rPr>
          <w:lang w:val="en-US"/>
        </w:rPr>
      </w:pPr>
      <w:bookmarkStart w:id="41" w:name="_Toc530147730"/>
      <w:r w:rsidRPr="004E4D8E">
        <w:lastRenderedPageBreak/>
        <w:t>Dividends</w:t>
      </w:r>
      <w:r>
        <w:t xml:space="preserve">, </w:t>
      </w:r>
      <w:r w:rsidRPr="00AA281B">
        <w:t>income</w:t>
      </w:r>
      <w:r>
        <w:t xml:space="preserve"> tax </w:t>
      </w:r>
      <w:r w:rsidRPr="007C6C55">
        <w:t>equivalent</w:t>
      </w:r>
      <w:r>
        <w:t xml:space="preserve"> and rate equivalent revenue</w:t>
      </w:r>
      <w:r>
        <w:tab/>
        <w:t>($ million)</w:t>
      </w:r>
      <w:bookmarkEnd w:id="41"/>
    </w:p>
    <w:tbl>
      <w:tblPr>
        <w:tblStyle w:val="DTFTable"/>
        <w:tblW w:w="7799" w:type="dxa"/>
        <w:tblInd w:w="45" w:type="dxa"/>
        <w:tblLayout w:type="fixed"/>
        <w:tblCellMar>
          <w:left w:w="45" w:type="dxa"/>
          <w:right w:w="45" w:type="dxa"/>
        </w:tblCellMar>
        <w:tblLook w:val="06E0" w:firstRow="1" w:lastRow="1" w:firstColumn="1" w:lastColumn="0" w:noHBand="1" w:noVBand="1"/>
      </w:tblPr>
      <w:tblGrid>
        <w:gridCol w:w="3685"/>
        <w:gridCol w:w="816"/>
        <w:gridCol w:w="816"/>
        <w:gridCol w:w="816"/>
        <w:gridCol w:w="816"/>
        <w:gridCol w:w="850"/>
      </w:tblGrid>
      <w:tr w:rsidR="00CC0EB7" w:rsidRPr="008D5734" w:rsidTr="00D11960">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685"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816"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16"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16"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16"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Dividends from PFC sector</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507</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511</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Dividends from PNFC sector</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160</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205</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183</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165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Dividends from non-public sector</w:t>
            </w:r>
          </w:p>
        </w:tc>
        <w:tc>
          <w:tcPr>
            <w:tcW w:w="816"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w:t>
            </w:r>
          </w:p>
        </w:tc>
        <w:tc>
          <w:tcPr>
            <w:tcW w:w="816"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78</w:t>
            </w:r>
          </w:p>
        </w:tc>
        <w:tc>
          <w:tcPr>
            <w:tcW w:w="816"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107</w:t>
            </w:r>
          </w:p>
        </w:tc>
        <w:tc>
          <w:tcPr>
            <w:tcW w:w="816"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109</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Dividends</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698</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794</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356</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355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348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Income tax equivalent revenue from PFC sector</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104</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22</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Income tax equivalent revenue from PNFC sector</w:t>
            </w:r>
          </w:p>
        </w:tc>
        <w:tc>
          <w:tcPr>
            <w:tcW w:w="816"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186</w:t>
            </w:r>
          </w:p>
        </w:tc>
        <w:tc>
          <w:tcPr>
            <w:tcW w:w="816"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197</w:t>
            </w:r>
          </w:p>
        </w:tc>
        <w:tc>
          <w:tcPr>
            <w:tcW w:w="816"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197</w:t>
            </w:r>
          </w:p>
        </w:tc>
        <w:tc>
          <w:tcPr>
            <w:tcW w:w="816"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192</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203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Income tax equivalent revenue</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217</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302</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219</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234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213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Local government rate equivalent revenue</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w:t>
            </w:r>
          </w:p>
        </w:tc>
      </w:tr>
      <w:tr w:rsidR="004B6846" w:rsidRPr="008D573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rPr>
                <w:rFonts w:eastAsiaTheme="minorEastAsia" w:cs="Calibri"/>
                <w:bCs/>
                <w:color w:val="000000"/>
                <w:szCs w:val="18"/>
                <w:lang w:eastAsia="en-AU"/>
              </w:rPr>
            </w:pPr>
            <w:r w:rsidRPr="008D5734">
              <w:rPr>
                <w:rFonts w:eastAsiaTheme="minorEastAsia" w:cs="Calibri"/>
                <w:bCs/>
                <w:color w:val="000000"/>
                <w:szCs w:val="18"/>
                <w:lang w:eastAsia="en-AU"/>
              </w:rPr>
              <w:t xml:space="preserve">Total dividends, income tax equivalent and </w:t>
            </w:r>
            <w:r w:rsidR="00BA2EEF">
              <w:rPr>
                <w:rFonts w:eastAsiaTheme="minorEastAsia" w:cs="Calibri"/>
                <w:bCs/>
                <w:color w:val="000000"/>
                <w:szCs w:val="18"/>
                <w:lang w:eastAsia="en-AU"/>
              </w:rPr>
              <w:br/>
            </w:r>
            <w:r w:rsidRPr="008D5734">
              <w:rPr>
                <w:rFonts w:eastAsiaTheme="minorEastAsia" w:cs="Calibri"/>
                <w:bCs/>
                <w:color w:val="000000"/>
                <w:szCs w:val="18"/>
                <w:lang w:eastAsia="en-AU"/>
              </w:rPr>
              <w:t>rate equivalent revenue</w:t>
            </w:r>
          </w:p>
        </w:tc>
        <w:tc>
          <w:tcPr>
            <w:tcW w:w="816"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922</w:t>
            </w:r>
          </w:p>
        </w:tc>
        <w:tc>
          <w:tcPr>
            <w:tcW w:w="816"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8D5734">
              <w:rPr>
                <w:rFonts w:eastAsiaTheme="minorEastAsia" w:cs="Arial"/>
                <w:bCs/>
                <w:color w:val="000000"/>
                <w:szCs w:val="18"/>
                <w:lang w:eastAsia="en-AU"/>
              </w:rPr>
              <w:t>1 103</w:t>
            </w:r>
          </w:p>
        </w:tc>
        <w:tc>
          <w:tcPr>
            <w:tcW w:w="816"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582</w:t>
            </w:r>
          </w:p>
        </w:tc>
        <w:tc>
          <w:tcPr>
            <w:tcW w:w="816"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596</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567</w:t>
            </w:r>
          </w:p>
        </w:tc>
      </w:tr>
    </w:tbl>
    <w:p w:rsidR="004B6846" w:rsidRPr="00D87D22" w:rsidRDefault="004B6846" w:rsidP="00CC0EB7">
      <w:pPr>
        <w:pStyle w:val="Source"/>
      </w:pPr>
      <w:r w:rsidRPr="00D87D22">
        <w:t>Source: Department of Treasury and Finance</w:t>
      </w:r>
    </w:p>
    <w:p w:rsidR="004B6846" w:rsidRDefault="004B6846" w:rsidP="00CC0EB7"/>
    <w:p w:rsidR="004B6846" w:rsidRPr="008D5734" w:rsidRDefault="004B6846" w:rsidP="00CC0EB7">
      <w:pPr>
        <w:pStyle w:val="TableHeading"/>
        <w:rPr>
          <w:bCs/>
          <w:lang w:val="en-US"/>
        </w:rPr>
      </w:pPr>
      <w:r w:rsidRPr="004E4D8E">
        <w:t xml:space="preserve">Dividends by entity </w:t>
      </w:r>
      <w:r w:rsidRPr="004E4D8E">
        <w:rPr>
          <w:vertAlign w:val="superscript"/>
        </w:rPr>
        <w:t>(a)</w:t>
      </w:r>
      <w:r w:rsidRPr="004E4D8E">
        <w:tab/>
      </w:r>
      <w:r w:rsidRPr="008C4F9A">
        <w:t>($ million)</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3684"/>
        <w:gridCol w:w="794"/>
        <w:gridCol w:w="828"/>
        <w:gridCol w:w="828"/>
        <w:gridCol w:w="828"/>
        <w:gridCol w:w="805"/>
      </w:tblGrid>
      <w:tr w:rsidR="00CC0EB7" w:rsidRPr="006A016F" w:rsidTr="00D11960">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684" w:type="dxa"/>
            <w:tcBorders>
              <w:top w:val="nil"/>
              <w:left w:val="nil"/>
              <w:right w:val="nil"/>
            </w:tcBorders>
            <w:shd w:val="solid" w:color="000000" w:fill="auto"/>
          </w:tcPr>
          <w:p w:rsidR="00CC0EB7" w:rsidRPr="006A016F" w:rsidRDefault="00CC0EB7" w:rsidP="00CC0EB7">
            <w:pPr>
              <w:autoSpaceDE w:val="0"/>
              <w:autoSpaceDN w:val="0"/>
              <w:adjustRightInd w:val="0"/>
              <w:rPr>
                <w:rFonts w:eastAsiaTheme="minorEastAsia" w:cstheme="majorHAnsi"/>
                <w:iCs/>
                <w:color w:val="FFFFFF"/>
                <w:lang w:eastAsia="en-AU"/>
              </w:rPr>
            </w:pPr>
            <w:r w:rsidRPr="006A016F">
              <w:rPr>
                <w:rFonts w:eastAsiaTheme="minorEastAsia" w:cstheme="majorHAnsi"/>
                <w:iCs/>
                <w:color w:val="FFFFFF"/>
                <w:lang w:eastAsia="en-AU"/>
              </w:rPr>
              <w:t xml:space="preserve">  </w:t>
            </w:r>
          </w:p>
        </w:tc>
        <w:tc>
          <w:tcPr>
            <w:tcW w:w="794" w:type="dxa"/>
            <w:tcBorders>
              <w:top w:val="nil"/>
              <w:left w:val="nil"/>
              <w:right w:val="nil"/>
            </w:tcBorders>
            <w:shd w:val="solid" w:color="000000" w:fill="auto"/>
          </w:tcPr>
          <w:p w:rsidR="00CC0EB7" w:rsidRPr="006A016F"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6A016F">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6A016F">
              <w:rPr>
                <w:rFonts w:eastAsiaTheme="minorEastAsia" w:cstheme="majorHAnsi"/>
                <w:iCs/>
                <w:color w:val="FFFFFF"/>
                <w:szCs w:val="18"/>
                <w:lang w:eastAsia="en-AU"/>
              </w:rPr>
              <w:t>budget</w:t>
            </w:r>
          </w:p>
        </w:tc>
        <w:tc>
          <w:tcPr>
            <w:tcW w:w="828" w:type="dxa"/>
            <w:tcBorders>
              <w:top w:val="nil"/>
              <w:left w:val="nil"/>
              <w:right w:val="nil"/>
            </w:tcBorders>
            <w:shd w:val="solid" w:color="000000" w:fill="auto"/>
          </w:tcPr>
          <w:p w:rsidR="00CC0EB7" w:rsidRPr="006A016F"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6A016F">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6A016F">
              <w:rPr>
                <w:rFonts w:eastAsiaTheme="minorEastAsia" w:cstheme="majorHAnsi"/>
                <w:iCs/>
                <w:color w:val="FFFFFF"/>
                <w:szCs w:val="18"/>
                <w:lang w:eastAsia="en-AU"/>
              </w:rPr>
              <w:t>revised</w:t>
            </w:r>
          </w:p>
        </w:tc>
        <w:tc>
          <w:tcPr>
            <w:tcW w:w="828" w:type="dxa"/>
            <w:tcBorders>
              <w:top w:val="nil"/>
              <w:left w:val="nil"/>
              <w:right w:val="nil"/>
            </w:tcBorders>
            <w:shd w:val="solid" w:color="000000" w:fill="auto"/>
          </w:tcPr>
          <w:p w:rsidR="00CC0EB7" w:rsidRPr="006A016F"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6A016F">
              <w:rPr>
                <w:rFonts w:eastAsiaTheme="minorEastAsia" w:cstheme="majorHAnsi"/>
                <w:iCs/>
                <w:color w:val="FFFFFF"/>
                <w:szCs w:val="18"/>
                <w:lang w:eastAsia="en-AU"/>
              </w:rPr>
              <w:t>2019-20</w:t>
            </w:r>
            <w:r>
              <w:rPr>
                <w:rFonts w:eastAsiaTheme="minorEastAsia" w:cstheme="majorHAnsi"/>
                <w:iCs/>
                <w:color w:val="FFFFFF"/>
                <w:szCs w:val="18"/>
                <w:lang w:eastAsia="en-AU"/>
              </w:rPr>
              <w:br/>
            </w:r>
            <w:r w:rsidRPr="006A016F">
              <w:rPr>
                <w:rFonts w:eastAsiaTheme="minorEastAsia" w:cstheme="majorHAnsi"/>
                <w:iCs/>
                <w:color w:val="FFFFFF"/>
                <w:szCs w:val="18"/>
                <w:lang w:eastAsia="en-AU"/>
              </w:rPr>
              <w:t>estimate</w:t>
            </w:r>
          </w:p>
        </w:tc>
        <w:tc>
          <w:tcPr>
            <w:tcW w:w="828" w:type="dxa"/>
            <w:tcBorders>
              <w:top w:val="nil"/>
              <w:left w:val="nil"/>
              <w:right w:val="nil"/>
            </w:tcBorders>
            <w:shd w:val="solid" w:color="000000" w:fill="auto"/>
          </w:tcPr>
          <w:p w:rsidR="00CC0EB7" w:rsidRPr="006A016F"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6A016F">
              <w:rPr>
                <w:rFonts w:eastAsiaTheme="minorEastAsia" w:cstheme="majorHAnsi"/>
                <w:iCs/>
                <w:color w:val="FFFFFF"/>
                <w:szCs w:val="18"/>
                <w:lang w:eastAsia="en-AU"/>
              </w:rPr>
              <w:t>2020-21</w:t>
            </w:r>
            <w:r>
              <w:rPr>
                <w:rFonts w:eastAsiaTheme="minorEastAsia" w:cstheme="majorHAnsi"/>
                <w:iCs/>
                <w:color w:val="FFFFFF"/>
                <w:szCs w:val="18"/>
                <w:lang w:eastAsia="en-AU"/>
              </w:rPr>
              <w:br/>
            </w:r>
            <w:r w:rsidRPr="006A016F">
              <w:rPr>
                <w:rFonts w:eastAsiaTheme="minorEastAsia" w:cstheme="majorHAnsi"/>
                <w:iCs/>
                <w:color w:val="FFFFFF"/>
                <w:szCs w:val="18"/>
                <w:lang w:eastAsia="en-AU"/>
              </w:rPr>
              <w:t>estimate</w:t>
            </w:r>
          </w:p>
        </w:tc>
        <w:tc>
          <w:tcPr>
            <w:tcW w:w="805" w:type="dxa"/>
            <w:tcBorders>
              <w:top w:val="nil"/>
              <w:left w:val="nil"/>
              <w:right w:val="nil"/>
            </w:tcBorders>
            <w:shd w:val="solid" w:color="000000" w:fill="auto"/>
          </w:tcPr>
          <w:p w:rsidR="00CC0EB7" w:rsidRPr="006A016F"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6A016F">
              <w:rPr>
                <w:rFonts w:eastAsiaTheme="minorEastAsia" w:cstheme="majorHAnsi"/>
                <w:iCs/>
                <w:color w:val="FFFFFF"/>
                <w:szCs w:val="18"/>
                <w:lang w:eastAsia="en-AU"/>
              </w:rPr>
              <w:t>2021-22</w:t>
            </w:r>
            <w:r>
              <w:rPr>
                <w:rFonts w:eastAsiaTheme="minorEastAsia" w:cstheme="majorHAnsi"/>
                <w:iCs/>
                <w:color w:val="FFFFFF"/>
                <w:szCs w:val="18"/>
                <w:lang w:eastAsia="en-AU"/>
              </w:rPr>
              <w:br/>
            </w:r>
            <w:r w:rsidRPr="006A016F">
              <w:rPr>
                <w:rFonts w:eastAsiaTheme="minorEastAsia" w:cstheme="majorHAnsi"/>
                <w:iCs/>
                <w:color w:val="FFFFFF"/>
                <w:szCs w:val="18"/>
                <w:lang w:eastAsia="en-AU"/>
              </w:rPr>
              <w:t>estimate</w:t>
            </w:r>
          </w:p>
        </w:tc>
      </w:tr>
      <w:tr w:rsidR="004B6846" w:rsidRPr="006A016F" w:rsidTr="00CC0EB7">
        <w:tc>
          <w:tcPr>
            <w:cnfStyle w:val="001000000000" w:firstRow="0" w:lastRow="0" w:firstColumn="1" w:lastColumn="0" w:oddVBand="0" w:evenVBand="0" w:oddHBand="0" w:evenHBand="0" w:firstRowFirstColumn="0" w:firstRowLastColumn="0" w:lastRowFirstColumn="0" w:lastRowLastColumn="0"/>
            <w:tcW w:w="3684" w:type="dxa"/>
            <w:tcBorders>
              <w:top w:val="nil"/>
              <w:left w:val="nil"/>
              <w:bottom w:val="nil"/>
              <w:right w:val="nil"/>
            </w:tcBorders>
          </w:tcPr>
          <w:p w:rsidR="004B6846" w:rsidRPr="006A016F" w:rsidRDefault="004B6846" w:rsidP="00CC0EB7">
            <w:pPr>
              <w:keepLines w:val="0"/>
              <w:autoSpaceDE w:val="0"/>
              <w:autoSpaceDN w:val="0"/>
              <w:adjustRightInd w:val="0"/>
              <w:rPr>
                <w:rFonts w:eastAsiaTheme="minorEastAsia" w:cstheme="majorHAnsi"/>
                <w:b/>
                <w:bCs/>
                <w:color w:val="000000"/>
                <w:szCs w:val="18"/>
                <w:lang w:eastAsia="en-AU"/>
              </w:rPr>
            </w:pPr>
            <w:r w:rsidRPr="006A016F">
              <w:rPr>
                <w:rFonts w:eastAsiaTheme="minorEastAsia" w:cstheme="majorHAnsi"/>
                <w:b/>
                <w:bCs/>
                <w:color w:val="000000"/>
                <w:szCs w:val="18"/>
                <w:lang w:eastAsia="en-AU"/>
              </w:rPr>
              <w:t>Public financial corporations</w:t>
            </w:r>
          </w:p>
        </w:tc>
        <w:tc>
          <w:tcPr>
            <w:tcW w:w="794"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6A016F">
              <w:rPr>
                <w:rFonts w:eastAsiaTheme="minorEastAsia" w:cstheme="majorHAnsi"/>
                <w:b/>
                <w:bCs/>
                <w:color w:val="000000"/>
                <w:lang w:eastAsia="en-AU"/>
              </w:rPr>
              <w:t xml:space="preserve"> </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6A016F">
              <w:rPr>
                <w:rFonts w:eastAsiaTheme="minorEastAsia" w:cstheme="majorHAnsi"/>
                <w:b/>
                <w:bCs/>
                <w:color w:val="000000"/>
                <w:lang w:eastAsia="en-AU"/>
              </w:rPr>
              <w:t xml:space="preserve"> </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6A016F">
              <w:rPr>
                <w:rFonts w:eastAsiaTheme="minorEastAsia" w:cstheme="majorHAnsi"/>
                <w:b/>
                <w:bCs/>
                <w:color w:val="000000"/>
                <w:lang w:eastAsia="en-AU"/>
              </w:rPr>
              <w:t xml:space="preserve"> </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6A016F">
              <w:rPr>
                <w:rFonts w:eastAsiaTheme="minorEastAsia" w:cstheme="majorHAnsi"/>
                <w:b/>
                <w:bCs/>
                <w:color w:val="000000"/>
                <w:lang w:eastAsia="en-AU"/>
              </w:rPr>
              <w:t xml:space="preserve"> </w:t>
            </w:r>
          </w:p>
        </w:tc>
        <w:tc>
          <w:tcPr>
            <w:tcW w:w="805"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6A016F">
              <w:rPr>
                <w:rFonts w:eastAsiaTheme="minorEastAsia" w:cstheme="majorHAnsi"/>
                <w:b/>
                <w:bCs/>
                <w:color w:val="000000"/>
                <w:lang w:eastAsia="en-AU"/>
              </w:rPr>
              <w:t xml:space="preserve"> </w:t>
            </w:r>
          </w:p>
        </w:tc>
      </w:tr>
      <w:tr w:rsidR="004B6846" w:rsidRPr="006A016F" w:rsidTr="00CC0EB7">
        <w:tc>
          <w:tcPr>
            <w:cnfStyle w:val="001000000000" w:firstRow="0" w:lastRow="0" w:firstColumn="1" w:lastColumn="0" w:oddVBand="0" w:evenVBand="0" w:oddHBand="0" w:evenHBand="0" w:firstRowFirstColumn="0" w:firstRowLastColumn="0" w:lastRowFirstColumn="0" w:lastRowLastColumn="0"/>
            <w:tcW w:w="3684" w:type="dxa"/>
            <w:tcBorders>
              <w:top w:val="nil"/>
              <w:left w:val="nil"/>
              <w:bottom w:val="nil"/>
              <w:right w:val="nil"/>
            </w:tcBorders>
          </w:tcPr>
          <w:p w:rsidR="004B6846" w:rsidRPr="006A016F" w:rsidRDefault="004B6846" w:rsidP="00CC0EB7">
            <w:pPr>
              <w:keepLines w:val="0"/>
              <w:autoSpaceDE w:val="0"/>
              <w:autoSpaceDN w:val="0"/>
              <w:adjustRightInd w:val="0"/>
              <w:rPr>
                <w:rFonts w:eastAsiaTheme="minorEastAsia" w:cstheme="majorHAnsi"/>
                <w:color w:val="000000"/>
                <w:szCs w:val="18"/>
                <w:lang w:eastAsia="en-AU"/>
              </w:rPr>
            </w:pPr>
            <w:r w:rsidRPr="006A016F">
              <w:rPr>
                <w:rFonts w:eastAsiaTheme="minorEastAsia" w:cstheme="majorHAnsi"/>
                <w:color w:val="000000"/>
                <w:szCs w:val="18"/>
                <w:lang w:eastAsia="en-AU"/>
              </w:rPr>
              <w:t xml:space="preserve">Victorian Managed Insurance Authority </w:t>
            </w:r>
            <w:r w:rsidRPr="006A016F">
              <w:rPr>
                <w:rFonts w:eastAsiaTheme="minorEastAsia" w:cstheme="majorHAnsi"/>
                <w:color w:val="000000"/>
                <w:szCs w:val="18"/>
                <w:vertAlign w:val="superscript"/>
                <w:lang w:eastAsia="en-AU"/>
              </w:rPr>
              <w:t>(b)</w:t>
            </w:r>
          </w:p>
        </w:tc>
        <w:tc>
          <w:tcPr>
            <w:tcW w:w="794"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408</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408</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34</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41</w:t>
            </w:r>
          </w:p>
        </w:tc>
        <w:tc>
          <w:tcPr>
            <w:tcW w:w="805"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49</w:t>
            </w:r>
          </w:p>
        </w:tc>
      </w:tr>
      <w:tr w:rsidR="004B6846" w:rsidRPr="006A016F" w:rsidTr="00CC0EB7">
        <w:tc>
          <w:tcPr>
            <w:cnfStyle w:val="001000000000" w:firstRow="0" w:lastRow="0" w:firstColumn="1" w:lastColumn="0" w:oddVBand="0" w:evenVBand="0" w:oddHBand="0" w:evenHBand="0" w:firstRowFirstColumn="0" w:firstRowLastColumn="0" w:lastRowFirstColumn="0" w:lastRowLastColumn="0"/>
            <w:tcW w:w="3684" w:type="dxa"/>
            <w:tcBorders>
              <w:top w:val="nil"/>
              <w:left w:val="nil"/>
              <w:bottom w:val="nil"/>
              <w:right w:val="nil"/>
            </w:tcBorders>
          </w:tcPr>
          <w:p w:rsidR="004B6846" w:rsidRPr="006A016F" w:rsidRDefault="004B6846" w:rsidP="00CC0EB7">
            <w:pPr>
              <w:keepLines w:val="0"/>
              <w:autoSpaceDE w:val="0"/>
              <w:autoSpaceDN w:val="0"/>
              <w:adjustRightInd w:val="0"/>
              <w:rPr>
                <w:rFonts w:eastAsiaTheme="minorEastAsia" w:cstheme="majorHAnsi"/>
                <w:color w:val="000000"/>
                <w:szCs w:val="18"/>
                <w:lang w:eastAsia="en-AU"/>
              </w:rPr>
            </w:pPr>
            <w:r w:rsidRPr="006A016F">
              <w:rPr>
                <w:rFonts w:eastAsiaTheme="minorEastAsia" w:cstheme="majorHAnsi"/>
                <w:color w:val="000000"/>
                <w:szCs w:val="18"/>
                <w:lang w:eastAsia="en-AU"/>
              </w:rPr>
              <w:t>Treasury Corporation of Victoria</w:t>
            </w:r>
          </w:p>
        </w:tc>
        <w:tc>
          <w:tcPr>
            <w:tcW w:w="794"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91</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91</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22</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29</w:t>
            </w:r>
          </w:p>
        </w:tc>
        <w:tc>
          <w:tcPr>
            <w:tcW w:w="805"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37</w:t>
            </w:r>
          </w:p>
        </w:tc>
      </w:tr>
      <w:tr w:rsidR="004B6846" w:rsidRPr="006A016F" w:rsidTr="00CC0EB7">
        <w:tc>
          <w:tcPr>
            <w:cnfStyle w:val="001000000000" w:firstRow="0" w:lastRow="0" w:firstColumn="1" w:lastColumn="0" w:oddVBand="0" w:evenVBand="0" w:oddHBand="0" w:evenHBand="0" w:firstRowFirstColumn="0" w:firstRowLastColumn="0" w:lastRowFirstColumn="0" w:lastRowLastColumn="0"/>
            <w:tcW w:w="3684" w:type="dxa"/>
            <w:tcBorders>
              <w:top w:val="nil"/>
              <w:left w:val="nil"/>
              <w:bottom w:val="nil"/>
              <w:right w:val="nil"/>
            </w:tcBorders>
          </w:tcPr>
          <w:p w:rsidR="004B6846" w:rsidRPr="006A016F" w:rsidRDefault="004B6846" w:rsidP="00CC0EB7">
            <w:pPr>
              <w:keepLines w:val="0"/>
              <w:autoSpaceDE w:val="0"/>
              <w:autoSpaceDN w:val="0"/>
              <w:adjustRightInd w:val="0"/>
              <w:rPr>
                <w:rFonts w:eastAsiaTheme="minorEastAsia" w:cstheme="majorHAnsi"/>
                <w:color w:val="000000"/>
                <w:szCs w:val="18"/>
                <w:lang w:eastAsia="en-AU"/>
              </w:rPr>
            </w:pPr>
            <w:r w:rsidRPr="006A016F">
              <w:rPr>
                <w:rFonts w:eastAsiaTheme="minorEastAsia" w:cstheme="majorHAnsi"/>
                <w:color w:val="000000"/>
                <w:szCs w:val="18"/>
                <w:lang w:eastAsia="en-AU"/>
              </w:rPr>
              <w:t>State Trustees Ltd</w:t>
            </w:r>
          </w:p>
        </w:tc>
        <w:tc>
          <w:tcPr>
            <w:tcW w:w="794"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4</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5</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2</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2</w:t>
            </w:r>
          </w:p>
        </w:tc>
        <w:tc>
          <w:tcPr>
            <w:tcW w:w="805"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2</w:t>
            </w:r>
          </w:p>
        </w:tc>
      </w:tr>
      <w:tr w:rsidR="004B6846" w:rsidRPr="006A016F" w:rsidTr="00CC0EB7">
        <w:tc>
          <w:tcPr>
            <w:cnfStyle w:val="001000000000" w:firstRow="0" w:lastRow="0" w:firstColumn="1" w:lastColumn="0" w:oddVBand="0" w:evenVBand="0" w:oddHBand="0" w:evenHBand="0" w:firstRowFirstColumn="0" w:firstRowLastColumn="0" w:lastRowFirstColumn="0" w:lastRowLastColumn="0"/>
            <w:tcW w:w="3684" w:type="dxa"/>
            <w:tcBorders>
              <w:top w:val="nil"/>
              <w:left w:val="nil"/>
              <w:bottom w:val="nil"/>
              <w:right w:val="nil"/>
            </w:tcBorders>
          </w:tcPr>
          <w:p w:rsidR="004B6846" w:rsidRPr="006A016F" w:rsidRDefault="004B6846" w:rsidP="00CC0EB7">
            <w:pPr>
              <w:keepLines w:val="0"/>
              <w:autoSpaceDE w:val="0"/>
              <w:autoSpaceDN w:val="0"/>
              <w:adjustRightInd w:val="0"/>
              <w:rPr>
                <w:rFonts w:eastAsiaTheme="minorEastAsia" w:cstheme="majorHAnsi"/>
                <w:color w:val="000000"/>
                <w:szCs w:val="18"/>
                <w:lang w:eastAsia="en-AU"/>
              </w:rPr>
            </w:pPr>
            <w:r w:rsidRPr="006A016F">
              <w:rPr>
                <w:rFonts w:eastAsiaTheme="minorEastAsia" w:cstheme="majorHAnsi"/>
                <w:color w:val="000000"/>
                <w:szCs w:val="18"/>
                <w:lang w:eastAsia="en-AU"/>
              </w:rPr>
              <w:t>Victorian Funds Management Corporation</w:t>
            </w:r>
          </w:p>
        </w:tc>
        <w:tc>
          <w:tcPr>
            <w:tcW w:w="794"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4</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7</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6</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8</w:t>
            </w:r>
          </w:p>
        </w:tc>
        <w:tc>
          <w:tcPr>
            <w:tcW w:w="805"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8</w:t>
            </w:r>
          </w:p>
        </w:tc>
      </w:tr>
      <w:tr w:rsidR="004B6846" w:rsidRPr="006A016F" w:rsidTr="00CC0EB7">
        <w:tc>
          <w:tcPr>
            <w:cnfStyle w:val="001000000000" w:firstRow="0" w:lastRow="0" w:firstColumn="1" w:lastColumn="0" w:oddVBand="0" w:evenVBand="0" w:oddHBand="0" w:evenHBand="0" w:firstRowFirstColumn="0" w:firstRowLastColumn="0" w:lastRowFirstColumn="0" w:lastRowLastColumn="0"/>
            <w:tcW w:w="3684" w:type="dxa"/>
            <w:tcBorders>
              <w:top w:val="nil"/>
              <w:left w:val="nil"/>
              <w:bottom w:val="nil"/>
              <w:right w:val="nil"/>
            </w:tcBorders>
          </w:tcPr>
          <w:p w:rsidR="004B6846" w:rsidRPr="006A016F" w:rsidRDefault="004B6846" w:rsidP="00CC0EB7">
            <w:pPr>
              <w:keepLines w:val="0"/>
              <w:autoSpaceDE w:val="0"/>
              <w:autoSpaceDN w:val="0"/>
              <w:adjustRightInd w:val="0"/>
              <w:rPr>
                <w:rFonts w:eastAsiaTheme="minorEastAsia" w:cstheme="majorHAnsi"/>
                <w:color w:val="000000"/>
                <w:szCs w:val="18"/>
                <w:lang w:eastAsia="en-AU"/>
              </w:rPr>
            </w:pPr>
            <w:r w:rsidRPr="006A016F">
              <w:rPr>
                <w:rFonts w:eastAsiaTheme="minorEastAsia" w:cstheme="majorHAnsi"/>
                <w:color w:val="000000"/>
                <w:szCs w:val="18"/>
                <w:lang w:eastAsia="en-AU"/>
              </w:rPr>
              <w:t>WorkSafe Victoria</w:t>
            </w:r>
          </w:p>
        </w:tc>
        <w:tc>
          <w:tcPr>
            <w:tcW w:w="794"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r w:rsidRPr="006A016F">
              <w:rPr>
                <w:rFonts w:eastAsiaTheme="minorEastAsia" w:cstheme="majorHAnsi"/>
                <w:color w:val="000000"/>
                <w:szCs w:val="18"/>
                <w:lang w:eastAsia="en-AU"/>
              </w:rPr>
              <w:t xml:space="preserve"> </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r w:rsidRPr="006A016F">
              <w:rPr>
                <w:rFonts w:eastAsiaTheme="minorEastAsia" w:cstheme="majorHAnsi"/>
                <w:color w:val="000000"/>
                <w:szCs w:val="18"/>
                <w:lang w:eastAsia="en-AU"/>
              </w:rPr>
              <w:t xml:space="preserve"> </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r w:rsidRPr="006A016F">
              <w:rPr>
                <w:rFonts w:eastAsiaTheme="minorEastAsia" w:cstheme="majorHAnsi"/>
                <w:color w:val="000000"/>
                <w:szCs w:val="18"/>
                <w:lang w:eastAsia="en-AU"/>
              </w:rPr>
              <w:t xml:space="preserve"> </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r w:rsidRPr="006A016F">
              <w:rPr>
                <w:rFonts w:eastAsiaTheme="minorEastAsia" w:cstheme="majorHAnsi"/>
                <w:color w:val="000000"/>
                <w:szCs w:val="18"/>
                <w:lang w:eastAsia="en-AU"/>
              </w:rPr>
              <w:t xml:space="preserve"> </w:t>
            </w:r>
          </w:p>
        </w:tc>
        <w:tc>
          <w:tcPr>
            <w:tcW w:w="805"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r w:rsidRPr="006A016F">
              <w:rPr>
                <w:rFonts w:eastAsiaTheme="minorEastAsia" w:cstheme="majorHAnsi"/>
                <w:color w:val="000000"/>
                <w:szCs w:val="18"/>
                <w:lang w:eastAsia="en-AU"/>
              </w:rPr>
              <w:t xml:space="preserve"> </w:t>
            </w:r>
          </w:p>
        </w:tc>
      </w:tr>
      <w:tr w:rsidR="004B6846" w:rsidRPr="006A016F" w:rsidTr="00CC0EB7">
        <w:tc>
          <w:tcPr>
            <w:cnfStyle w:val="001000000000" w:firstRow="0" w:lastRow="0" w:firstColumn="1" w:lastColumn="0" w:oddVBand="0" w:evenVBand="0" w:oddHBand="0" w:evenHBand="0" w:firstRowFirstColumn="0" w:firstRowLastColumn="0" w:lastRowFirstColumn="0" w:lastRowLastColumn="0"/>
            <w:tcW w:w="3684" w:type="dxa"/>
            <w:tcBorders>
              <w:top w:val="single" w:sz="6" w:space="0" w:color="000000"/>
              <w:left w:val="nil"/>
              <w:bottom w:val="single" w:sz="12" w:space="0" w:color="000000"/>
              <w:right w:val="nil"/>
            </w:tcBorders>
          </w:tcPr>
          <w:p w:rsidR="004B6846" w:rsidRPr="006A016F" w:rsidRDefault="004B6846" w:rsidP="00CC0EB7">
            <w:pPr>
              <w:keepLines w:val="0"/>
              <w:autoSpaceDE w:val="0"/>
              <w:autoSpaceDN w:val="0"/>
              <w:adjustRightInd w:val="0"/>
              <w:rPr>
                <w:rFonts w:eastAsiaTheme="minorEastAsia" w:cstheme="majorHAnsi"/>
                <w:b/>
                <w:bCs/>
                <w:color w:val="000000"/>
                <w:szCs w:val="18"/>
                <w:lang w:eastAsia="en-AU"/>
              </w:rPr>
            </w:pPr>
            <w:r w:rsidRPr="006A016F">
              <w:rPr>
                <w:rFonts w:eastAsiaTheme="minorEastAsia" w:cstheme="majorHAnsi"/>
                <w:b/>
                <w:bCs/>
                <w:color w:val="000000"/>
                <w:szCs w:val="18"/>
                <w:lang w:eastAsia="en-AU"/>
              </w:rPr>
              <w:t>Dividends from PFC sector</w:t>
            </w:r>
          </w:p>
        </w:tc>
        <w:tc>
          <w:tcPr>
            <w:tcW w:w="794" w:type="dxa"/>
            <w:tcBorders>
              <w:top w:val="single" w:sz="6" w:space="0" w:color="000000"/>
              <w:left w:val="nil"/>
              <w:bottom w:val="single" w:sz="12" w:space="0" w:color="000000"/>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6A016F">
              <w:rPr>
                <w:rFonts w:eastAsiaTheme="minorEastAsia" w:cstheme="majorHAnsi"/>
                <w:b/>
                <w:bCs/>
                <w:color w:val="000000"/>
                <w:szCs w:val="18"/>
                <w:lang w:eastAsia="en-AU"/>
              </w:rPr>
              <w:t>507</w:t>
            </w:r>
          </w:p>
        </w:tc>
        <w:tc>
          <w:tcPr>
            <w:tcW w:w="828" w:type="dxa"/>
            <w:tcBorders>
              <w:top w:val="single" w:sz="6" w:space="0" w:color="000000"/>
              <w:left w:val="nil"/>
              <w:bottom w:val="single" w:sz="12" w:space="0" w:color="000000"/>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6A016F">
              <w:rPr>
                <w:rFonts w:eastAsiaTheme="minorEastAsia" w:cstheme="majorHAnsi"/>
                <w:b/>
                <w:bCs/>
                <w:color w:val="000000"/>
                <w:szCs w:val="18"/>
                <w:lang w:eastAsia="en-AU"/>
              </w:rPr>
              <w:t>511</w:t>
            </w:r>
          </w:p>
        </w:tc>
        <w:tc>
          <w:tcPr>
            <w:tcW w:w="828" w:type="dxa"/>
            <w:tcBorders>
              <w:top w:val="single" w:sz="6" w:space="0" w:color="000000"/>
              <w:left w:val="nil"/>
              <w:bottom w:val="single" w:sz="12" w:space="0" w:color="000000"/>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6A016F">
              <w:rPr>
                <w:rFonts w:eastAsiaTheme="minorEastAsia" w:cstheme="majorHAnsi"/>
                <w:b/>
                <w:bCs/>
                <w:color w:val="000000"/>
                <w:szCs w:val="18"/>
                <w:lang w:eastAsia="en-AU"/>
              </w:rPr>
              <w:t>65</w:t>
            </w:r>
          </w:p>
        </w:tc>
        <w:tc>
          <w:tcPr>
            <w:tcW w:w="828" w:type="dxa"/>
            <w:tcBorders>
              <w:top w:val="single" w:sz="6" w:space="0" w:color="000000"/>
              <w:left w:val="nil"/>
              <w:bottom w:val="single" w:sz="12" w:space="0" w:color="000000"/>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6A016F">
              <w:rPr>
                <w:rFonts w:eastAsiaTheme="minorEastAsia" w:cstheme="majorHAnsi"/>
                <w:b/>
                <w:bCs/>
                <w:color w:val="000000"/>
                <w:szCs w:val="18"/>
                <w:lang w:eastAsia="en-AU"/>
              </w:rPr>
              <w:t>81</w:t>
            </w:r>
          </w:p>
        </w:tc>
        <w:tc>
          <w:tcPr>
            <w:tcW w:w="805" w:type="dxa"/>
            <w:tcBorders>
              <w:top w:val="single" w:sz="6" w:space="0" w:color="000000"/>
              <w:left w:val="nil"/>
              <w:bottom w:val="single" w:sz="12" w:space="0" w:color="000000"/>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6A016F">
              <w:rPr>
                <w:rFonts w:eastAsiaTheme="minorEastAsia" w:cstheme="majorHAnsi"/>
                <w:b/>
                <w:bCs/>
                <w:color w:val="000000"/>
                <w:szCs w:val="18"/>
                <w:lang w:eastAsia="en-AU"/>
              </w:rPr>
              <w:t>96</w:t>
            </w:r>
          </w:p>
        </w:tc>
      </w:tr>
      <w:tr w:rsidR="004B6846" w:rsidRPr="006A016F" w:rsidTr="00CC0EB7">
        <w:tc>
          <w:tcPr>
            <w:cnfStyle w:val="001000000000" w:firstRow="0" w:lastRow="0" w:firstColumn="1" w:lastColumn="0" w:oddVBand="0" w:evenVBand="0" w:oddHBand="0" w:evenHBand="0" w:firstRowFirstColumn="0" w:firstRowLastColumn="0" w:lastRowFirstColumn="0" w:lastRowLastColumn="0"/>
            <w:tcW w:w="3684" w:type="dxa"/>
            <w:tcBorders>
              <w:top w:val="nil"/>
              <w:left w:val="nil"/>
              <w:bottom w:val="nil"/>
              <w:right w:val="nil"/>
            </w:tcBorders>
          </w:tcPr>
          <w:p w:rsidR="004B6846" w:rsidRPr="006A016F" w:rsidRDefault="004B6846" w:rsidP="00CC0EB7">
            <w:pPr>
              <w:keepLines w:val="0"/>
              <w:autoSpaceDE w:val="0"/>
              <w:autoSpaceDN w:val="0"/>
              <w:adjustRightInd w:val="0"/>
              <w:rPr>
                <w:rFonts w:eastAsiaTheme="minorEastAsia" w:cstheme="majorHAnsi"/>
                <w:b/>
                <w:bCs/>
                <w:color w:val="000000"/>
                <w:szCs w:val="18"/>
                <w:lang w:eastAsia="en-AU"/>
              </w:rPr>
            </w:pPr>
            <w:r w:rsidRPr="006A016F">
              <w:rPr>
                <w:rFonts w:eastAsiaTheme="minorEastAsia" w:cstheme="majorHAnsi"/>
                <w:b/>
                <w:bCs/>
                <w:color w:val="000000"/>
                <w:szCs w:val="18"/>
                <w:lang w:eastAsia="en-AU"/>
              </w:rPr>
              <w:t>Public non-financial corporations</w:t>
            </w:r>
          </w:p>
        </w:tc>
        <w:tc>
          <w:tcPr>
            <w:tcW w:w="794"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6A016F">
              <w:rPr>
                <w:rFonts w:eastAsiaTheme="minorEastAsia" w:cstheme="majorHAnsi"/>
                <w:b/>
                <w:bCs/>
                <w:color w:val="000000"/>
                <w:lang w:eastAsia="en-AU"/>
              </w:rPr>
              <w:t xml:space="preserve"> </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6A016F">
              <w:rPr>
                <w:rFonts w:eastAsiaTheme="minorEastAsia" w:cstheme="majorHAnsi"/>
                <w:b/>
                <w:bCs/>
                <w:color w:val="000000"/>
                <w:lang w:eastAsia="en-AU"/>
              </w:rPr>
              <w:t xml:space="preserve"> </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6A016F">
              <w:rPr>
                <w:rFonts w:eastAsiaTheme="minorEastAsia" w:cstheme="majorHAnsi"/>
                <w:b/>
                <w:bCs/>
                <w:color w:val="000000"/>
                <w:lang w:eastAsia="en-AU"/>
              </w:rPr>
              <w:t xml:space="preserve"> </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6A016F">
              <w:rPr>
                <w:rFonts w:eastAsiaTheme="minorEastAsia" w:cstheme="majorHAnsi"/>
                <w:b/>
                <w:bCs/>
                <w:color w:val="000000"/>
                <w:lang w:eastAsia="en-AU"/>
              </w:rPr>
              <w:t xml:space="preserve"> </w:t>
            </w:r>
          </w:p>
        </w:tc>
        <w:tc>
          <w:tcPr>
            <w:tcW w:w="805"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6A016F">
              <w:rPr>
                <w:rFonts w:eastAsiaTheme="minorEastAsia" w:cstheme="majorHAnsi"/>
                <w:b/>
                <w:bCs/>
                <w:color w:val="000000"/>
                <w:lang w:eastAsia="en-AU"/>
              </w:rPr>
              <w:t xml:space="preserve"> </w:t>
            </w:r>
          </w:p>
        </w:tc>
      </w:tr>
      <w:tr w:rsidR="004B6846" w:rsidRPr="006A016F" w:rsidTr="00CC0EB7">
        <w:tc>
          <w:tcPr>
            <w:cnfStyle w:val="001000000000" w:firstRow="0" w:lastRow="0" w:firstColumn="1" w:lastColumn="0" w:oddVBand="0" w:evenVBand="0" w:oddHBand="0" w:evenHBand="0" w:firstRowFirstColumn="0" w:firstRowLastColumn="0" w:lastRowFirstColumn="0" w:lastRowLastColumn="0"/>
            <w:tcW w:w="3684" w:type="dxa"/>
            <w:tcBorders>
              <w:top w:val="nil"/>
              <w:left w:val="nil"/>
              <w:bottom w:val="nil"/>
              <w:right w:val="nil"/>
            </w:tcBorders>
          </w:tcPr>
          <w:p w:rsidR="004B6846" w:rsidRPr="006A016F" w:rsidRDefault="004B6846" w:rsidP="00CC0EB7">
            <w:pPr>
              <w:keepLines w:val="0"/>
              <w:autoSpaceDE w:val="0"/>
              <w:autoSpaceDN w:val="0"/>
              <w:adjustRightInd w:val="0"/>
              <w:rPr>
                <w:rFonts w:eastAsiaTheme="minorEastAsia" w:cstheme="majorHAnsi"/>
                <w:color w:val="000000"/>
                <w:szCs w:val="18"/>
                <w:lang w:eastAsia="en-AU"/>
              </w:rPr>
            </w:pPr>
            <w:r w:rsidRPr="006A016F">
              <w:rPr>
                <w:rFonts w:eastAsiaTheme="minorEastAsia" w:cstheme="majorHAnsi"/>
                <w:color w:val="000000"/>
                <w:szCs w:val="18"/>
                <w:lang w:eastAsia="en-AU"/>
              </w:rPr>
              <w:t>City West Water Corporation</w:t>
            </w:r>
          </w:p>
        </w:tc>
        <w:tc>
          <w:tcPr>
            <w:tcW w:w="794"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26</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34</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31</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25</w:t>
            </w:r>
          </w:p>
        </w:tc>
        <w:tc>
          <w:tcPr>
            <w:tcW w:w="805"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24</w:t>
            </w:r>
          </w:p>
        </w:tc>
      </w:tr>
      <w:tr w:rsidR="004B6846" w:rsidRPr="006A016F" w:rsidTr="00CC0EB7">
        <w:tc>
          <w:tcPr>
            <w:cnfStyle w:val="001000000000" w:firstRow="0" w:lastRow="0" w:firstColumn="1" w:lastColumn="0" w:oddVBand="0" w:evenVBand="0" w:oddHBand="0" w:evenHBand="0" w:firstRowFirstColumn="0" w:firstRowLastColumn="0" w:lastRowFirstColumn="0" w:lastRowLastColumn="0"/>
            <w:tcW w:w="3684" w:type="dxa"/>
            <w:tcBorders>
              <w:top w:val="nil"/>
              <w:left w:val="nil"/>
              <w:bottom w:val="nil"/>
              <w:right w:val="nil"/>
            </w:tcBorders>
          </w:tcPr>
          <w:p w:rsidR="004B6846" w:rsidRPr="006A016F" w:rsidRDefault="004B6846" w:rsidP="00CC0EB7">
            <w:pPr>
              <w:keepLines w:val="0"/>
              <w:autoSpaceDE w:val="0"/>
              <w:autoSpaceDN w:val="0"/>
              <w:adjustRightInd w:val="0"/>
              <w:rPr>
                <w:rFonts w:eastAsiaTheme="minorEastAsia" w:cstheme="majorHAnsi"/>
                <w:color w:val="000000"/>
                <w:szCs w:val="18"/>
                <w:lang w:eastAsia="en-AU"/>
              </w:rPr>
            </w:pPr>
            <w:r w:rsidRPr="006A016F">
              <w:rPr>
                <w:rFonts w:eastAsiaTheme="minorEastAsia" w:cstheme="majorHAnsi"/>
                <w:color w:val="000000"/>
                <w:szCs w:val="18"/>
                <w:lang w:eastAsia="en-AU"/>
              </w:rPr>
              <w:t>Melbourne Water Corporation</w:t>
            </w:r>
          </w:p>
        </w:tc>
        <w:tc>
          <w:tcPr>
            <w:tcW w:w="794"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12</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35</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9</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w:t>
            </w:r>
          </w:p>
        </w:tc>
        <w:tc>
          <w:tcPr>
            <w:tcW w:w="805"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w:t>
            </w:r>
          </w:p>
        </w:tc>
      </w:tr>
      <w:tr w:rsidR="004B6846" w:rsidRPr="006A016F" w:rsidTr="00CC0EB7">
        <w:tc>
          <w:tcPr>
            <w:cnfStyle w:val="001000000000" w:firstRow="0" w:lastRow="0" w:firstColumn="1" w:lastColumn="0" w:oddVBand="0" w:evenVBand="0" w:oddHBand="0" w:evenHBand="0" w:firstRowFirstColumn="0" w:firstRowLastColumn="0" w:lastRowFirstColumn="0" w:lastRowLastColumn="0"/>
            <w:tcW w:w="3684" w:type="dxa"/>
            <w:tcBorders>
              <w:top w:val="nil"/>
              <w:left w:val="nil"/>
              <w:bottom w:val="nil"/>
              <w:right w:val="nil"/>
            </w:tcBorders>
          </w:tcPr>
          <w:p w:rsidR="004B6846" w:rsidRPr="006A016F" w:rsidRDefault="004B6846" w:rsidP="00CC0EB7">
            <w:pPr>
              <w:keepLines w:val="0"/>
              <w:autoSpaceDE w:val="0"/>
              <w:autoSpaceDN w:val="0"/>
              <w:adjustRightInd w:val="0"/>
              <w:rPr>
                <w:rFonts w:eastAsiaTheme="minorEastAsia" w:cstheme="majorHAnsi"/>
                <w:color w:val="000000"/>
                <w:szCs w:val="18"/>
                <w:lang w:eastAsia="en-AU"/>
              </w:rPr>
            </w:pPr>
            <w:r w:rsidRPr="006A016F">
              <w:rPr>
                <w:rFonts w:eastAsiaTheme="minorEastAsia" w:cstheme="majorHAnsi"/>
                <w:color w:val="000000"/>
                <w:szCs w:val="18"/>
                <w:lang w:eastAsia="en-AU"/>
              </w:rPr>
              <w:t>South East Water Corporation</w:t>
            </w:r>
          </w:p>
        </w:tc>
        <w:tc>
          <w:tcPr>
            <w:tcW w:w="794"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56</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81</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46</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48</w:t>
            </w:r>
          </w:p>
        </w:tc>
        <w:tc>
          <w:tcPr>
            <w:tcW w:w="805"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49</w:t>
            </w:r>
          </w:p>
        </w:tc>
      </w:tr>
      <w:tr w:rsidR="004B6846" w:rsidRPr="006A016F" w:rsidTr="00CC0EB7">
        <w:tc>
          <w:tcPr>
            <w:cnfStyle w:val="001000000000" w:firstRow="0" w:lastRow="0" w:firstColumn="1" w:lastColumn="0" w:oddVBand="0" w:evenVBand="0" w:oddHBand="0" w:evenHBand="0" w:firstRowFirstColumn="0" w:firstRowLastColumn="0" w:lastRowFirstColumn="0" w:lastRowLastColumn="0"/>
            <w:tcW w:w="3684" w:type="dxa"/>
            <w:tcBorders>
              <w:top w:val="nil"/>
              <w:left w:val="nil"/>
              <w:bottom w:val="nil"/>
              <w:right w:val="nil"/>
            </w:tcBorders>
          </w:tcPr>
          <w:p w:rsidR="004B6846" w:rsidRPr="006A016F" w:rsidRDefault="004B6846" w:rsidP="00CC0EB7">
            <w:pPr>
              <w:keepLines w:val="0"/>
              <w:autoSpaceDE w:val="0"/>
              <w:autoSpaceDN w:val="0"/>
              <w:adjustRightInd w:val="0"/>
              <w:rPr>
                <w:rFonts w:eastAsiaTheme="minorEastAsia" w:cstheme="majorHAnsi"/>
                <w:color w:val="000000"/>
                <w:szCs w:val="18"/>
                <w:lang w:eastAsia="en-AU"/>
              </w:rPr>
            </w:pPr>
            <w:r w:rsidRPr="006A016F">
              <w:rPr>
                <w:rFonts w:eastAsiaTheme="minorEastAsia" w:cstheme="majorHAnsi"/>
                <w:color w:val="000000"/>
                <w:szCs w:val="18"/>
                <w:lang w:eastAsia="en-AU"/>
              </w:rPr>
              <w:t>Yarra Valley Water Corporation</w:t>
            </w:r>
          </w:p>
        </w:tc>
        <w:tc>
          <w:tcPr>
            <w:tcW w:w="794"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34</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44</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51</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36</w:t>
            </w:r>
          </w:p>
        </w:tc>
        <w:tc>
          <w:tcPr>
            <w:tcW w:w="805"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35</w:t>
            </w:r>
          </w:p>
        </w:tc>
      </w:tr>
      <w:tr w:rsidR="004B6846" w:rsidRPr="006A016F" w:rsidTr="00CC0EB7">
        <w:tc>
          <w:tcPr>
            <w:cnfStyle w:val="001000000000" w:firstRow="0" w:lastRow="0" w:firstColumn="1" w:lastColumn="0" w:oddVBand="0" w:evenVBand="0" w:oddHBand="0" w:evenHBand="0" w:firstRowFirstColumn="0" w:firstRowLastColumn="0" w:lastRowFirstColumn="0" w:lastRowLastColumn="0"/>
            <w:tcW w:w="3684" w:type="dxa"/>
            <w:tcBorders>
              <w:top w:val="nil"/>
              <w:left w:val="nil"/>
              <w:bottom w:val="nil"/>
              <w:right w:val="nil"/>
            </w:tcBorders>
          </w:tcPr>
          <w:p w:rsidR="004B6846" w:rsidRPr="006A016F" w:rsidRDefault="004B6846" w:rsidP="00CC0EB7">
            <w:pPr>
              <w:keepLines w:val="0"/>
              <w:autoSpaceDE w:val="0"/>
              <w:autoSpaceDN w:val="0"/>
              <w:adjustRightInd w:val="0"/>
              <w:rPr>
                <w:rFonts w:eastAsiaTheme="minorEastAsia" w:cstheme="majorHAnsi"/>
                <w:color w:val="000000"/>
                <w:szCs w:val="18"/>
                <w:lang w:eastAsia="en-AU"/>
              </w:rPr>
            </w:pPr>
            <w:r w:rsidRPr="006A016F">
              <w:rPr>
                <w:rFonts w:eastAsiaTheme="minorEastAsia" w:cstheme="majorHAnsi"/>
                <w:color w:val="000000"/>
                <w:szCs w:val="18"/>
                <w:lang w:eastAsia="en-AU"/>
              </w:rPr>
              <w:t>Development Victoria</w:t>
            </w:r>
          </w:p>
        </w:tc>
        <w:tc>
          <w:tcPr>
            <w:tcW w:w="794"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29</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9</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43</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54</w:t>
            </w:r>
          </w:p>
        </w:tc>
        <w:tc>
          <w:tcPr>
            <w:tcW w:w="805"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31</w:t>
            </w:r>
          </w:p>
        </w:tc>
      </w:tr>
      <w:tr w:rsidR="004B6846" w:rsidRPr="006A016F" w:rsidTr="00CC0EB7">
        <w:tc>
          <w:tcPr>
            <w:cnfStyle w:val="001000000000" w:firstRow="0" w:lastRow="0" w:firstColumn="1" w:lastColumn="0" w:oddVBand="0" w:evenVBand="0" w:oddHBand="0" w:evenHBand="0" w:firstRowFirstColumn="0" w:firstRowLastColumn="0" w:lastRowFirstColumn="0" w:lastRowLastColumn="0"/>
            <w:tcW w:w="3684" w:type="dxa"/>
            <w:tcBorders>
              <w:top w:val="nil"/>
              <w:left w:val="nil"/>
              <w:bottom w:val="nil"/>
              <w:right w:val="nil"/>
            </w:tcBorders>
          </w:tcPr>
          <w:p w:rsidR="004B6846" w:rsidRPr="006A016F" w:rsidRDefault="004B6846" w:rsidP="00CC0EB7">
            <w:pPr>
              <w:keepLines w:val="0"/>
              <w:autoSpaceDE w:val="0"/>
              <w:autoSpaceDN w:val="0"/>
              <w:adjustRightInd w:val="0"/>
              <w:rPr>
                <w:rFonts w:eastAsiaTheme="minorEastAsia" w:cstheme="majorHAnsi"/>
                <w:color w:val="000000"/>
                <w:szCs w:val="18"/>
                <w:lang w:eastAsia="en-AU"/>
              </w:rPr>
            </w:pPr>
            <w:r w:rsidRPr="006A016F">
              <w:rPr>
                <w:rFonts w:eastAsiaTheme="minorEastAsia" w:cstheme="majorHAnsi"/>
                <w:color w:val="000000"/>
                <w:szCs w:val="18"/>
                <w:lang w:eastAsia="en-AU"/>
              </w:rPr>
              <w:t>Others</w:t>
            </w:r>
          </w:p>
        </w:tc>
        <w:tc>
          <w:tcPr>
            <w:tcW w:w="794"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2</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2</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3</w:t>
            </w:r>
          </w:p>
        </w:tc>
        <w:tc>
          <w:tcPr>
            <w:tcW w:w="828"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2</w:t>
            </w:r>
          </w:p>
        </w:tc>
        <w:tc>
          <w:tcPr>
            <w:tcW w:w="805" w:type="dxa"/>
            <w:tcBorders>
              <w:top w:val="nil"/>
              <w:left w:val="nil"/>
              <w:bottom w:val="nil"/>
              <w:right w:val="nil"/>
            </w:tcBorders>
          </w:tcPr>
          <w:p w:rsidR="004B6846" w:rsidRPr="006A016F"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A016F">
              <w:rPr>
                <w:rFonts w:eastAsiaTheme="minorEastAsia" w:cstheme="majorHAnsi"/>
                <w:color w:val="000000"/>
                <w:szCs w:val="18"/>
                <w:lang w:eastAsia="en-AU"/>
              </w:rPr>
              <w:t>2</w:t>
            </w:r>
          </w:p>
        </w:tc>
      </w:tr>
      <w:tr w:rsidR="004B6846" w:rsidRPr="006A016F"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4" w:type="dxa"/>
            <w:tcBorders>
              <w:top w:val="single" w:sz="6" w:space="0" w:color="000000"/>
              <w:bottom w:val="single" w:sz="12" w:space="0" w:color="000000"/>
            </w:tcBorders>
          </w:tcPr>
          <w:p w:rsidR="004B6846" w:rsidRPr="006A016F" w:rsidRDefault="004B6846" w:rsidP="00CC0EB7">
            <w:pPr>
              <w:keepLines w:val="0"/>
              <w:autoSpaceDE w:val="0"/>
              <w:autoSpaceDN w:val="0"/>
              <w:adjustRightInd w:val="0"/>
              <w:rPr>
                <w:rFonts w:eastAsiaTheme="minorEastAsia" w:cstheme="majorHAnsi"/>
                <w:b w:val="0"/>
                <w:bCs/>
                <w:color w:val="000000"/>
                <w:szCs w:val="18"/>
                <w:lang w:eastAsia="en-AU"/>
              </w:rPr>
            </w:pPr>
            <w:r w:rsidRPr="006A016F">
              <w:rPr>
                <w:rFonts w:eastAsiaTheme="minorEastAsia" w:cstheme="majorHAnsi"/>
                <w:bCs/>
                <w:color w:val="000000"/>
                <w:szCs w:val="18"/>
                <w:lang w:eastAsia="en-AU"/>
              </w:rPr>
              <w:t>Dividends from PNFC sector</w:t>
            </w:r>
          </w:p>
        </w:tc>
        <w:tc>
          <w:tcPr>
            <w:tcW w:w="794" w:type="dxa"/>
            <w:tcBorders>
              <w:top w:val="single" w:sz="6" w:space="0" w:color="000000"/>
              <w:bottom w:val="single" w:sz="12" w:space="0" w:color="000000"/>
            </w:tcBorders>
          </w:tcPr>
          <w:p w:rsidR="004B6846" w:rsidRPr="006A016F"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18"/>
                <w:lang w:eastAsia="en-AU"/>
              </w:rPr>
            </w:pPr>
            <w:r w:rsidRPr="006A016F">
              <w:rPr>
                <w:rFonts w:eastAsiaTheme="minorEastAsia" w:cstheme="majorHAnsi"/>
                <w:bCs/>
                <w:color w:val="000000"/>
                <w:szCs w:val="18"/>
                <w:lang w:eastAsia="en-AU"/>
              </w:rPr>
              <w:t>160</w:t>
            </w:r>
          </w:p>
        </w:tc>
        <w:tc>
          <w:tcPr>
            <w:tcW w:w="828" w:type="dxa"/>
            <w:tcBorders>
              <w:top w:val="single" w:sz="6" w:space="0" w:color="000000"/>
              <w:bottom w:val="single" w:sz="12" w:space="0" w:color="000000"/>
            </w:tcBorders>
          </w:tcPr>
          <w:p w:rsidR="004B6846" w:rsidRPr="006A016F"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18"/>
                <w:lang w:eastAsia="en-AU"/>
              </w:rPr>
            </w:pPr>
            <w:r w:rsidRPr="006A016F">
              <w:rPr>
                <w:rFonts w:eastAsiaTheme="minorEastAsia" w:cstheme="majorHAnsi"/>
                <w:bCs/>
                <w:color w:val="000000"/>
                <w:szCs w:val="18"/>
                <w:lang w:eastAsia="en-AU"/>
              </w:rPr>
              <w:t>205</w:t>
            </w:r>
          </w:p>
        </w:tc>
        <w:tc>
          <w:tcPr>
            <w:tcW w:w="828" w:type="dxa"/>
            <w:tcBorders>
              <w:top w:val="single" w:sz="6" w:space="0" w:color="000000"/>
              <w:bottom w:val="single" w:sz="12" w:space="0" w:color="000000"/>
            </w:tcBorders>
          </w:tcPr>
          <w:p w:rsidR="004B6846" w:rsidRPr="006A016F"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18"/>
                <w:lang w:eastAsia="en-AU"/>
              </w:rPr>
            </w:pPr>
            <w:r w:rsidRPr="006A016F">
              <w:rPr>
                <w:rFonts w:eastAsiaTheme="minorEastAsia" w:cstheme="majorHAnsi"/>
                <w:bCs/>
                <w:color w:val="000000"/>
                <w:szCs w:val="18"/>
                <w:lang w:eastAsia="en-AU"/>
              </w:rPr>
              <w:t>183</w:t>
            </w:r>
          </w:p>
        </w:tc>
        <w:tc>
          <w:tcPr>
            <w:tcW w:w="828" w:type="dxa"/>
            <w:tcBorders>
              <w:top w:val="single" w:sz="6" w:space="0" w:color="000000"/>
              <w:bottom w:val="single" w:sz="12" w:space="0" w:color="000000"/>
            </w:tcBorders>
          </w:tcPr>
          <w:p w:rsidR="004B6846" w:rsidRPr="006A016F"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18"/>
                <w:lang w:eastAsia="en-AU"/>
              </w:rPr>
            </w:pPr>
            <w:r w:rsidRPr="006A016F">
              <w:rPr>
                <w:rFonts w:eastAsiaTheme="minorEastAsia" w:cstheme="majorHAnsi"/>
                <w:bCs/>
                <w:color w:val="000000"/>
                <w:szCs w:val="18"/>
                <w:lang w:eastAsia="en-AU"/>
              </w:rPr>
              <w:t>165</w:t>
            </w:r>
          </w:p>
        </w:tc>
        <w:tc>
          <w:tcPr>
            <w:tcW w:w="805" w:type="dxa"/>
            <w:tcBorders>
              <w:top w:val="single" w:sz="6" w:space="0" w:color="000000"/>
              <w:bottom w:val="single" w:sz="12" w:space="0" w:color="000000"/>
            </w:tcBorders>
          </w:tcPr>
          <w:p w:rsidR="004B6846" w:rsidRPr="006A016F"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18"/>
                <w:lang w:eastAsia="en-AU"/>
              </w:rPr>
            </w:pPr>
            <w:r w:rsidRPr="006A016F">
              <w:rPr>
                <w:rFonts w:eastAsiaTheme="minorEastAsia" w:cstheme="majorHAnsi"/>
                <w:bCs/>
                <w:color w:val="000000"/>
                <w:szCs w:val="18"/>
                <w:lang w:eastAsia="en-AU"/>
              </w:rPr>
              <w:t>141</w:t>
            </w:r>
          </w:p>
        </w:tc>
      </w:tr>
    </w:tbl>
    <w:p w:rsidR="004B6846" w:rsidRPr="00D87D22" w:rsidRDefault="004B6846" w:rsidP="00CC0EB7">
      <w:pPr>
        <w:pStyle w:val="Source"/>
      </w:pPr>
      <w:r w:rsidRPr="00D87D22">
        <w:t>Source: Department of Treasury and Finance</w:t>
      </w:r>
    </w:p>
    <w:p w:rsidR="004B6846" w:rsidRDefault="004B6846" w:rsidP="00CC0EB7">
      <w:pPr>
        <w:pStyle w:val="Note"/>
      </w:pPr>
      <w:r>
        <w:t>Notes:</w:t>
      </w:r>
    </w:p>
    <w:p w:rsidR="004B6846" w:rsidRPr="003352C9" w:rsidRDefault="004B6846" w:rsidP="00CC0EB7">
      <w:pPr>
        <w:pStyle w:val="Note"/>
      </w:pPr>
      <w:r>
        <w:t>(a)</w:t>
      </w:r>
      <w:r>
        <w:tab/>
        <w:t>‘Amounts equivalent to dividends’ to be paid by the Tran</w:t>
      </w:r>
      <w:r w:rsidRPr="00BC081A">
        <w:t xml:space="preserve">sport Accident Commission </w:t>
      </w:r>
      <w:r>
        <w:t xml:space="preserve">are received and reported as contributions forming part of grant revenue, consistent with the requirements of </w:t>
      </w:r>
      <w:r w:rsidRPr="008A5B5D">
        <w:rPr>
          <w:i w:val="0"/>
        </w:rPr>
        <w:t>AASB 1023 General Insurance Contracts</w:t>
      </w:r>
      <w:r>
        <w:rPr>
          <w:i w:val="0"/>
        </w:rPr>
        <w:t xml:space="preserve"> (AASB 1023). </w:t>
      </w:r>
      <w:r w:rsidR="003352C9">
        <w:t xml:space="preserve">The amounts forecast to be paid are $586 million in 2018-19, $383 million in 2019-20, $407 million in 2020-21 and $500 million in 2021-22. </w:t>
      </w:r>
    </w:p>
    <w:p w:rsidR="004B6846" w:rsidRDefault="004B6846" w:rsidP="00CC0EB7">
      <w:pPr>
        <w:pStyle w:val="Note"/>
      </w:pPr>
      <w:r>
        <w:t>(b)</w:t>
      </w:r>
      <w:r>
        <w:tab/>
        <w:t xml:space="preserve">The 2018-19 amount includes a </w:t>
      </w:r>
      <w:r w:rsidRPr="00616507">
        <w:t xml:space="preserve">Victorian Managed Insurance Authority </w:t>
      </w:r>
      <w:r>
        <w:t>dividend deferred from 2017-18.</w:t>
      </w:r>
    </w:p>
    <w:p w:rsidR="004B6846" w:rsidRDefault="004B6846" w:rsidP="00CC0EB7"/>
    <w:p w:rsidR="004B6846" w:rsidRDefault="004B6846">
      <w:pPr>
        <w:keepLines w:val="0"/>
        <w:rPr>
          <w:rFonts w:asciiTheme="majorHAnsi" w:eastAsiaTheme="majorEastAsia" w:hAnsiTheme="majorHAnsi" w:cstheme="majorBidi"/>
          <w:b/>
          <w:bCs/>
          <w:spacing w:val="-2"/>
          <w:szCs w:val="26"/>
        </w:rPr>
      </w:pPr>
      <w:r>
        <w:br w:type="page"/>
      </w:r>
    </w:p>
    <w:p w:rsidR="004B6846" w:rsidRPr="008D5734" w:rsidRDefault="004B6846" w:rsidP="004B6846">
      <w:pPr>
        <w:pStyle w:val="Heading3"/>
        <w:numPr>
          <w:ilvl w:val="2"/>
          <w:numId w:val="19"/>
        </w:numPr>
        <w:spacing w:after="60"/>
        <w:rPr>
          <w:lang w:val="en-US"/>
        </w:rPr>
      </w:pPr>
      <w:bookmarkStart w:id="42" w:name="_Toc530147731"/>
      <w:r w:rsidRPr="004E4D8E">
        <w:lastRenderedPageBreak/>
        <w:t>Sales of goods and services</w:t>
      </w:r>
      <w:r w:rsidRPr="004E4D8E">
        <w:tab/>
        <w:t>($ million)</w:t>
      </w:r>
      <w:bookmarkEnd w:id="42"/>
    </w:p>
    <w:tbl>
      <w:tblPr>
        <w:tblStyle w:val="DTFTable"/>
        <w:tblW w:w="7768" w:type="dxa"/>
        <w:tblInd w:w="45" w:type="dxa"/>
        <w:tblLayout w:type="fixed"/>
        <w:tblCellMar>
          <w:left w:w="45" w:type="dxa"/>
          <w:right w:w="45" w:type="dxa"/>
        </w:tblCellMar>
        <w:tblLook w:val="06A0" w:firstRow="1" w:lastRow="0" w:firstColumn="1" w:lastColumn="0" w:noHBand="1" w:noVBand="1"/>
      </w:tblPr>
      <w:tblGrid>
        <w:gridCol w:w="3515"/>
        <w:gridCol w:w="964"/>
        <w:gridCol w:w="828"/>
        <w:gridCol w:w="811"/>
        <w:gridCol w:w="839"/>
        <w:gridCol w:w="811"/>
      </w:tblGrid>
      <w:tr w:rsidR="00CC0EB7" w:rsidRPr="008D5734" w:rsidTr="00D11960">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964"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28"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11"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39"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11"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Motor vehicle regulatory fees</w:t>
            </w:r>
          </w:p>
        </w:tc>
        <w:tc>
          <w:tcPr>
            <w:tcW w:w="964"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225</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225</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234</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266</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300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regulatory fees</w:t>
            </w:r>
          </w:p>
        </w:tc>
        <w:tc>
          <w:tcPr>
            <w:tcW w:w="964"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539</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539</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547</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558</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566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Sale of goods</w:t>
            </w:r>
          </w:p>
        </w:tc>
        <w:tc>
          <w:tcPr>
            <w:tcW w:w="964"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89</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89</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93</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96</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Provision of services</w:t>
            </w:r>
          </w:p>
        </w:tc>
        <w:tc>
          <w:tcPr>
            <w:tcW w:w="964"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4 342</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4 387</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5 080</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5 276</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5 258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Rental</w:t>
            </w:r>
          </w:p>
        </w:tc>
        <w:tc>
          <w:tcPr>
            <w:tcW w:w="964"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78</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83</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82</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82</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Refunds and reimbursements</w:t>
            </w:r>
          </w:p>
        </w:tc>
        <w:tc>
          <w:tcPr>
            <w:tcW w:w="964"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15</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Inter-sector capital asset charge</w:t>
            </w:r>
          </w:p>
        </w:tc>
        <w:tc>
          <w:tcPr>
            <w:tcW w:w="964"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2 257</w:t>
            </w:r>
          </w:p>
        </w:tc>
        <w:tc>
          <w:tcPr>
            <w:tcW w:w="828"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2 257</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2 371</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2 395</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2 408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sales of goods and services</w:t>
            </w:r>
          </w:p>
        </w:tc>
        <w:tc>
          <w:tcPr>
            <w:tcW w:w="964"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7 541</w:t>
            </w:r>
          </w:p>
        </w:tc>
        <w:tc>
          <w:tcPr>
            <w:tcW w:w="828"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7 594</w:t>
            </w:r>
          </w:p>
        </w:tc>
        <w:tc>
          <w:tcPr>
            <w:tcW w:w="811"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8 417</w:t>
            </w:r>
          </w:p>
        </w:tc>
        <w:tc>
          <w:tcPr>
            <w:tcW w:w="839"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8 685</w:t>
            </w:r>
          </w:p>
        </w:tc>
        <w:tc>
          <w:tcPr>
            <w:tcW w:w="811"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8 726</w:t>
            </w:r>
          </w:p>
        </w:tc>
      </w:tr>
    </w:tbl>
    <w:p w:rsidR="004B6846" w:rsidRDefault="004B6846" w:rsidP="00CC0EB7">
      <w:pPr>
        <w:pStyle w:val="Source"/>
      </w:pPr>
      <w:r w:rsidRPr="00D87D22">
        <w:t>Source: Department of Treasury and Finance</w:t>
      </w:r>
    </w:p>
    <w:p w:rsidR="004B6846" w:rsidRPr="00875AC9" w:rsidRDefault="004B6846" w:rsidP="00CC0EB7">
      <w:pPr>
        <w:rPr>
          <w:lang w:val="en-US"/>
        </w:rPr>
      </w:pPr>
    </w:p>
    <w:p w:rsidR="004B6846" w:rsidRPr="008D5734" w:rsidRDefault="004B6846" w:rsidP="004B6846">
      <w:pPr>
        <w:pStyle w:val="Heading3"/>
        <w:numPr>
          <w:ilvl w:val="2"/>
          <w:numId w:val="19"/>
        </w:numPr>
        <w:spacing w:after="60"/>
        <w:rPr>
          <w:lang w:val="en-US"/>
        </w:rPr>
      </w:pPr>
      <w:bookmarkStart w:id="43" w:name="_Toc530147732"/>
      <w:r w:rsidRPr="004E4D8E">
        <w:t>Grant revenue</w:t>
      </w:r>
      <w:r w:rsidRPr="004E4D8E">
        <w:tab/>
        <w:t>($ million)</w:t>
      </w:r>
      <w:bookmarkEnd w:id="43"/>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CC0EB7" w:rsidRPr="008D5734" w:rsidTr="00D11960">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General purpose grants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16 881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16 853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17 958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18 639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19 160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Specific purpose grants for on-passing</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3 997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3 703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4 220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4 462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4 717</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Grants for specific purposes</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11 847</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11 952</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10 718</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10 953</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11 387</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32 725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32 508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32 897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34 054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35 264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contributions and grants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733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1 006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801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632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678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grant revenue</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33 458</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33 515</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33 697</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34 686</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35 942</w:t>
            </w:r>
          </w:p>
        </w:tc>
      </w:tr>
    </w:tbl>
    <w:p w:rsidR="004B6846" w:rsidRDefault="004B6846" w:rsidP="00CC0EB7">
      <w:pPr>
        <w:pStyle w:val="Source"/>
      </w:pPr>
      <w:r>
        <w:t>S</w:t>
      </w:r>
      <w:r w:rsidRPr="00D87D22">
        <w:t>ource: Department of Treasury and Finance</w:t>
      </w:r>
    </w:p>
    <w:p w:rsidR="004B6846" w:rsidRDefault="004B6846" w:rsidP="00CC0EB7"/>
    <w:p w:rsidR="004B6846" w:rsidRPr="008D5734" w:rsidRDefault="004B6846" w:rsidP="004B6846">
      <w:pPr>
        <w:pStyle w:val="Heading3"/>
        <w:numPr>
          <w:ilvl w:val="2"/>
          <w:numId w:val="19"/>
        </w:numPr>
        <w:spacing w:after="60"/>
        <w:rPr>
          <w:lang w:val="en-US"/>
        </w:rPr>
      </w:pPr>
      <w:bookmarkStart w:id="44" w:name="_Toc530147733"/>
      <w:r w:rsidRPr="004E4D8E">
        <w:t>Other revenue</w:t>
      </w:r>
      <w:r w:rsidRPr="004E4D8E">
        <w:tab/>
        <w:t>($ million)</w:t>
      </w:r>
      <w:bookmarkEnd w:id="44"/>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3657"/>
        <w:gridCol w:w="811"/>
        <w:gridCol w:w="839"/>
        <w:gridCol w:w="811"/>
        <w:gridCol w:w="799"/>
        <w:gridCol w:w="850"/>
      </w:tblGrid>
      <w:tr w:rsidR="00CC0EB7" w:rsidRPr="008D5734" w:rsidTr="00D11960">
        <w:trPr>
          <w:cnfStyle w:val="100000000000" w:firstRow="1" w:lastRow="0" w:firstColumn="0" w:lastColumn="0" w:oddVBand="0" w:evenVBand="0" w:oddHBand="0" w:evenHBand="0" w:firstRowFirstColumn="0" w:firstRowLastColumn="0" w:lastRowFirstColumn="0" w:lastRowLastColumn="0"/>
          <w:trHeight w:val="222"/>
          <w:tblHeader/>
        </w:trPr>
        <w:tc>
          <w:tcPr>
            <w:cnfStyle w:val="001000000000" w:firstRow="0" w:lastRow="0" w:firstColumn="1" w:lastColumn="0" w:oddVBand="0" w:evenVBand="0" w:oddHBand="0" w:evenHBand="0" w:firstRowFirstColumn="0" w:firstRowLastColumn="0" w:lastRowFirstColumn="0" w:lastRowLastColumn="0"/>
            <w:tcW w:w="3657"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811"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Arial"/>
                <w:iCs/>
                <w:color w:val="FFFFFF"/>
                <w:szCs w:val="18"/>
                <w:lang w:eastAsia="en-AU"/>
              </w:rPr>
              <w:t>budget</w:t>
            </w:r>
          </w:p>
        </w:tc>
        <w:tc>
          <w:tcPr>
            <w:tcW w:w="839"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Arial"/>
                <w:iCs/>
                <w:color w:val="FFFFFF"/>
                <w:szCs w:val="18"/>
                <w:lang w:eastAsia="en-AU"/>
              </w:rPr>
              <w:t>revised</w:t>
            </w:r>
          </w:p>
        </w:tc>
        <w:tc>
          <w:tcPr>
            <w:tcW w:w="811"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2019-20</w:t>
            </w:r>
            <w:r>
              <w:rPr>
                <w:rFonts w:eastAsiaTheme="minorEastAsia" w:cs="Calibri"/>
                <w:iCs/>
                <w:color w:val="FFFFFF"/>
                <w:szCs w:val="18"/>
                <w:lang w:eastAsia="en-AU"/>
              </w:rPr>
              <w:br/>
            </w:r>
            <w:r w:rsidRPr="008D5734">
              <w:rPr>
                <w:rFonts w:eastAsiaTheme="minorEastAsia" w:cs="Arial"/>
                <w:iCs/>
                <w:color w:val="FFFFFF"/>
                <w:szCs w:val="18"/>
                <w:lang w:eastAsia="en-AU"/>
              </w:rPr>
              <w:t>estimate</w:t>
            </w:r>
          </w:p>
        </w:tc>
        <w:tc>
          <w:tcPr>
            <w:tcW w:w="799"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2020-21</w:t>
            </w:r>
            <w:r>
              <w:rPr>
                <w:rFonts w:eastAsiaTheme="minorEastAsia" w:cs="Calibri"/>
                <w:iCs/>
                <w:color w:val="FFFFFF"/>
                <w:szCs w:val="18"/>
                <w:lang w:eastAsia="en-AU"/>
              </w:rPr>
              <w:br/>
            </w:r>
            <w:r w:rsidRPr="008D5734">
              <w:rPr>
                <w:rFonts w:eastAsiaTheme="minorEastAsia" w:cs="Arial"/>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2021-22</w:t>
            </w:r>
            <w:r>
              <w:rPr>
                <w:rFonts w:eastAsiaTheme="minorEastAsia" w:cs="Calibri"/>
                <w:iCs/>
                <w:color w:val="FFFFFF"/>
                <w:szCs w:val="18"/>
                <w:lang w:eastAsia="en-AU"/>
              </w:rPr>
              <w:br/>
            </w:r>
            <w:r w:rsidRPr="008D5734">
              <w:rPr>
                <w:rFonts w:eastAsiaTheme="minorEastAsia" w:cs="Arial"/>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Fair value of assets received free of charge or for nominal consideration</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69</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69</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70</w:t>
            </w:r>
          </w:p>
        </w:tc>
        <w:tc>
          <w:tcPr>
            <w:tcW w:w="79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Fines</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785</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788</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820</w:t>
            </w:r>
          </w:p>
        </w:tc>
        <w:tc>
          <w:tcPr>
            <w:tcW w:w="79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838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857</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Royalties</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100</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99</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102</w:t>
            </w:r>
          </w:p>
        </w:tc>
        <w:tc>
          <w:tcPr>
            <w:tcW w:w="79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107</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Donations and gifts</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313</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317</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311</w:t>
            </w:r>
          </w:p>
        </w:tc>
        <w:tc>
          <w:tcPr>
            <w:tcW w:w="79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338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non-property rental</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27</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27</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28</w:t>
            </w:r>
          </w:p>
        </w:tc>
        <w:tc>
          <w:tcPr>
            <w:tcW w:w="79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revenue – Education</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643</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643</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659</w:t>
            </w:r>
          </w:p>
        </w:tc>
        <w:tc>
          <w:tcPr>
            <w:tcW w:w="79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675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692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revenue – Health</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49</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49</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51</w:t>
            </w:r>
          </w:p>
        </w:tc>
        <w:tc>
          <w:tcPr>
            <w:tcW w:w="79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miscellaneous revenue</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637</w:t>
            </w:r>
          </w:p>
        </w:tc>
        <w:tc>
          <w:tcPr>
            <w:tcW w:w="83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644</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554</w:t>
            </w:r>
          </w:p>
        </w:tc>
        <w:tc>
          <w:tcPr>
            <w:tcW w:w="799"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562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570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57"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other revenue</w:t>
            </w:r>
          </w:p>
        </w:tc>
        <w:tc>
          <w:tcPr>
            <w:tcW w:w="811"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2 622</w:t>
            </w:r>
          </w:p>
        </w:tc>
        <w:tc>
          <w:tcPr>
            <w:tcW w:w="839"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2 636</w:t>
            </w:r>
          </w:p>
        </w:tc>
        <w:tc>
          <w:tcPr>
            <w:tcW w:w="811"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2 594</w:t>
            </w:r>
          </w:p>
        </w:tc>
        <w:tc>
          <w:tcPr>
            <w:tcW w:w="799"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2 656</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2 714</w:t>
            </w:r>
          </w:p>
        </w:tc>
      </w:tr>
    </w:tbl>
    <w:p w:rsidR="004B6846" w:rsidRDefault="004B6846" w:rsidP="00CC0EB7">
      <w:pPr>
        <w:pStyle w:val="Source"/>
      </w:pPr>
      <w:r w:rsidRPr="00D87D22">
        <w:t>Source: Department of Treasury and Finance</w:t>
      </w:r>
    </w:p>
    <w:p w:rsidR="004B6846" w:rsidRDefault="004B6846">
      <w:pPr>
        <w:keepLines w:val="0"/>
      </w:pPr>
    </w:p>
    <w:bookmarkEnd w:id="40"/>
    <w:p w:rsidR="004B6846" w:rsidRDefault="004B6846">
      <w:pPr>
        <w:keepLines w:val="0"/>
      </w:pPr>
      <w:r>
        <w:br w:type="page"/>
      </w:r>
    </w:p>
    <w:p w:rsidR="004B6846" w:rsidRDefault="004B6846" w:rsidP="004B6846">
      <w:pPr>
        <w:pStyle w:val="Heading2"/>
        <w:numPr>
          <w:ilvl w:val="1"/>
          <w:numId w:val="19"/>
        </w:numPr>
        <w:sectPr w:rsidR="004B6846" w:rsidSect="00CC0EB7">
          <w:headerReference w:type="even" r:id="rId49"/>
          <w:headerReference w:type="default" r:id="rId50"/>
          <w:headerReference w:type="first" r:id="rId51"/>
          <w:footerReference w:type="first" r:id="rId52"/>
          <w:type w:val="continuous"/>
          <w:pgSz w:w="9979" w:h="14175" w:code="9"/>
          <w:pgMar w:top="850" w:right="1134" w:bottom="850" w:left="1134" w:header="624" w:footer="567" w:gutter="0"/>
          <w:cols w:sep="1" w:space="567"/>
          <w:titlePg/>
          <w:docGrid w:linePitch="360"/>
        </w:sectPr>
      </w:pPr>
      <w:r>
        <w:lastRenderedPageBreak/>
        <w:t>HOW FUNDS ARE SPENT</w:t>
      </w:r>
    </w:p>
    <w:p w:rsidR="004B6846" w:rsidRPr="004E4D8E" w:rsidRDefault="004B6846" w:rsidP="00D11960">
      <w:pPr>
        <w:pStyle w:val="Heading30"/>
        <w:pBdr>
          <w:bottom w:val="single" w:sz="4" w:space="1" w:color="auto"/>
        </w:pBdr>
      </w:pPr>
      <w:r w:rsidRPr="004E4D8E">
        <w:t>Introduction</w:t>
      </w:r>
    </w:p>
    <w:p w:rsidR="004B6846" w:rsidRDefault="004B6846" w:rsidP="00CC0EB7">
      <w:r w:rsidRPr="006422C6">
        <w:t>This section details the major components of forecast expenditure for the general government sector’s operating activities (expenses from transactions) and capital or infrastructure projects during the year, as well as any related obligations.</w:t>
      </w:r>
    </w:p>
    <w:p w:rsidR="004B6846" w:rsidRPr="004E4D8E" w:rsidRDefault="004B6846" w:rsidP="00D11960">
      <w:pPr>
        <w:pStyle w:val="Heading30"/>
        <w:pBdr>
          <w:bottom w:val="single" w:sz="4" w:space="1" w:color="auto"/>
        </w:pBdr>
      </w:pPr>
      <w:r>
        <w:br w:type="column"/>
      </w:r>
      <w:r w:rsidRPr="004E4D8E">
        <w:t>Structure</w:t>
      </w:r>
    </w:p>
    <w:p w:rsidR="004B6846" w:rsidRDefault="004B6846" w:rsidP="00C7540B">
      <w:pPr>
        <w:pStyle w:val="TOC9"/>
        <w:rPr>
          <w:rFonts w:eastAsiaTheme="minorEastAsia"/>
          <w:noProof/>
          <w:spacing w:val="0"/>
          <w:lang w:eastAsia="en-AU"/>
        </w:rPr>
      </w:pPr>
      <w:r>
        <w:fldChar w:fldCharType="begin"/>
      </w:r>
      <w:r>
        <w:instrText xml:space="preserve"> TOC \h \z \t "Heading 3 (#),9" \b Section_3 \* MERGEFORMAT </w:instrText>
      </w:r>
      <w:r>
        <w:fldChar w:fldCharType="separate"/>
      </w:r>
      <w:hyperlink w:anchor="_Toc530147960" w:history="1">
        <w:r w:rsidRPr="009E34DE">
          <w:rPr>
            <w:rStyle w:val="Hyperlink"/>
            <w:noProof/>
          </w:rPr>
          <w:t>4.3.1</w:t>
        </w:r>
        <w:r>
          <w:rPr>
            <w:rFonts w:eastAsiaTheme="minorEastAsia"/>
            <w:noProof/>
            <w:spacing w:val="0"/>
            <w:lang w:eastAsia="en-AU"/>
          </w:rPr>
          <w:tab/>
        </w:r>
        <w:r w:rsidRPr="009E34DE">
          <w:rPr>
            <w:rStyle w:val="Hyperlink"/>
            <w:noProof/>
          </w:rPr>
          <w:t xml:space="preserve">Employee expenses and </w:t>
        </w:r>
        <w:r w:rsidR="00C7540B">
          <w:rPr>
            <w:rStyle w:val="Hyperlink"/>
            <w:noProof/>
          </w:rPr>
          <w:br/>
        </w:r>
        <w:r w:rsidRPr="009E34DE">
          <w:rPr>
            <w:rStyle w:val="Hyperlink"/>
            <w:noProof/>
          </w:rPr>
          <w:t xml:space="preserve">provision for outstanding </w:t>
        </w:r>
        <w:r w:rsidR="00C7540B">
          <w:rPr>
            <w:rStyle w:val="Hyperlink"/>
            <w:noProof/>
          </w:rPr>
          <w:br/>
        </w:r>
        <w:r w:rsidRPr="009E34DE">
          <w:rPr>
            <w:rStyle w:val="Hyperlink"/>
            <w:noProof/>
          </w:rPr>
          <w:t>employee benefits</w:t>
        </w:r>
        <w:r>
          <w:rPr>
            <w:noProof/>
            <w:webHidden/>
          </w:rPr>
          <w:tab/>
        </w:r>
        <w:r>
          <w:rPr>
            <w:noProof/>
            <w:webHidden/>
          </w:rPr>
          <w:fldChar w:fldCharType="begin"/>
        </w:r>
        <w:r>
          <w:rPr>
            <w:noProof/>
            <w:webHidden/>
          </w:rPr>
          <w:instrText xml:space="preserve"> PAGEREF _Toc530147960 \h </w:instrText>
        </w:r>
        <w:r>
          <w:rPr>
            <w:noProof/>
            <w:webHidden/>
          </w:rPr>
        </w:r>
        <w:r>
          <w:rPr>
            <w:noProof/>
            <w:webHidden/>
          </w:rPr>
          <w:fldChar w:fldCharType="separate"/>
        </w:r>
        <w:r w:rsidR="004B094E">
          <w:rPr>
            <w:noProof/>
            <w:webHidden/>
          </w:rPr>
          <w:t>2</w:t>
        </w:r>
        <w:r>
          <w:rPr>
            <w:noProof/>
            <w:webHidden/>
          </w:rPr>
          <w:fldChar w:fldCharType="end"/>
        </w:r>
      </w:hyperlink>
    </w:p>
    <w:p w:rsidR="004B6846" w:rsidRDefault="00F919DB" w:rsidP="00C7540B">
      <w:pPr>
        <w:pStyle w:val="TOC9"/>
        <w:rPr>
          <w:rFonts w:eastAsiaTheme="minorEastAsia"/>
          <w:noProof/>
          <w:spacing w:val="0"/>
          <w:lang w:eastAsia="en-AU"/>
        </w:rPr>
      </w:pPr>
      <w:hyperlink w:anchor="_Toc530147961" w:history="1">
        <w:r w:rsidR="004B6846" w:rsidRPr="009E34DE">
          <w:rPr>
            <w:rStyle w:val="Hyperlink"/>
            <w:noProof/>
          </w:rPr>
          <w:t>4.3.2</w:t>
        </w:r>
        <w:r w:rsidR="004B6846">
          <w:rPr>
            <w:rFonts w:eastAsiaTheme="minorEastAsia"/>
            <w:noProof/>
            <w:spacing w:val="0"/>
            <w:lang w:eastAsia="en-AU"/>
          </w:rPr>
          <w:tab/>
        </w:r>
        <w:r w:rsidR="004B6846" w:rsidRPr="009E34DE">
          <w:rPr>
            <w:rStyle w:val="Hyperlink"/>
            <w:noProof/>
          </w:rPr>
          <w:t xml:space="preserve">Superannuation expense and </w:t>
        </w:r>
        <w:r w:rsidR="00C7540B">
          <w:rPr>
            <w:rStyle w:val="Hyperlink"/>
            <w:noProof/>
          </w:rPr>
          <w:br/>
        </w:r>
        <w:r w:rsidR="004B6846" w:rsidRPr="009E34DE">
          <w:rPr>
            <w:rStyle w:val="Hyperlink"/>
            <w:noProof/>
          </w:rPr>
          <w:t>other superannuation expenses</w:t>
        </w:r>
        <w:r w:rsidR="004B6846">
          <w:rPr>
            <w:noProof/>
            <w:webHidden/>
          </w:rPr>
          <w:tab/>
        </w:r>
        <w:r w:rsidR="004B6846">
          <w:rPr>
            <w:noProof/>
            <w:webHidden/>
          </w:rPr>
          <w:fldChar w:fldCharType="begin"/>
        </w:r>
        <w:r w:rsidR="004B6846">
          <w:rPr>
            <w:noProof/>
            <w:webHidden/>
          </w:rPr>
          <w:instrText xml:space="preserve"> PAGEREF _Toc530147961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F919DB" w:rsidP="00C7540B">
      <w:pPr>
        <w:pStyle w:val="TOC9"/>
        <w:rPr>
          <w:rFonts w:eastAsiaTheme="minorEastAsia"/>
          <w:noProof/>
          <w:spacing w:val="0"/>
          <w:lang w:eastAsia="en-AU"/>
        </w:rPr>
      </w:pPr>
      <w:hyperlink w:anchor="_Toc530147962" w:history="1">
        <w:r w:rsidR="004B6846" w:rsidRPr="009E34DE">
          <w:rPr>
            <w:rStyle w:val="Hyperlink"/>
            <w:noProof/>
            <w:lang w:val="en-US"/>
          </w:rPr>
          <w:t>4.3.3</w:t>
        </w:r>
        <w:r w:rsidR="004B6846">
          <w:rPr>
            <w:rFonts w:eastAsiaTheme="minorEastAsia"/>
            <w:noProof/>
            <w:spacing w:val="0"/>
            <w:lang w:eastAsia="en-AU"/>
          </w:rPr>
          <w:tab/>
        </w:r>
        <w:r w:rsidR="004B6846">
          <w:rPr>
            <w:rStyle w:val="Hyperlink"/>
            <w:noProof/>
          </w:rPr>
          <w:t>Grant expense</w:t>
        </w:r>
        <w:r w:rsidR="004B6846">
          <w:rPr>
            <w:noProof/>
            <w:webHidden/>
          </w:rPr>
          <w:tab/>
        </w:r>
        <w:r w:rsidR="004B6846">
          <w:rPr>
            <w:noProof/>
            <w:webHidden/>
          </w:rPr>
          <w:fldChar w:fldCharType="begin"/>
        </w:r>
        <w:r w:rsidR="004B6846">
          <w:rPr>
            <w:noProof/>
            <w:webHidden/>
          </w:rPr>
          <w:instrText xml:space="preserve"> PAGEREF _Toc530147962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F919DB" w:rsidP="00C7540B">
      <w:pPr>
        <w:pStyle w:val="TOC9"/>
        <w:rPr>
          <w:rFonts w:eastAsiaTheme="minorEastAsia"/>
          <w:noProof/>
          <w:spacing w:val="0"/>
          <w:lang w:eastAsia="en-AU"/>
        </w:rPr>
      </w:pPr>
      <w:hyperlink w:anchor="_Toc530147963" w:history="1">
        <w:r w:rsidR="004B6846" w:rsidRPr="009E34DE">
          <w:rPr>
            <w:rStyle w:val="Hyperlink"/>
            <w:noProof/>
            <w:lang w:val="en-US"/>
          </w:rPr>
          <w:t>4.3.4</w:t>
        </w:r>
        <w:r w:rsidR="004B6846">
          <w:rPr>
            <w:rFonts w:eastAsiaTheme="minorEastAsia"/>
            <w:noProof/>
            <w:spacing w:val="0"/>
            <w:lang w:eastAsia="en-AU"/>
          </w:rPr>
          <w:tab/>
        </w:r>
        <w:r w:rsidR="004B6846">
          <w:rPr>
            <w:rStyle w:val="Hyperlink"/>
            <w:noProof/>
          </w:rPr>
          <w:t>Other operating expenses</w:t>
        </w:r>
        <w:r w:rsidR="004B6846">
          <w:rPr>
            <w:noProof/>
            <w:webHidden/>
          </w:rPr>
          <w:tab/>
        </w:r>
        <w:r w:rsidR="004B6846">
          <w:rPr>
            <w:noProof/>
            <w:webHidden/>
          </w:rPr>
          <w:fldChar w:fldCharType="begin"/>
        </w:r>
        <w:r w:rsidR="004B6846">
          <w:rPr>
            <w:noProof/>
            <w:webHidden/>
          </w:rPr>
          <w:instrText xml:space="preserve"> PAGEREF _Toc530147963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F919DB" w:rsidP="00C7540B">
      <w:pPr>
        <w:pStyle w:val="TOC9"/>
        <w:rPr>
          <w:rFonts w:eastAsiaTheme="minorEastAsia"/>
          <w:noProof/>
          <w:spacing w:val="0"/>
          <w:lang w:eastAsia="en-AU"/>
        </w:rPr>
      </w:pPr>
      <w:hyperlink w:anchor="_Toc530147964" w:history="1">
        <w:r w:rsidR="004B6846" w:rsidRPr="009E34DE">
          <w:rPr>
            <w:rStyle w:val="Hyperlink"/>
            <w:noProof/>
          </w:rPr>
          <w:t>4.3.5</w:t>
        </w:r>
        <w:r w:rsidR="004B6846">
          <w:rPr>
            <w:rFonts w:eastAsiaTheme="minorEastAsia"/>
            <w:noProof/>
            <w:spacing w:val="0"/>
            <w:lang w:eastAsia="en-AU"/>
          </w:rPr>
          <w:tab/>
        </w:r>
        <w:r w:rsidR="004B6846" w:rsidRPr="009E34DE">
          <w:rPr>
            <w:rStyle w:val="Hyperlink"/>
            <w:noProof/>
          </w:rPr>
          <w:t xml:space="preserve">Total expenses by classification </w:t>
        </w:r>
        <w:r w:rsidR="00C7540B">
          <w:rPr>
            <w:rStyle w:val="Hyperlink"/>
            <w:noProof/>
          </w:rPr>
          <w:br/>
        </w:r>
        <w:r w:rsidR="004B6846" w:rsidRPr="009E34DE">
          <w:rPr>
            <w:rStyle w:val="Hyperlink"/>
            <w:noProof/>
          </w:rPr>
          <w:t xml:space="preserve">of the functions of government </w:t>
        </w:r>
        <w:r w:rsidR="00C7540B">
          <w:rPr>
            <w:rStyle w:val="Hyperlink"/>
            <w:noProof/>
          </w:rPr>
          <w:br/>
        </w:r>
        <w:r w:rsidR="004B6846" w:rsidRPr="009E34DE">
          <w:rPr>
            <w:rStyle w:val="Hyperlink"/>
            <w:noProof/>
          </w:rPr>
          <w:t>and by portfolio department</w:t>
        </w:r>
        <w:r w:rsidR="004B6846">
          <w:rPr>
            <w:noProof/>
            <w:webHidden/>
          </w:rPr>
          <w:tab/>
        </w:r>
        <w:r w:rsidR="004B6846">
          <w:rPr>
            <w:noProof/>
            <w:webHidden/>
          </w:rPr>
          <w:fldChar w:fldCharType="begin"/>
        </w:r>
        <w:r w:rsidR="004B6846">
          <w:rPr>
            <w:noProof/>
            <w:webHidden/>
          </w:rPr>
          <w:instrText xml:space="preserve"> PAGEREF _Toc530147964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F919DB" w:rsidP="00C7540B">
      <w:pPr>
        <w:pStyle w:val="TOC9"/>
        <w:rPr>
          <w:rFonts w:eastAsiaTheme="minorEastAsia"/>
          <w:noProof/>
          <w:spacing w:val="0"/>
          <w:lang w:eastAsia="en-AU"/>
        </w:rPr>
      </w:pPr>
      <w:hyperlink w:anchor="_Toc530147965" w:history="1">
        <w:r w:rsidR="004B6846" w:rsidRPr="009E34DE">
          <w:rPr>
            <w:rStyle w:val="Hyperlink"/>
            <w:noProof/>
          </w:rPr>
          <w:t>4.3.6</w:t>
        </w:r>
        <w:r w:rsidR="004B6846">
          <w:rPr>
            <w:rFonts w:eastAsiaTheme="minorEastAsia"/>
            <w:noProof/>
            <w:spacing w:val="0"/>
            <w:lang w:eastAsia="en-AU"/>
          </w:rPr>
          <w:tab/>
        </w:r>
        <w:r w:rsidR="004B6846" w:rsidRPr="009E34DE">
          <w:rPr>
            <w:rStyle w:val="Hyperlink"/>
            <w:noProof/>
          </w:rPr>
          <w:t xml:space="preserve">Purchases of non-financial assets </w:t>
        </w:r>
        <w:r w:rsidR="00C7540B">
          <w:rPr>
            <w:rStyle w:val="Hyperlink"/>
            <w:noProof/>
          </w:rPr>
          <w:br/>
        </w:r>
        <w:r w:rsidR="004B6846" w:rsidRPr="009E34DE">
          <w:rPr>
            <w:rStyle w:val="Hyperlink"/>
            <w:noProof/>
          </w:rPr>
          <w:t xml:space="preserve">by classification of the functions </w:t>
        </w:r>
        <w:r w:rsidR="00C7540B">
          <w:rPr>
            <w:rStyle w:val="Hyperlink"/>
            <w:noProof/>
          </w:rPr>
          <w:br/>
        </w:r>
        <w:r w:rsidR="004B6846" w:rsidRPr="009E34DE">
          <w:rPr>
            <w:rStyle w:val="Hyperlink"/>
            <w:noProof/>
          </w:rPr>
          <w:t>of government and by portfolio department</w:t>
        </w:r>
        <w:r w:rsidR="004B6846">
          <w:rPr>
            <w:noProof/>
            <w:webHidden/>
          </w:rPr>
          <w:tab/>
        </w:r>
        <w:r w:rsidR="004B6846">
          <w:rPr>
            <w:noProof/>
            <w:webHidden/>
          </w:rPr>
          <w:fldChar w:fldCharType="begin"/>
        </w:r>
        <w:r w:rsidR="004B6846">
          <w:rPr>
            <w:noProof/>
            <w:webHidden/>
          </w:rPr>
          <w:instrText xml:space="preserve"> PAGEREF _Toc530147965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F919DB" w:rsidP="00C7540B">
      <w:pPr>
        <w:pStyle w:val="TOC9"/>
        <w:rPr>
          <w:b/>
          <w:bCs/>
          <w:noProof/>
          <w:lang w:val="en-US"/>
        </w:rPr>
        <w:sectPr w:rsidR="004B6846" w:rsidSect="00CC0EB7">
          <w:headerReference w:type="even" r:id="rId53"/>
          <w:headerReference w:type="default" r:id="rId54"/>
          <w:footerReference w:type="even" r:id="rId55"/>
          <w:footerReference w:type="default" r:id="rId56"/>
          <w:headerReference w:type="first" r:id="rId57"/>
          <w:footerReference w:type="first" r:id="rId58"/>
          <w:type w:val="continuous"/>
          <w:pgSz w:w="9979" w:h="14175" w:code="9"/>
          <w:pgMar w:top="850" w:right="1134" w:bottom="850" w:left="1134" w:header="624" w:footer="567" w:gutter="0"/>
          <w:cols w:num="2" w:space="567"/>
          <w:titlePg/>
          <w:docGrid w:linePitch="360"/>
        </w:sectPr>
      </w:pPr>
      <w:hyperlink w:anchor="_Toc530147966" w:history="1">
        <w:r w:rsidR="004B6846" w:rsidRPr="009E34DE">
          <w:rPr>
            <w:rStyle w:val="Hyperlink"/>
            <w:noProof/>
            <w:lang w:val="en-US"/>
          </w:rPr>
          <w:t>4.3.7</w:t>
        </w:r>
        <w:r w:rsidR="004B6846">
          <w:rPr>
            <w:rFonts w:eastAsiaTheme="minorEastAsia"/>
            <w:noProof/>
            <w:spacing w:val="0"/>
            <w:lang w:eastAsia="en-AU"/>
          </w:rPr>
          <w:tab/>
        </w:r>
        <w:r w:rsidR="004B6846" w:rsidRPr="009E34DE">
          <w:rPr>
            <w:rStyle w:val="Hyperlink"/>
            <w:noProof/>
          </w:rPr>
          <w:t>Net acquisition of non-financial assets from transactions</w:t>
        </w:r>
        <w:r w:rsidR="004B6846">
          <w:rPr>
            <w:noProof/>
            <w:webHidden/>
          </w:rPr>
          <w:tab/>
        </w:r>
        <w:r w:rsidR="004B6846">
          <w:rPr>
            <w:noProof/>
            <w:webHidden/>
          </w:rPr>
          <w:fldChar w:fldCharType="begin"/>
        </w:r>
        <w:r w:rsidR="004B6846">
          <w:rPr>
            <w:noProof/>
            <w:webHidden/>
          </w:rPr>
          <w:instrText xml:space="preserve"> PAGEREF _Toc530147966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r w:rsidR="004B6846">
        <w:rPr>
          <w:b/>
          <w:bCs/>
          <w:noProof/>
          <w:lang w:val="en-US"/>
        </w:rPr>
        <w:fldChar w:fldCharType="end"/>
      </w:r>
    </w:p>
    <w:p w:rsidR="004B6846" w:rsidRPr="004E4D8E" w:rsidRDefault="004B6846" w:rsidP="004B6846">
      <w:pPr>
        <w:pStyle w:val="Heading3"/>
        <w:numPr>
          <w:ilvl w:val="2"/>
          <w:numId w:val="19"/>
        </w:numPr>
        <w:spacing w:after="60"/>
      </w:pPr>
      <w:bookmarkStart w:id="47" w:name="_Toc496606574"/>
      <w:bookmarkStart w:id="48" w:name="_Toc530147960"/>
      <w:bookmarkStart w:id="49" w:name="Section_3"/>
      <w:r w:rsidRPr="004E4D8E">
        <w:t>Employee expenses and provision for outstanding employee benefits</w:t>
      </w:r>
      <w:bookmarkEnd w:id="47"/>
      <w:bookmarkEnd w:id="48"/>
    </w:p>
    <w:p w:rsidR="004B6846" w:rsidRDefault="004B6846" w:rsidP="00CC0EB7">
      <w:r>
        <w:t>Employee expenses and employee benefits are forecast on the basis of staffing profiles and current salaries, conditions and on costs. For the forecast period, employee expenses and employee benefits includes the expected financial impact of employing more staff to increase service delivery and approved wage outcomes, in line with wages policy. Forecast employee expenses also reflect the estimated impact of budget decisions, which either increase or reduce employee expenses. The majority of employee expenses in the operating statement are salaries and wages.</w:t>
      </w:r>
    </w:p>
    <w:p w:rsidR="004B6846" w:rsidRPr="008D5734" w:rsidRDefault="004B6846" w:rsidP="00CC0EB7">
      <w:pPr>
        <w:pStyle w:val="TableHeading"/>
        <w:rPr>
          <w:bCs/>
          <w:lang w:val="en-US"/>
        </w:rPr>
      </w:pPr>
      <w:r>
        <w:t>Employee benefits (balance sheet)</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170"/>
        <w:gridCol w:w="680"/>
        <w:gridCol w:w="850"/>
        <w:gridCol w:w="850"/>
        <w:gridCol w:w="850"/>
        <w:gridCol w:w="850"/>
      </w:tblGrid>
      <w:tr w:rsidR="00CC0EB7" w:rsidRPr="008D5734" w:rsidTr="00D11960">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850" w:type="dxa"/>
            <w:gridSpan w:val="2"/>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Current</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Accrued salaries and wages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employee benefits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87</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Annual leave</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1 649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1 647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1 683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1 720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1 757</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Long service leave</w:t>
            </w:r>
          </w:p>
        </w:tc>
        <w:tc>
          <w:tcPr>
            <w:tcW w:w="850" w:type="dxa"/>
            <w:gridSpan w:val="2"/>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4 074</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4 026</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4 169</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4 316</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4 465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current employee benefits and on-costs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6 419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6 366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6 558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6 758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6 960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Non-current</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Long service leave</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952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953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1 072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1 167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1 267</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gridSpan w:val="2"/>
            <w:tcBorders>
              <w:top w:val="single" w:sz="6" w:space="0" w:color="000000"/>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non-current employee benefits and on-costs</w:t>
            </w:r>
          </w:p>
        </w:tc>
        <w:tc>
          <w:tcPr>
            <w:tcW w:w="68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952</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953</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1 072</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1 167</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1 267</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employee benefits</w:t>
            </w:r>
          </w:p>
        </w:tc>
        <w:tc>
          <w:tcPr>
            <w:tcW w:w="850" w:type="dxa"/>
            <w:gridSpan w:val="2"/>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7 372</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7 319</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7 631</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7 926</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8 227</w:t>
            </w:r>
          </w:p>
        </w:tc>
      </w:tr>
    </w:tbl>
    <w:p w:rsidR="004B6846" w:rsidRDefault="004B6846" w:rsidP="00CC0EB7">
      <w:pPr>
        <w:pStyle w:val="Source"/>
      </w:pPr>
      <w:r w:rsidRPr="00D87D22">
        <w:t>Source: Department of Treasury and Finance</w:t>
      </w:r>
    </w:p>
    <w:p w:rsidR="004B6846" w:rsidRPr="00BA2EEF" w:rsidRDefault="004B6846" w:rsidP="004B6846">
      <w:pPr>
        <w:pStyle w:val="Heading3"/>
        <w:numPr>
          <w:ilvl w:val="2"/>
          <w:numId w:val="19"/>
        </w:numPr>
        <w:spacing w:after="60"/>
        <w:rPr>
          <w:sz w:val="22"/>
        </w:rPr>
      </w:pPr>
      <w:bookmarkStart w:id="50" w:name="_Toc496606575"/>
      <w:bookmarkStart w:id="51" w:name="_Toc530147961"/>
      <w:r w:rsidRPr="00BA2EEF">
        <w:rPr>
          <w:sz w:val="22"/>
        </w:rPr>
        <w:lastRenderedPageBreak/>
        <w:t>Superannuation expense and other superannuation expenses</w:t>
      </w:r>
      <w:bookmarkEnd w:id="50"/>
      <w:bookmarkEnd w:id="51"/>
    </w:p>
    <w:p w:rsidR="004B6846" w:rsidRPr="008D5734" w:rsidRDefault="004B6846" w:rsidP="00CC0EB7">
      <w:pPr>
        <w:pStyle w:val="TableHeading"/>
        <w:rPr>
          <w:bCs/>
          <w:lang w:val="en-US"/>
        </w:rPr>
      </w:pPr>
      <w:r>
        <w:t>Superannuation expense recognised in the operating statement</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CC0EB7" w:rsidRPr="008D5734" w:rsidTr="00D11960">
        <w:trPr>
          <w:cnfStyle w:val="100000000000" w:firstRow="1" w:lastRow="0" w:firstColumn="0" w:lastColumn="0" w:oddVBand="0" w:evenVBand="0" w:oddHBand="0" w:evenHBand="0" w:firstRowFirstColumn="0" w:firstRowLastColumn="0" w:lastRowFirstColumn="0" w:lastRowLastColumn="0"/>
          <w:trHeight w:val="10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Defined benefit plans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Net superannuation interest expense</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662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688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639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610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580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Current service cost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918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1 000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992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1 002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1 051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Remeasurements: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   Expected return on superannuation assets excluding interest income</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(1 014)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(1 039)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(1 053)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(1 074)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(1 094)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   Other actuarial (gain)/loss on superannuation assets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   Actuarial and other adjustments to unfunded superannuation liability</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(917)</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 xml:space="preserve">Total expense recognised in respect of </w:t>
            </w:r>
            <w:r w:rsidR="00BA2EEF">
              <w:rPr>
                <w:rFonts w:eastAsiaTheme="minorEastAsia" w:cs="Calibri"/>
                <w:b/>
                <w:bCs/>
                <w:color w:val="000000"/>
                <w:szCs w:val="18"/>
                <w:lang w:eastAsia="en-AU"/>
              </w:rPr>
              <w:br/>
            </w:r>
            <w:r w:rsidRPr="008D5734">
              <w:rPr>
                <w:rFonts w:eastAsiaTheme="minorEastAsia" w:cs="Calibri"/>
                <w:b/>
                <w:bCs/>
                <w:color w:val="000000"/>
                <w:szCs w:val="18"/>
                <w:lang w:eastAsia="en-AU"/>
              </w:rPr>
              <w:t>defined benefit plans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566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(308)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578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538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538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Defined contribution plans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Employer contributions to defined contribution plans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1 686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1 679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1 736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1 795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1 864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(including pensions)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 xml:space="preserve">Total expense recognised in respect of </w:t>
            </w:r>
            <w:r w:rsidR="00BA2EEF">
              <w:rPr>
                <w:rFonts w:eastAsiaTheme="minorEastAsia" w:cs="Calibri"/>
                <w:b/>
                <w:bCs/>
                <w:color w:val="000000"/>
                <w:szCs w:val="18"/>
                <w:lang w:eastAsia="en-AU"/>
              </w:rPr>
              <w:br/>
            </w:r>
            <w:r w:rsidRPr="008D5734">
              <w:rPr>
                <w:rFonts w:eastAsiaTheme="minorEastAsia" w:cs="Calibri"/>
                <w:b/>
                <w:bCs/>
                <w:color w:val="000000"/>
                <w:szCs w:val="18"/>
                <w:lang w:eastAsia="en-AU"/>
              </w:rPr>
              <w:t>defined contribution plans</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1 758</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1 750</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1 810</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1 870</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1 940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 xml:space="preserve">Total superannuation (gain)/expense </w:t>
            </w:r>
            <w:r w:rsidR="00BA2EEF">
              <w:rPr>
                <w:rFonts w:eastAsiaTheme="minorEastAsia" w:cs="Calibri"/>
                <w:b/>
                <w:bCs/>
                <w:color w:val="000000"/>
                <w:szCs w:val="18"/>
                <w:lang w:eastAsia="en-AU"/>
              </w:rPr>
              <w:br/>
            </w:r>
            <w:r w:rsidRPr="008D5734">
              <w:rPr>
                <w:rFonts w:eastAsiaTheme="minorEastAsia" w:cs="Calibri"/>
                <w:b/>
                <w:bCs/>
                <w:color w:val="000000"/>
                <w:szCs w:val="18"/>
                <w:lang w:eastAsia="en-AU"/>
              </w:rPr>
              <w:t>recognised in operating statement</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2 324</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1 442</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2 388</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2 408</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2 478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Represented by:</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   Net superannuation interest expense</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662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688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639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610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580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   Other superannuation</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2 676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2 750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2 802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2 873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2 992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Superannuation expense from transactions</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3 338</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3 439</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3 441</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3 482</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3 572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Remeasurements recognised in other comprehensive income</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(1 014)</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(1 996)</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(1 053)</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(1 074)</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(1 094)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superannuation expense recognised in operating statement</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2 324</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1 442</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2 388</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2 408</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2 478</w:t>
            </w:r>
          </w:p>
        </w:tc>
      </w:tr>
    </w:tbl>
    <w:p w:rsidR="004B6846" w:rsidRDefault="004B6846" w:rsidP="00CC0EB7">
      <w:pPr>
        <w:pStyle w:val="Source"/>
      </w:pPr>
      <w:r w:rsidRPr="00D87D22">
        <w:t>Source: Department of Treasury and Finance</w:t>
      </w:r>
    </w:p>
    <w:p w:rsidR="004B6846" w:rsidRDefault="004B6846" w:rsidP="00CC0EB7"/>
    <w:p w:rsidR="004B6846" w:rsidRDefault="004B6846">
      <w:pPr>
        <w:keepLines w:val="0"/>
      </w:pPr>
      <w:r>
        <w:br w:type="page"/>
      </w:r>
    </w:p>
    <w:p w:rsidR="004B6846" w:rsidRDefault="004B6846" w:rsidP="00CC0EB7">
      <w:r w:rsidRPr="00D87D22">
        <w:lastRenderedPageBreak/>
        <w:t>The accounting policies relating to superannuation expenses and liabilities are</w:t>
      </w:r>
      <w:r>
        <w:t xml:space="preserve"> consistent with </w:t>
      </w:r>
      <w:r w:rsidRPr="00D87D22">
        <w:t xml:space="preserve">the </w:t>
      </w:r>
      <w:r w:rsidRPr="00D87D22">
        <w:rPr>
          <w:i/>
        </w:rPr>
        <w:t>201</w:t>
      </w:r>
      <w:r>
        <w:rPr>
          <w:i/>
        </w:rPr>
        <w:t>8</w:t>
      </w:r>
      <w:r w:rsidRPr="00D87D22">
        <w:rPr>
          <w:i/>
        </w:rPr>
        <w:t>-1</w:t>
      </w:r>
      <w:r>
        <w:rPr>
          <w:i/>
        </w:rPr>
        <w:t>9</w:t>
      </w:r>
      <w:r w:rsidRPr="00D87D22">
        <w:rPr>
          <w:i/>
        </w:rPr>
        <w:t xml:space="preserve"> Budget</w:t>
      </w:r>
      <w:r w:rsidRPr="00D87D22">
        <w:t>. However, the forecast assumptions have been revised for each relevant defined benefit superannuation scheme as in the following table.</w:t>
      </w:r>
    </w:p>
    <w:p w:rsidR="004B6846" w:rsidRDefault="004B6846" w:rsidP="00CC0EB7">
      <w:pPr>
        <w:pStyle w:val="TableHeading"/>
      </w:pPr>
      <w:r w:rsidRPr="0088341A">
        <w:t>Superannuation assumptions</w:t>
      </w:r>
      <w:r>
        <w:tab/>
      </w:r>
      <w:r w:rsidRPr="00273F4E">
        <w:t>(per cent)</w:t>
      </w:r>
    </w:p>
    <w:tbl>
      <w:tblPr>
        <w:tblStyle w:val="DTFTable"/>
        <w:tblW w:w="7768" w:type="dxa"/>
        <w:tblLayout w:type="fixed"/>
        <w:tblLook w:val="06A0" w:firstRow="1" w:lastRow="0" w:firstColumn="1" w:lastColumn="0" w:noHBand="1" w:noVBand="1"/>
      </w:tblPr>
      <w:tblGrid>
        <w:gridCol w:w="6620"/>
        <w:gridCol w:w="1148"/>
      </w:tblGrid>
      <w:tr w:rsidR="004B6846" w:rsidRPr="00273F4E" w:rsidTr="00CC0E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tcPr>
          <w:p w:rsidR="004B6846" w:rsidRPr="00273F4E" w:rsidRDefault="004B6846" w:rsidP="00CC0EB7">
            <w:pPr>
              <w:ind w:left="0" w:firstLine="0"/>
            </w:pPr>
            <w:r w:rsidRPr="00273F4E">
              <w:t>Underlying ass</w:t>
            </w:r>
            <w:r>
              <w:t xml:space="preserve">umptions for all listed schemes </w:t>
            </w:r>
            <w:r w:rsidRPr="00704EC6">
              <w:rPr>
                <w:vertAlign w:val="superscript"/>
              </w:rPr>
              <w:t>(a)</w:t>
            </w:r>
          </w:p>
        </w:tc>
        <w:tc>
          <w:tcPr>
            <w:tcW w:w="1133" w:type="dxa"/>
          </w:tcPr>
          <w:p w:rsidR="004B6846" w:rsidRPr="00273F4E" w:rsidRDefault="004B6846" w:rsidP="00CC0EB7">
            <w:pPr>
              <w:cnfStyle w:val="100000000000" w:firstRow="1" w:lastRow="0" w:firstColumn="0" w:lastColumn="0" w:oddVBand="0" w:evenVBand="0" w:oddHBand="0" w:evenHBand="0" w:firstRowFirstColumn="0" w:firstRowLastColumn="0" w:lastRowFirstColumn="0" w:lastRowLastColumn="0"/>
            </w:pPr>
          </w:p>
        </w:tc>
      </w:tr>
      <w:tr w:rsidR="004B6846" w:rsidRPr="00273F4E" w:rsidTr="00CC0EB7">
        <w:tc>
          <w:tcPr>
            <w:cnfStyle w:val="001000000000" w:firstRow="0" w:lastRow="0" w:firstColumn="1" w:lastColumn="0" w:oddVBand="0" w:evenVBand="0" w:oddHBand="0" w:evenHBand="0" w:firstRowFirstColumn="0" w:firstRowLastColumn="0" w:lastRowFirstColumn="0" w:lastRowLastColumn="0"/>
            <w:tcW w:w="6532" w:type="dxa"/>
          </w:tcPr>
          <w:p w:rsidR="004B6846" w:rsidRPr="00273F4E" w:rsidRDefault="004B6846" w:rsidP="00CC0EB7">
            <w:pPr>
              <w:ind w:left="0" w:firstLine="0"/>
            </w:pPr>
            <w:r w:rsidRPr="00273F4E">
              <w:t xml:space="preserve">Discount rate </w:t>
            </w:r>
            <w:r w:rsidRPr="00704EC6">
              <w:rPr>
                <w:vertAlign w:val="superscript"/>
              </w:rPr>
              <w:t>(b)</w:t>
            </w:r>
          </w:p>
        </w:tc>
        <w:tc>
          <w:tcPr>
            <w:tcW w:w="1133" w:type="dxa"/>
          </w:tcPr>
          <w:p w:rsidR="004B6846" w:rsidRPr="00273F4E" w:rsidRDefault="004B6846" w:rsidP="00CC0EB7">
            <w:pPr>
              <w:cnfStyle w:val="000000000000" w:firstRow="0" w:lastRow="0" w:firstColumn="0" w:lastColumn="0" w:oddVBand="0" w:evenVBand="0" w:oddHBand="0" w:evenHBand="0" w:firstRowFirstColumn="0" w:firstRowLastColumn="0" w:lastRowFirstColumn="0" w:lastRowLastColumn="0"/>
            </w:pPr>
            <w:r>
              <w:t>2.9</w:t>
            </w:r>
          </w:p>
        </w:tc>
      </w:tr>
      <w:tr w:rsidR="004B6846" w:rsidRPr="00273F4E" w:rsidTr="00CC0EB7">
        <w:tc>
          <w:tcPr>
            <w:cnfStyle w:val="001000000000" w:firstRow="0" w:lastRow="0" w:firstColumn="1" w:lastColumn="0" w:oddVBand="0" w:evenVBand="0" w:oddHBand="0" w:evenHBand="0" w:firstRowFirstColumn="0" w:firstRowLastColumn="0" w:lastRowFirstColumn="0" w:lastRowLastColumn="0"/>
            <w:tcW w:w="6532" w:type="dxa"/>
          </w:tcPr>
          <w:p w:rsidR="004B6846" w:rsidRPr="00273F4E" w:rsidRDefault="004B6846" w:rsidP="00CC0EB7">
            <w:pPr>
              <w:ind w:left="0" w:firstLine="0"/>
            </w:pPr>
            <w:r w:rsidRPr="00273F4E">
              <w:t xml:space="preserve">Wages growth </w:t>
            </w:r>
            <w:r w:rsidRPr="00704EC6">
              <w:rPr>
                <w:vertAlign w:val="superscript"/>
              </w:rPr>
              <w:t>(c)</w:t>
            </w:r>
          </w:p>
        </w:tc>
        <w:tc>
          <w:tcPr>
            <w:tcW w:w="1133" w:type="dxa"/>
          </w:tcPr>
          <w:p w:rsidR="004B6846" w:rsidRPr="00273F4E" w:rsidRDefault="004B6846" w:rsidP="00CC0EB7">
            <w:pPr>
              <w:cnfStyle w:val="000000000000" w:firstRow="0" w:lastRow="0" w:firstColumn="0" w:lastColumn="0" w:oddVBand="0" w:evenVBand="0" w:oddHBand="0" w:evenHBand="0" w:firstRowFirstColumn="0" w:firstRowLastColumn="0" w:lastRowFirstColumn="0" w:lastRowLastColumn="0"/>
            </w:pPr>
            <w:r>
              <w:t>3.2</w:t>
            </w:r>
          </w:p>
        </w:tc>
      </w:tr>
      <w:tr w:rsidR="004B6846" w:rsidRPr="00273F4E" w:rsidTr="00CC0EB7">
        <w:tc>
          <w:tcPr>
            <w:cnfStyle w:val="001000000000" w:firstRow="0" w:lastRow="0" w:firstColumn="1" w:lastColumn="0" w:oddVBand="0" w:evenVBand="0" w:oddHBand="0" w:evenHBand="0" w:firstRowFirstColumn="0" w:firstRowLastColumn="0" w:lastRowFirstColumn="0" w:lastRowLastColumn="0"/>
            <w:tcW w:w="6532" w:type="dxa"/>
          </w:tcPr>
          <w:p w:rsidR="004B6846" w:rsidRPr="00273F4E" w:rsidRDefault="004B6846" w:rsidP="00CC0EB7">
            <w:pPr>
              <w:ind w:left="0" w:firstLine="0"/>
            </w:pPr>
            <w:r>
              <w:t xml:space="preserve">Inflation rate </w:t>
            </w:r>
            <w:r w:rsidRPr="00704EC6">
              <w:rPr>
                <w:vertAlign w:val="superscript"/>
              </w:rPr>
              <w:t>(d)</w:t>
            </w:r>
          </w:p>
        </w:tc>
        <w:tc>
          <w:tcPr>
            <w:tcW w:w="1133" w:type="dxa"/>
          </w:tcPr>
          <w:p w:rsidR="004B6846" w:rsidRPr="00273F4E" w:rsidRDefault="004B6846" w:rsidP="00CC0EB7">
            <w:pPr>
              <w:cnfStyle w:val="000000000000" w:firstRow="0" w:lastRow="0" w:firstColumn="0" w:lastColumn="0" w:oddVBand="0" w:evenVBand="0" w:oddHBand="0" w:evenHBand="0" w:firstRowFirstColumn="0" w:firstRowLastColumn="0" w:lastRowFirstColumn="0" w:lastRowLastColumn="0"/>
            </w:pPr>
            <w:r>
              <w:t>1.7</w:t>
            </w:r>
          </w:p>
        </w:tc>
      </w:tr>
      <w:tr w:rsidR="004B6846" w:rsidRPr="00273F4E" w:rsidTr="00CC0EB7">
        <w:tc>
          <w:tcPr>
            <w:cnfStyle w:val="001000000000" w:firstRow="0" w:lastRow="0" w:firstColumn="1" w:lastColumn="0" w:oddVBand="0" w:evenVBand="0" w:oddHBand="0" w:evenHBand="0" w:firstRowFirstColumn="0" w:firstRowLastColumn="0" w:lastRowFirstColumn="0" w:lastRowLastColumn="0"/>
            <w:tcW w:w="6532" w:type="dxa"/>
            <w:shd w:val="clear" w:color="auto" w:fill="000000" w:themeFill="text1"/>
          </w:tcPr>
          <w:p w:rsidR="004B6846" w:rsidRPr="00273F4E" w:rsidRDefault="004B6846" w:rsidP="00CC0EB7">
            <w:pPr>
              <w:ind w:left="0" w:firstLine="0"/>
              <w:rPr>
                <w:i/>
              </w:rPr>
            </w:pPr>
            <w:r w:rsidRPr="00273F4E">
              <w:rPr>
                <w:i/>
              </w:rPr>
              <w:t>Expected return on assets</w:t>
            </w:r>
            <w:r>
              <w:rPr>
                <w:i/>
              </w:rPr>
              <w:t xml:space="preserve"> </w:t>
            </w:r>
            <w:r w:rsidRPr="00704EC6">
              <w:rPr>
                <w:i/>
                <w:vertAlign w:val="superscript"/>
              </w:rPr>
              <w:t>(e)</w:t>
            </w:r>
          </w:p>
        </w:tc>
        <w:tc>
          <w:tcPr>
            <w:tcW w:w="1133" w:type="dxa"/>
            <w:shd w:val="clear" w:color="auto" w:fill="000000" w:themeFill="text1"/>
          </w:tcPr>
          <w:p w:rsidR="004B6846" w:rsidRPr="00273F4E" w:rsidRDefault="004B6846" w:rsidP="00CC0EB7">
            <w:pPr>
              <w:cnfStyle w:val="000000000000" w:firstRow="0" w:lastRow="0" w:firstColumn="0" w:lastColumn="0" w:oddVBand="0" w:evenVBand="0" w:oddHBand="0" w:evenHBand="0" w:firstRowFirstColumn="0" w:firstRowLastColumn="0" w:lastRowFirstColumn="0" w:lastRowLastColumn="0"/>
              <w:rPr>
                <w:i/>
              </w:rPr>
            </w:pPr>
          </w:p>
        </w:tc>
      </w:tr>
      <w:tr w:rsidR="004B6846" w:rsidRPr="00273F4E" w:rsidTr="00CC0EB7">
        <w:tc>
          <w:tcPr>
            <w:cnfStyle w:val="001000000000" w:firstRow="0" w:lastRow="0" w:firstColumn="1" w:lastColumn="0" w:oddVBand="0" w:evenVBand="0" w:oddHBand="0" w:evenHBand="0" w:firstRowFirstColumn="0" w:firstRowLastColumn="0" w:lastRowFirstColumn="0" w:lastRowLastColumn="0"/>
            <w:tcW w:w="6532" w:type="dxa"/>
          </w:tcPr>
          <w:p w:rsidR="004B6846" w:rsidRPr="00273F4E" w:rsidRDefault="004B6846" w:rsidP="00CC0EB7">
            <w:pPr>
              <w:ind w:left="0" w:firstLine="0"/>
            </w:pPr>
            <w:r w:rsidRPr="00273F4E">
              <w:t xml:space="preserve">Emergency Services and State Super </w:t>
            </w:r>
          </w:p>
        </w:tc>
        <w:tc>
          <w:tcPr>
            <w:tcW w:w="1133" w:type="dxa"/>
          </w:tcPr>
          <w:p w:rsidR="004B6846" w:rsidRPr="00273F4E" w:rsidRDefault="004B6846" w:rsidP="00CC0EB7">
            <w:pPr>
              <w:cnfStyle w:val="000000000000" w:firstRow="0" w:lastRow="0" w:firstColumn="0" w:lastColumn="0" w:oddVBand="0" w:evenVBand="0" w:oddHBand="0" w:evenHBand="0" w:firstRowFirstColumn="0" w:firstRowLastColumn="0" w:lastRowFirstColumn="0" w:lastRowLastColumn="0"/>
            </w:pPr>
            <w:r w:rsidRPr="00273F4E">
              <w:t>8.0</w:t>
            </w:r>
          </w:p>
        </w:tc>
      </w:tr>
      <w:tr w:rsidR="004B6846" w:rsidRPr="00273F4E" w:rsidTr="00CC0EB7">
        <w:tc>
          <w:tcPr>
            <w:cnfStyle w:val="001000000000" w:firstRow="0" w:lastRow="0" w:firstColumn="1" w:lastColumn="0" w:oddVBand="0" w:evenVBand="0" w:oddHBand="0" w:evenHBand="0" w:firstRowFirstColumn="0" w:firstRowLastColumn="0" w:lastRowFirstColumn="0" w:lastRowLastColumn="0"/>
            <w:tcW w:w="6532" w:type="dxa"/>
          </w:tcPr>
          <w:p w:rsidR="004B6846" w:rsidRPr="00273F4E" w:rsidRDefault="004B6846" w:rsidP="00CC0EB7">
            <w:pPr>
              <w:ind w:left="0" w:firstLine="0"/>
            </w:pPr>
            <w:r w:rsidRPr="00273F4E">
              <w:t>Health Super Fund Defined Benefit Scheme</w:t>
            </w:r>
          </w:p>
        </w:tc>
        <w:tc>
          <w:tcPr>
            <w:tcW w:w="1133" w:type="dxa"/>
          </w:tcPr>
          <w:p w:rsidR="004B6846" w:rsidRPr="00273F4E" w:rsidRDefault="004B6846" w:rsidP="00CC0EB7">
            <w:pPr>
              <w:cnfStyle w:val="000000000000" w:firstRow="0" w:lastRow="0" w:firstColumn="0" w:lastColumn="0" w:oddVBand="0" w:evenVBand="0" w:oddHBand="0" w:evenHBand="0" w:firstRowFirstColumn="0" w:firstRowLastColumn="0" w:lastRowFirstColumn="0" w:lastRowLastColumn="0"/>
            </w:pPr>
            <w:r w:rsidRPr="00273F4E">
              <w:t>5.</w:t>
            </w:r>
            <w:r>
              <w:t>0</w:t>
            </w:r>
          </w:p>
        </w:tc>
      </w:tr>
      <w:tr w:rsidR="004B6846" w:rsidRPr="00273F4E" w:rsidTr="00CC0EB7">
        <w:tc>
          <w:tcPr>
            <w:cnfStyle w:val="001000000000" w:firstRow="0" w:lastRow="0" w:firstColumn="1" w:lastColumn="0" w:oddVBand="0" w:evenVBand="0" w:oddHBand="0" w:evenHBand="0" w:firstRowFirstColumn="0" w:firstRowLastColumn="0" w:lastRowFirstColumn="0" w:lastRowLastColumn="0"/>
            <w:tcW w:w="6532" w:type="dxa"/>
          </w:tcPr>
          <w:p w:rsidR="004B6846" w:rsidRPr="00273F4E" w:rsidRDefault="004B6846" w:rsidP="00CC0EB7">
            <w:pPr>
              <w:ind w:left="0" w:firstLine="0"/>
            </w:pPr>
            <w:r w:rsidRPr="00273F4E">
              <w:t>Constitutionally protected schemes</w:t>
            </w:r>
            <w:r>
              <w:t xml:space="preserve"> </w:t>
            </w:r>
            <w:r w:rsidRPr="00704EC6">
              <w:rPr>
                <w:vertAlign w:val="superscript"/>
              </w:rPr>
              <w:t>(f)</w:t>
            </w:r>
            <w:r w:rsidRPr="00273F4E">
              <w:t xml:space="preserve"> </w:t>
            </w:r>
          </w:p>
        </w:tc>
        <w:tc>
          <w:tcPr>
            <w:tcW w:w="1133" w:type="dxa"/>
          </w:tcPr>
          <w:p w:rsidR="004B6846" w:rsidRPr="00273F4E" w:rsidRDefault="004B6846" w:rsidP="00CC0EB7">
            <w:pPr>
              <w:cnfStyle w:val="000000000000" w:firstRow="0" w:lastRow="0" w:firstColumn="0" w:lastColumn="0" w:oddVBand="0" w:evenVBand="0" w:oddHBand="0" w:evenHBand="0" w:firstRowFirstColumn="0" w:firstRowLastColumn="0" w:lastRowFirstColumn="0" w:lastRowLastColumn="0"/>
            </w:pPr>
            <w:r w:rsidRPr="00273F4E">
              <w:t>n.a.</w:t>
            </w:r>
          </w:p>
        </w:tc>
      </w:tr>
    </w:tbl>
    <w:p w:rsidR="004B6846" w:rsidRDefault="004B6846" w:rsidP="00CC0EB7">
      <w:pPr>
        <w:pStyle w:val="Source"/>
      </w:pPr>
      <w:r>
        <w:t>Source: Department of Treasury and Finance</w:t>
      </w:r>
    </w:p>
    <w:p w:rsidR="004B6846" w:rsidRPr="00D87D22" w:rsidRDefault="004B6846" w:rsidP="00CC0EB7">
      <w:pPr>
        <w:pStyle w:val="Note"/>
      </w:pPr>
      <w:r w:rsidRPr="00D87D22">
        <w:t>Notes:</w:t>
      </w:r>
    </w:p>
    <w:p w:rsidR="004B6846" w:rsidRPr="00D87D22" w:rsidRDefault="004B6846" w:rsidP="00CC0EB7">
      <w:pPr>
        <w:pStyle w:val="Note"/>
      </w:pPr>
      <w:r w:rsidRPr="00D87D22">
        <w:t>(a)</w:t>
      </w:r>
      <w:r w:rsidRPr="00D87D22">
        <w:tab/>
        <w:t>All rates are nominal annual rates and are applicable to all the listed schemes.</w:t>
      </w:r>
    </w:p>
    <w:p w:rsidR="004B6846" w:rsidRPr="00D87D22" w:rsidRDefault="004B6846" w:rsidP="00CC0EB7">
      <w:pPr>
        <w:pStyle w:val="Note"/>
      </w:pPr>
      <w:r w:rsidRPr="00D87D22">
        <w:t>(b)</w:t>
      </w:r>
      <w:r w:rsidRPr="00D87D22">
        <w:tab/>
        <w:t>The d</w:t>
      </w:r>
      <w:r>
        <w:t>iscount rate is based on a long-</w:t>
      </w:r>
      <w:r w:rsidRPr="00D87D22">
        <w:t>term fixed interest Commonwealth bond rate. The rate stated above is an annual effective rate, gross of tax.</w:t>
      </w:r>
    </w:p>
    <w:p w:rsidR="004B6846" w:rsidRPr="00D87D22" w:rsidRDefault="004B6846" w:rsidP="00CC0EB7">
      <w:pPr>
        <w:pStyle w:val="Note"/>
      </w:pPr>
      <w:r w:rsidRPr="00D87D22">
        <w:t>(c)</w:t>
      </w:r>
      <w:r w:rsidRPr="00D87D22">
        <w:tab/>
        <w:t>Based on the historical relationship between price and wage inflation, wages growth is assumed to be 1.5 per cent higher than price inflation.</w:t>
      </w:r>
    </w:p>
    <w:p w:rsidR="004B6846" w:rsidRDefault="004B6846" w:rsidP="00CC0EB7">
      <w:pPr>
        <w:pStyle w:val="Note"/>
      </w:pPr>
      <w:r w:rsidRPr="00D87D22">
        <w:t>(d)</w:t>
      </w:r>
      <w:r w:rsidRPr="00D87D22">
        <w:tab/>
        <w:t xml:space="preserve">The superannuation assumptions are determined in accordance with Australian accounting standard </w:t>
      </w:r>
      <w:r w:rsidRPr="00812D30">
        <w:rPr>
          <w:i w:val="0"/>
        </w:rPr>
        <w:t>AASB 119 Employee Benefits</w:t>
      </w:r>
      <w:r>
        <w:t>,</w:t>
      </w:r>
      <w:r w:rsidRPr="00D87D22">
        <w:t xml:space="preserve"> which requires that the discount rate be based on Commonwealth bond yields. To ensure consistency with the market-based discount rate, the inflation rate assumed by the actuary reflects market expectations of price inflation</w:t>
      </w:r>
      <w:r>
        <w:t>,</w:t>
      </w:r>
      <w:r w:rsidRPr="00D87D22">
        <w:t xml:space="preserve"> as implied by the relationship between the yields on nominal and inflation linked Commonwealth bonds. Therefore, these assumptions differ from the key economic assumptions in this </w:t>
      </w:r>
      <w:r>
        <w:t>chapter,</w:t>
      </w:r>
      <w:r w:rsidRPr="00D87D22">
        <w:t xml:space="preserve"> which reflect the expected change in consumer prices in Melbourne and movements in wages and salaries in the Victorian labour market.</w:t>
      </w:r>
    </w:p>
    <w:p w:rsidR="004B6846" w:rsidRPr="00D87D22" w:rsidRDefault="004B6846" w:rsidP="00CC0EB7">
      <w:pPr>
        <w:pStyle w:val="Note"/>
      </w:pPr>
      <w:r w:rsidRPr="00D87D22">
        <w:t>(e)</w:t>
      </w:r>
      <w:r w:rsidRPr="00D87D22">
        <w:tab/>
        <w:t>The expected return on assets stated is gross of tax. Estimated tax payments are explicitly allowed for in the calculation process.</w:t>
      </w:r>
    </w:p>
    <w:p w:rsidR="004B6846" w:rsidRDefault="004B6846" w:rsidP="00CC0EB7">
      <w:pPr>
        <w:pStyle w:val="Note"/>
      </w:pPr>
      <w:r w:rsidRPr="00D87D22">
        <w:t>(f)</w:t>
      </w:r>
      <w:r w:rsidRPr="00D87D22">
        <w:tab/>
        <w:t>Pensions payable from constitutionally protected schemes are paid from the Consolidated Fund. These schemes hold no assets so there is no expected return on assets.</w:t>
      </w:r>
    </w:p>
    <w:p w:rsidR="004B6846" w:rsidRPr="00D87D22" w:rsidRDefault="004B6846" w:rsidP="00CC0EB7"/>
    <w:p w:rsidR="004B6846" w:rsidRPr="00CA5EBD" w:rsidRDefault="004B6846" w:rsidP="00CC0EB7">
      <w:bookmarkStart w:id="52" w:name="_Toc496606576"/>
      <w:bookmarkStart w:id="53" w:name="_Toc530147962"/>
      <w:r w:rsidRPr="00CA5EBD">
        <w:br w:type="page"/>
      </w:r>
    </w:p>
    <w:p w:rsidR="004B6846" w:rsidRPr="008D5734" w:rsidRDefault="004B6846" w:rsidP="004B6846">
      <w:pPr>
        <w:pStyle w:val="Heading3"/>
        <w:numPr>
          <w:ilvl w:val="2"/>
          <w:numId w:val="19"/>
        </w:numPr>
        <w:spacing w:after="60"/>
        <w:rPr>
          <w:lang w:val="en-US"/>
        </w:rPr>
      </w:pPr>
      <w:r w:rsidRPr="004E4D8E">
        <w:lastRenderedPageBreak/>
        <w:t>Grant</w:t>
      </w:r>
      <w:r>
        <w:t xml:space="preserve"> expense</w:t>
      </w:r>
      <w:r>
        <w:tab/>
        <w:t>($ million)</w:t>
      </w:r>
      <w:bookmarkEnd w:id="52"/>
      <w:bookmarkEnd w:id="53"/>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170"/>
        <w:gridCol w:w="680"/>
        <w:gridCol w:w="850"/>
        <w:gridCol w:w="850"/>
        <w:gridCol w:w="850"/>
        <w:gridCol w:w="850"/>
      </w:tblGrid>
      <w:tr w:rsidR="00CC0EB7" w:rsidRPr="008D5734" w:rsidTr="00D11960">
        <w:trPr>
          <w:cnfStyle w:val="100000000000" w:firstRow="1" w:lastRow="0" w:firstColumn="0" w:lastColumn="0" w:oddVBand="0" w:evenVBand="0" w:oddHBand="0" w:evenHBand="0" w:firstRowFirstColumn="0" w:firstRowLastColumn="0" w:lastRowFirstColumn="0" w:lastRowLastColumn="0"/>
          <w:trHeight w:val="311"/>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8D5734" w:rsidRDefault="00CC0EB7" w:rsidP="00CC0EB7">
            <w:pPr>
              <w:autoSpaceDE w:val="0"/>
              <w:autoSpaceDN w:val="0"/>
              <w:adjustRightInd w:val="0"/>
              <w:jc w:val="center"/>
              <w:rPr>
                <w:rFonts w:eastAsiaTheme="minorEastAsia" w:cs="Calibri"/>
                <w:iCs/>
                <w:color w:val="FFFFFF"/>
                <w:lang w:eastAsia="en-AU"/>
              </w:rPr>
            </w:pPr>
            <w:r w:rsidRPr="008D5734">
              <w:rPr>
                <w:rFonts w:eastAsiaTheme="minorEastAsia" w:cs="Calibri"/>
                <w:iCs/>
                <w:color w:val="FFFFFF"/>
                <w:lang w:eastAsia="en-AU"/>
              </w:rPr>
              <w:t xml:space="preserve">  </w:t>
            </w:r>
          </w:p>
        </w:tc>
        <w:tc>
          <w:tcPr>
            <w:tcW w:w="850" w:type="dxa"/>
            <w:gridSpan w:val="2"/>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Current grant expense</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Commonwealth Government </w:t>
            </w:r>
            <w:r w:rsidRPr="008D5734">
              <w:rPr>
                <w:rFonts w:eastAsiaTheme="minorEastAsia" w:cs="Calibri"/>
                <w:color w:val="000000"/>
                <w:szCs w:val="18"/>
                <w:vertAlign w:val="superscript"/>
                <w:lang w:eastAsia="en-AU"/>
              </w:rPr>
              <w:t>(a)</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1 755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1 778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2 852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2 957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3 034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85" w:type="dxa"/>
            <w:gridSpan w:val="2"/>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Local government (including grants for on-passing)</w:t>
            </w:r>
          </w:p>
        </w:tc>
        <w:tc>
          <w:tcPr>
            <w:tcW w:w="68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1 212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726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646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Private sector and not-for-profit for on-passing</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3 404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3 427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3 598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3 813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4 038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private sector and not-for-profit</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2 534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2 624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2 769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2 600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2 809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Grants within the Victorian Government</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3 707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3 840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3 728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3 679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3 642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Grants to other state governments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current grant expense</w:t>
            </w:r>
          </w:p>
        </w:tc>
        <w:tc>
          <w:tcPr>
            <w:tcW w:w="850" w:type="dxa"/>
            <w:gridSpan w:val="2"/>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12 633</w:t>
            </w:r>
          </w:p>
        </w:tc>
        <w:tc>
          <w:tcPr>
            <w:tcW w:w="85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12 417</w:t>
            </w:r>
          </w:p>
        </w:tc>
        <w:tc>
          <w:tcPr>
            <w:tcW w:w="85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13 626</w:t>
            </w:r>
          </w:p>
        </w:tc>
        <w:tc>
          <w:tcPr>
            <w:tcW w:w="85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13 716</w:t>
            </w:r>
          </w:p>
        </w:tc>
        <w:tc>
          <w:tcPr>
            <w:tcW w:w="850" w:type="dxa"/>
            <w:tcBorders>
              <w:top w:val="single" w:sz="6" w:space="0" w:color="000000"/>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14 195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Capital grant expense</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Commonwealth Government</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Local government </w:t>
            </w:r>
            <w:r w:rsidR="00BA2EEF">
              <w:rPr>
                <w:rFonts w:eastAsiaTheme="minorEastAsia" w:cs="Calibri"/>
                <w:color w:val="000000"/>
                <w:szCs w:val="18"/>
                <w:lang w:eastAsia="en-AU"/>
              </w:rPr>
              <w:br/>
            </w:r>
            <w:r w:rsidRPr="008D5734">
              <w:rPr>
                <w:rFonts w:eastAsiaTheme="minorEastAsia" w:cs="Calibri"/>
                <w:color w:val="000000"/>
                <w:szCs w:val="18"/>
                <w:lang w:eastAsia="en-AU"/>
              </w:rPr>
              <w:t>(including grants for on-passing)</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220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Private sector and not-for-profit on-passing</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135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private sector and not-for-profit</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Grants within the Victorian Government</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grants</w:t>
            </w:r>
          </w:p>
        </w:tc>
        <w:tc>
          <w:tcPr>
            <w:tcW w:w="850" w:type="dxa"/>
            <w:gridSpan w:val="2"/>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capital grant expense</w:t>
            </w:r>
          </w:p>
        </w:tc>
        <w:tc>
          <w:tcPr>
            <w:tcW w:w="850" w:type="dxa"/>
            <w:gridSpan w:val="2"/>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268</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368</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419</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292</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216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grant expense</w:t>
            </w:r>
          </w:p>
        </w:tc>
        <w:tc>
          <w:tcPr>
            <w:tcW w:w="850" w:type="dxa"/>
            <w:gridSpan w:val="2"/>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12 901</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12 785</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14 045</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14 007</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14 411</w:t>
            </w:r>
          </w:p>
        </w:tc>
      </w:tr>
    </w:tbl>
    <w:p w:rsidR="004B6846" w:rsidRPr="00D87D22" w:rsidRDefault="004B6846" w:rsidP="00CC0EB7">
      <w:pPr>
        <w:pStyle w:val="Source"/>
      </w:pPr>
      <w:r w:rsidRPr="00D87D22">
        <w:t>Source: Department of Treasury and Finance</w:t>
      </w:r>
    </w:p>
    <w:p w:rsidR="004B6846" w:rsidRPr="00697AD9" w:rsidRDefault="004B6846" w:rsidP="00CC0EB7">
      <w:pPr>
        <w:spacing w:before="20"/>
        <w:ind w:left="284" w:hanging="284"/>
        <w:contextualSpacing/>
        <w:rPr>
          <w:rFonts w:asciiTheme="majorHAnsi" w:hAnsiTheme="majorHAnsi"/>
          <w:i/>
          <w:spacing w:val="-2"/>
          <w:sz w:val="14"/>
        </w:rPr>
      </w:pPr>
      <w:r>
        <w:rPr>
          <w:rFonts w:asciiTheme="majorHAnsi" w:hAnsiTheme="majorHAnsi"/>
          <w:i/>
          <w:spacing w:val="-2"/>
          <w:sz w:val="14"/>
        </w:rPr>
        <w:t>Note</w:t>
      </w:r>
      <w:r w:rsidRPr="00697AD9">
        <w:rPr>
          <w:rFonts w:asciiTheme="majorHAnsi" w:hAnsiTheme="majorHAnsi"/>
          <w:i/>
          <w:spacing w:val="-2"/>
          <w:sz w:val="14"/>
        </w:rPr>
        <w:t>:</w:t>
      </w:r>
    </w:p>
    <w:p w:rsidR="004B6846" w:rsidRDefault="004B6846" w:rsidP="00CC0EB7">
      <w:pPr>
        <w:spacing w:before="20"/>
        <w:ind w:left="284" w:hanging="284"/>
        <w:contextualSpacing/>
        <w:rPr>
          <w:rFonts w:asciiTheme="majorHAnsi" w:hAnsiTheme="majorHAnsi"/>
          <w:i/>
          <w:spacing w:val="-2"/>
          <w:sz w:val="14"/>
        </w:rPr>
      </w:pPr>
      <w:r w:rsidRPr="00697AD9">
        <w:rPr>
          <w:rFonts w:asciiTheme="majorHAnsi" w:hAnsiTheme="majorHAnsi"/>
          <w:i/>
          <w:spacing w:val="-2"/>
          <w:sz w:val="14"/>
        </w:rPr>
        <w:t>(a)</w:t>
      </w:r>
      <w:r w:rsidRPr="00697AD9">
        <w:rPr>
          <w:rFonts w:asciiTheme="majorHAnsi" w:hAnsiTheme="majorHAnsi"/>
          <w:i/>
          <w:spacing w:val="-2"/>
          <w:sz w:val="14"/>
        </w:rPr>
        <w:tab/>
      </w:r>
      <w:r>
        <w:rPr>
          <w:rFonts w:asciiTheme="majorHAnsi" w:hAnsiTheme="majorHAnsi"/>
          <w:i/>
          <w:spacing w:val="-2"/>
          <w:sz w:val="14"/>
        </w:rPr>
        <w:t>The increase in Commonwealth grant expense is largely due to the State’s contribution to the National Disability Insurance Scheme (NDIS).</w:t>
      </w:r>
      <w:r w:rsidRPr="00697AD9">
        <w:rPr>
          <w:rFonts w:asciiTheme="majorHAnsi" w:hAnsiTheme="majorHAnsi"/>
          <w:i/>
          <w:spacing w:val="-2"/>
          <w:sz w:val="14"/>
        </w:rPr>
        <w:t xml:space="preserve"> </w:t>
      </w:r>
    </w:p>
    <w:p w:rsidR="004B6846" w:rsidRDefault="004B6846" w:rsidP="00CC0EB7"/>
    <w:p w:rsidR="004B6846" w:rsidRPr="008D5734" w:rsidRDefault="004B6846" w:rsidP="004B6846">
      <w:pPr>
        <w:pStyle w:val="Heading3"/>
        <w:numPr>
          <w:ilvl w:val="2"/>
          <w:numId w:val="19"/>
        </w:numPr>
        <w:spacing w:after="60"/>
        <w:rPr>
          <w:lang w:val="en-US"/>
        </w:rPr>
      </w:pPr>
      <w:bookmarkStart w:id="54" w:name="_Toc496606577"/>
      <w:bookmarkStart w:id="55" w:name="_Toc530147963"/>
      <w:r>
        <w:t xml:space="preserve">Other </w:t>
      </w:r>
      <w:r w:rsidRPr="004E4D8E">
        <w:t>operating</w:t>
      </w:r>
      <w:r>
        <w:t xml:space="preserve"> expenses </w:t>
      </w:r>
      <w:r>
        <w:tab/>
        <w:t>($ million)</w:t>
      </w:r>
      <w:bookmarkEnd w:id="54"/>
      <w:bookmarkEnd w:id="55"/>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CC0EB7" w:rsidRPr="008D5734" w:rsidTr="00D11960">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Purchase of supplies and consumables </w:t>
            </w:r>
            <w:r w:rsidRPr="008D5734">
              <w:rPr>
                <w:rFonts w:eastAsiaTheme="minorEastAsia" w:cs="Calibri"/>
                <w:color w:val="000000"/>
                <w:szCs w:val="18"/>
                <w:vertAlign w:val="superscript"/>
                <w:lang w:eastAsia="en-AU"/>
              </w:rPr>
              <w:t>(a)</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6 159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6 091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5 992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6 094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6 655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Cost of goods sold</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Finance expenses and fees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Purchase of services </w:t>
            </w:r>
            <w:r w:rsidRPr="008D5734">
              <w:rPr>
                <w:rFonts w:eastAsiaTheme="minorEastAsia" w:cs="Calibri"/>
                <w:color w:val="000000"/>
                <w:szCs w:val="18"/>
                <w:vertAlign w:val="superscript"/>
                <w:lang w:eastAsia="en-AU"/>
              </w:rPr>
              <w:t>(a)(b)</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12 702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12 809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11 896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11 433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11 373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Insurance claims expense</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277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285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Maintenance</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904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906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891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913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919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Operating lease payments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339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351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355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832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820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849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885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848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other operating expenses</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21 264</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21 296</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20 305</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20 016</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20 498</w:t>
            </w:r>
          </w:p>
        </w:tc>
      </w:tr>
    </w:tbl>
    <w:p w:rsidR="004B6846" w:rsidRPr="00697AD9" w:rsidRDefault="004B6846" w:rsidP="00CC0EB7">
      <w:pPr>
        <w:pStyle w:val="Source"/>
      </w:pPr>
      <w:r w:rsidRPr="00697AD9">
        <w:t>Source: Department of Treasury and Finance</w:t>
      </w:r>
    </w:p>
    <w:p w:rsidR="004B6846" w:rsidRPr="00697AD9" w:rsidRDefault="004B6846" w:rsidP="00CC0EB7">
      <w:pPr>
        <w:pStyle w:val="Note"/>
      </w:pPr>
      <w:r w:rsidRPr="00697AD9">
        <w:t>Notes:</w:t>
      </w:r>
    </w:p>
    <w:p w:rsidR="004B6846" w:rsidRDefault="004B6846" w:rsidP="00CC0EB7">
      <w:pPr>
        <w:pStyle w:val="Note"/>
      </w:pPr>
      <w:r>
        <w:t>(</w:t>
      </w:r>
      <w:r w:rsidRPr="00697AD9">
        <w:t>a)</w:t>
      </w:r>
      <w:r w:rsidRPr="00697AD9">
        <w:tab/>
      </w:r>
      <w:r>
        <w:t xml:space="preserve">The following two tables breakdown the </w:t>
      </w:r>
      <w:r w:rsidRPr="00697AD9">
        <w:t xml:space="preserve">purchase of supplies and consumables and </w:t>
      </w:r>
      <w:r>
        <w:t>the purchase of services.</w:t>
      </w:r>
    </w:p>
    <w:p w:rsidR="004B6846" w:rsidRDefault="004B6846" w:rsidP="00CC0EB7">
      <w:pPr>
        <w:pStyle w:val="Note"/>
      </w:pPr>
      <w:r w:rsidRPr="00556322">
        <w:t>(b)</w:t>
      </w:r>
      <w:r w:rsidRPr="00556322">
        <w:tab/>
        <w:t xml:space="preserve">The reduction in </w:t>
      </w:r>
      <w:r>
        <w:t xml:space="preserve">the </w:t>
      </w:r>
      <w:r w:rsidRPr="00556322">
        <w:t>purchase of services</w:t>
      </w:r>
      <w:r>
        <w:t xml:space="preserve"> in 2019-20 </w:t>
      </w:r>
      <w:r w:rsidRPr="00556322">
        <w:t xml:space="preserve">is largely </w:t>
      </w:r>
      <w:r>
        <w:t>due to</w:t>
      </w:r>
      <w:r w:rsidRPr="00556322">
        <w:t xml:space="preserve"> the State’s existing expenditure on disability services, including payments to disability service providers, being allocated towards the State’s contribution to the NDIS. These services will be funded by the NDIS</w:t>
      </w:r>
      <w:r>
        <w:t>.</w:t>
      </w:r>
    </w:p>
    <w:p w:rsidR="004B6846" w:rsidRPr="00090B3E" w:rsidRDefault="004B6846" w:rsidP="00CC0EB7"/>
    <w:p w:rsidR="004B6846" w:rsidRDefault="004B6846">
      <w:pPr>
        <w:keepLines w:val="0"/>
        <w:rPr>
          <w:rFonts w:asciiTheme="majorHAnsi" w:hAnsiTheme="majorHAnsi"/>
          <w:b/>
          <w:sz w:val="20"/>
          <w:szCs w:val="20"/>
        </w:rPr>
      </w:pPr>
      <w:r>
        <w:br w:type="page"/>
      </w:r>
    </w:p>
    <w:p w:rsidR="004B6846" w:rsidRPr="008D5734" w:rsidRDefault="004B6846" w:rsidP="00CC0EB7">
      <w:pPr>
        <w:pStyle w:val="TableHeading"/>
        <w:rPr>
          <w:bCs/>
          <w:lang w:val="en-US"/>
        </w:rPr>
      </w:pPr>
      <w:r>
        <w:lastRenderedPageBreak/>
        <w:t>Purchase of supplies and consumables</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CC0EB7" w:rsidRPr="008D5734" w:rsidTr="00D11960">
        <w:trPr>
          <w:cnfStyle w:val="100000000000" w:firstRow="1" w:lastRow="0" w:firstColumn="0" w:lastColumn="0" w:oddVBand="0" w:evenVBand="0" w:oddHBand="0" w:evenHBand="0" w:firstRowFirstColumn="0" w:firstRowLastColumn="0" w:lastRowFirstColumn="0" w:lastRowLastColumn="0"/>
          <w:trHeight w:val="211"/>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Medicinal pharmacy and medical supplies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1 545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1 514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1 541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1 572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1 604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Office supplies and consumables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185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186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187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Specialised operational supplies and consumables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133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150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137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purchase of supplies and consumables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4 295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4 235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4 129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4 189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4 716</w:t>
            </w:r>
          </w:p>
        </w:tc>
      </w:tr>
      <w:tr w:rsidR="004B6846" w:rsidRPr="008D573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rPr>
                <w:rFonts w:eastAsiaTheme="minorEastAsia" w:cs="Calibri"/>
                <w:bCs/>
                <w:color w:val="000000"/>
                <w:szCs w:val="18"/>
                <w:lang w:eastAsia="en-AU"/>
              </w:rPr>
            </w:pPr>
            <w:r w:rsidRPr="008D5734">
              <w:rPr>
                <w:rFonts w:eastAsiaTheme="minorEastAsia" w:cs="Calibri"/>
                <w:bCs/>
                <w:color w:val="000000"/>
                <w:szCs w:val="18"/>
                <w:lang w:eastAsia="en-AU"/>
              </w:rPr>
              <w:t>Total purchase of supplies and consumables</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8D5734">
              <w:rPr>
                <w:rFonts w:eastAsiaTheme="minorEastAsia" w:cs="Arial"/>
                <w:bCs/>
                <w:color w:val="000000"/>
                <w:szCs w:val="18"/>
                <w:lang w:eastAsia="en-AU"/>
              </w:rPr>
              <w:t>6 159</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8D5734">
              <w:rPr>
                <w:rFonts w:eastAsiaTheme="minorEastAsia" w:cs="Arial"/>
                <w:bCs/>
                <w:color w:val="000000"/>
                <w:szCs w:val="18"/>
                <w:lang w:eastAsia="en-AU"/>
              </w:rPr>
              <w:t>6 091</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8D5734">
              <w:rPr>
                <w:rFonts w:eastAsiaTheme="minorEastAsia" w:cs="Arial"/>
                <w:bCs/>
                <w:color w:val="000000"/>
                <w:szCs w:val="18"/>
                <w:lang w:eastAsia="en-AU"/>
              </w:rPr>
              <w:t>5 992</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8D5734">
              <w:rPr>
                <w:rFonts w:eastAsiaTheme="minorEastAsia" w:cs="Arial"/>
                <w:bCs/>
                <w:color w:val="000000"/>
                <w:szCs w:val="18"/>
                <w:lang w:eastAsia="en-AU"/>
              </w:rPr>
              <w:t>6 094</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8D5734">
              <w:rPr>
                <w:rFonts w:eastAsiaTheme="minorEastAsia" w:cs="Arial"/>
                <w:bCs/>
                <w:color w:val="000000"/>
                <w:szCs w:val="18"/>
                <w:lang w:eastAsia="en-AU"/>
              </w:rPr>
              <w:t>6 655</w:t>
            </w:r>
          </w:p>
        </w:tc>
      </w:tr>
    </w:tbl>
    <w:p w:rsidR="004B6846" w:rsidRPr="00D87D22" w:rsidRDefault="004B6846" w:rsidP="00CC0EB7">
      <w:pPr>
        <w:pStyle w:val="Source"/>
      </w:pPr>
      <w:r w:rsidRPr="00D87D22">
        <w:t>Source: Department of Treasury and Finance</w:t>
      </w:r>
    </w:p>
    <w:p w:rsidR="004B6846" w:rsidRPr="00AC4FDA" w:rsidRDefault="004B6846" w:rsidP="00CC0EB7"/>
    <w:p w:rsidR="004B6846" w:rsidRPr="008D5734" w:rsidRDefault="004B6846" w:rsidP="00CC0EB7">
      <w:pPr>
        <w:pStyle w:val="TableHeading"/>
        <w:rPr>
          <w:bCs/>
          <w:lang w:val="en-US"/>
        </w:rPr>
      </w:pPr>
      <w:r>
        <w:t>Purchase of services</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CC0EB7" w:rsidRPr="008D5734" w:rsidTr="00D11960">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Service contracts </w:t>
            </w:r>
            <w:r w:rsidRPr="008D5734">
              <w:rPr>
                <w:rFonts w:eastAsiaTheme="minorEastAsia" w:cs="Calibri"/>
                <w:color w:val="000000"/>
                <w:szCs w:val="18"/>
                <w:vertAlign w:val="superscript"/>
                <w:lang w:eastAsia="en-AU"/>
              </w:rPr>
              <w:t>(a)</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7 196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7 188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6 861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6 684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6 839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Accommodation/occupancy</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855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847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811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815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815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Medical and client care services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385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387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393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397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401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Staff related expenses (non-labour related)</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254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purchase of services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4 012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4 117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3 569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3 277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3 058</w:t>
            </w:r>
          </w:p>
        </w:tc>
      </w:tr>
      <w:tr w:rsidR="004B6846" w:rsidRPr="008D573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rPr>
                <w:rFonts w:eastAsiaTheme="minorEastAsia" w:cs="Calibri"/>
                <w:bCs/>
                <w:color w:val="000000"/>
                <w:szCs w:val="18"/>
                <w:lang w:eastAsia="en-AU"/>
              </w:rPr>
            </w:pPr>
            <w:r w:rsidRPr="008D5734">
              <w:rPr>
                <w:rFonts w:eastAsiaTheme="minorEastAsia" w:cs="Calibri"/>
                <w:bCs/>
                <w:color w:val="000000"/>
                <w:szCs w:val="18"/>
                <w:lang w:eastAsia="en-AU"/>
              </w:rPr>
              <w:t>Total purchase of s</w:t>
            </w:r>
            <w:r>
              <w:rPr>
                <w:rFonts w:eastAsiaTheme="minorEastAsia" w:cs="Calibri"/>
                <w:bCs/>
                <w:color w:val="000000"/>
                <w:szCs w:val="18"/>
                <w:lang w:eastAsia="en-AU"/>
              </w:rPr>
              <w:t>ervices</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8D5734">
              <w:rPr>
                <w:rFonts w:eastAsiaTheme="minorEastAsia" w:cs="Arial"/>
                <w:bCs/>
                <w:color w:val="000000"/>
                <w:szCs w:val="18"/>
                <w:lang w:eastAsia="en-AU"/>
              </w:rPr>
              <w:t>12 702</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8D5734">
              <w:rPr>
                <w:rFonts w:eastAsiaTheme="minorEastAsia" w:cs="Arial"/>
                <w:bCs/>
                <w:color w:val="000000"/>
                <w:szCs w:val="18"/>
                <w:lang w:eastAsia="en-AU"/>
              </w:rPr>
              <w:t>12 809</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8D5734">
              <w:rPr>
                <w:rFonts w:eastAsiaTheme="minorEastAsia" w:cs="Arial"/>
                <w:bCs/>
                <w:color w:val="000000"/>
                <w:szCs w:val="18"/>
                <w:lang w:eastAsia="en-AU"/>
              </w:rPr>
              <w:t>11 896</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8D5734">
              <w:rPr>
                <w:rFonts w:eastAsiaTheme="minorEastAsia" w:cs="Arial"/>
                <w:bCs/>
                <w:color w:val="000000"/>
                <w:szCs w:val="18"/>
                <w:lang w:eastAsia="en-AU"/>
              </w:rPr>
              <w:t>11 433</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8D5734">
              <w:rPr>
                <w:rFonts w:eastAsiaTheme="minorEastAsia" w:cs="Arial"/>
                <w:bCs/>
                <w:color w:val="000000"/>
                <w:szCs w:val="18"/>
                <w:lang w:eastAsia="en-AU"/>
              </w:rPr>
              <w:t>11 373</w:t>
            </w:r>
          </w:p>
        </w:tc>
      </w:tr>
    </w:tbl>
    <w:p w:rsidR="004B6846" w:rsidRPr="00D87D22" w:rsidRDefault="004B6846" w:rsidP="00CC0EB7">
      <w:pPr>
        <w:pStyle w:val="Source"/>
      </w:pPr>
      <w:r w:rsidRPr="00D87D22">
        <w:t>Source: Department of Treasury and Finance</w:t>
      </w:r>
    </w:p>
    <w:p w:rsidR="004B6846" w:rsidRPr="00697AD9" w:rsidRDefault="004B6846" w:rsidP="00CC0EB7">
      <w:pPr>
        <w:pStyle w:val="Note"/>
      </w:pPr>
      <w:r>
        <w:t>Note</w:t>
      </w:r>
      <w:r w:rsidRPr="00697AD9">
        <w:t>:</w:t>
      </w:r>
    </w:p>
    <w:p w:rsidR="004B6846" w:rsidRDefault="004B6846" w:rsidP="00CC0EB7">
      <w:pPr>
        <w:pStyle w:val="Note"/>
      </w:pPr>
      <w:r w:rsidRPr="00697AD9">
        <w:t>(a)</w:t>
      </w:r>
      <w:r w:rsidRPr="00697AD9">
        <w:tab/>
      </w:r>
      <w:r w:rsidRPr="0095755C">
        <w:t xml:space="preserve">The reduction in </w:t>
      </w:r>
      <w:r>
        <w:t>service contracts in 2019-20 is</w:t>
      </w:r>
      <w:r w:rsidRPr="0095755C">
        <w:t xml:space="preserve"> largely </w:t>
      </w:r>
      <w:r>
        <w:t>due to</w:t>
      </w:r>
      <w:r w:rsidRPr="0095755C">
        <w:t xml:space="preserve"> the State</w:t>
      </w:r>
      <w:r>
        <w:t>’</w:t>
      </w:r>
      <w:r w:rsidRPr="0095755C">
        <w:t>s existing expenditure on disability services, including payments to disability service providers, being allocated towards the State</w:t>
      </w:r>
      <w:r>
        <w:t>’</w:t>
      </w:r>
      <w:r w:rsidRPr="0095755C">
        <w:t xml:space="preserve">s contribution to the </w:t>
      </w:r>
      <w:r>
        <w:t>NDIS.</w:t>
      </w:r>
      <w:r w:rsidRPr="0095755C">
        <w:t xml:space="preserve"> These services will be funded by the NDIS.</w:t>
      </w:r>
    </w:p>
    <w:p w:rsidR="004B6846" w:rsidRDefault="004B6846" w:rsidP="00CC0EB7">
      <w:pPr>
        <w:keepLines w:val="0"/>
        <w:rPr>
          <w:rFonts w:asciiTheme="majorHAnsi" w:eastAsiaTheme="majorEastAsia" w:hAnsiTheme="majorHAnsi" w:cstheme="majorBidi"/>
          <w:b/>
          <w:bCs/>
          <w:spacing w:val="-2"/>
          <w:sz w:val="20"/>
          <w:szCs w:val="26"/>
        </w:rPr>
      </w:pPr>
      <w:bookmarkStart w:id="56" w:name="_Toc496606578"/>
      <w:r>
        <w:br w:type="page"/>
      </w:r>
    </w:p>
    <w:p w:rsidR="004B6846" w:rsidRPr="00BA2EEF" w:rsidRDefault="004B6846" w:rsidP="004B6846">
      <w:pPr>
        <w:pStyle w:val="Heading3"/>
        <w:numPr>
          <w:ilvl w:val="2"/>
          <w:numId w:val="19"/>
        </w:numPr>
        <w:spacing w:after="60"/>
        <w:rPr>
          <w:sz w:val="22"/>
        </w:rPr>
      </w:pPr>
      <w:bookmarkStart w:id="57" w:name="_Toc530147964"/>
      <w:r w:rsidRPr="00BA2EEF">
        <w:rPr>
          <w:sz w:val="22"/>
        </w:rPr>
        <w:lastRenderedPageBreak/>
        <w:t xml:space="preserve">Total expenses by classification of the functions of government </w:t>
      </w:r>
      <w:r w:rsidR="00D11960" w:rsidRPr="00BA2EEF">
        <w:rPr>
          <w:sz w:val="22"/>
        </w:rPr>
        <w:br/>
      </w:r>
      <w:r w:rsidRPr="00BA2EEF">
        <w:rPr>
          <w:sz w:val="22"/>
        </w:rPr>
        <w:t>and by portfolio department</w:t>
      </w:r>
      <w:bookmarkEnd w:id="56"/>
      <w:bookmarkEnd w:id="57"/>
    </w:p>
    <w:p w:rsidR="004B6846" w:rsidRPr="00E21468" w:rsidRDefault="004B6846" w:rsidP="00CC0EB7">
      <w:pPr>
        <w:pStyle w:val="TableHeading"/>
        <w:rPr>
          <w:bCs/>
          <w:lang w:val="en-US"/>
        </w:rPr>
      </w:pPr>
      <w:r>
        <w:t xml:space="preserve">Expenses by classification of the functions of government </w:t>
      </w:r>
      <w:r w:rsidRPr="0095755C">
        <w:rPr>
          <w:vertAlign w:val="superscript"/>
        </w:rPr>
        <w:t>(a)</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CC0EB7" w:rsidRPr="00E21468" w:rsidTr="00D11960">
        <w:trPr>
          <w:cnfStyle w:val="100000000000" w:firstRow="1" w:lastRow="0" w:firstColumn="0" w:lastColumn="0" w:oddVBand="0" w:evenVBand="0" w:oddHBand="0" w:evenHBand="0" w:firstRowFirstColumn="0" w:firstRowLastColumn="0" w:lastRowFirstColumn="0" w:lastRowLastColumn="0"/>
          <w:trHeight w:val="109"/>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E21468" w:rsidRDefault="00CC0EB7" w:rsidP="00CC0EB7">
            <w:pPr>
              <w:autoSpaceDE w:val="0"/>
              <w:autoSpaceDN w:val="0"/>
              <w:adjustRightInd w:val="0"/>
              <w:rPr>
                <w:rFonts w:eastAsiaTheme="minorEastAsia" w:cstheme="majorHAnsi"/>
                <w:iCs/>
                <w:color w:val="FFFFFF"/>
                <w:szCs w:val="16"/>
                <w:lang w:eastAsia="en-AU"/>
              </w:rPr>
            </w:pPr>
            <w:r w:rsidRPr="00E21468">
              <w:rPr>
                <w:rFonts w:eastAsiaTheme="minorEastAsia" w:cstheme="majorHAnsi"/>
                <w:iCs/>
                <w:color w:val="FFFFFF"/>
                <w:szCs w:val="16"/>
                <w:lang w:eastAsia="en-AU"/>
              </w:rPr>
              <w:t xml:space="preserve">  </w:t>
            </w:r>
          </w:p>
        </w:tc>
        <w:tc>
          <w:tcPr>
            <w:tcW w:w="850" w:type="dxa"/>
            <w:tcBorders>
              <w:top w:val="nil"/>
              <w:left w:val="nil"/>
              <w:right w:val="nil"/>
            </w:tcBorders>
            <w:shd w:val="solid" w:color="000000" w:fill="auto"/>
          </w:tcPr>
          <w:p w:rsidR="00CC0EB7" w:rsidRPr="00E21468"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E21468">
              <w:rPr>
                <w:rFonts w:eastAsiaTheme="minorEastAsia" w:cstheme="majorHAnsi"/>
                <w:iCs/>
                <w:color w:val="FFFFFF"/>
                <w:szCs w:val="16"/>
                <w:lang w:eastAsia="en-AU"/>
              </w:rPr>
              <w:t>2018-19</w:t>
            </w:r>
            <w:r>
              <w:rPr>
                <w:rFonts w:eastAsiaTheme="minorEastAsia" w:cstheme="majorHAnsi"/>
                <w:iCs/>
                <w:color w:val="FFFFFF"/>
                <w:szCs w:val="16"/>
                <w:lang w:eastAsia="en-AU"/>
              </w:rPr>
              <w:br/>
            </w:r>
            <w:r w:rsidRPr="00E21468">
              <w:rPr>
                <w:rFonts w:eastAsiaTheme="minorEastAsia" w:cstheme="majorHAnsi"/>
                <w:iCs/>
                <w:color w:val="FFFFFF"/>
                <w:szCs w:val="16"/>
                <w:lang w:eastAsia="en-AU"/>
              </w:rPr>
              <w:t>budget</w:t>
            </w:r>
          </w:p>
        </w:tc>
        <w:tc>
          <w:tcPr>
            <w:tcW w:w="850" w:type="dxa"/>
            <w:tcBorders>
              <w:top w:val="nil"/>
              <w:left w:val="nil"/>
              <w:right w:val="nil"/>
            </w:tcBorders>
            <w:shd w:val="solid" w:color="000000" w:fill="auto"/>
          </w:tcPr>
          <w:p w:rsidR="00CC0EB7" w:rsidRPr="00E21468"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E21468">
              <w:rPr>
                <w:rFonts w:eastAsiaTheme="minorEastAsia" w:cstheme="majorHAnsi"/>
                <w:iCs/>
                <w:color w:val="FFFFFF"/>
                <w:szCs w:val="16"/>
                <w:lang w:eastAsia="en-AU"/>
              </w:rPr>
              <w:t>2018-19</w:t>
            </w:r>
            <w:r>
              <w:rPr>
                <w:rFonts w:eastAsiaTheme="minorEastAsia" w:cstheme="majorHAnsi"/>
                <w:iCs/>
                <w:color w:val="FFFFFF"/>
                <w:szCs w:val="16"/>
                <w:lang w:eastAsia="en-AU"/>
              </w:rPr>
              <w:br/>
            </w:r>
            <w:r w:rsidRPr="00E21468">
              <w:rPr>
                <w:rFonts w:eastAsiaTheme="minorEastAsia" w:cstheme="majorHAnsi"/>
                <w:iCs/>
                <w:color w:val="FFFFFF"/>
                <w:szCs w:val="16"/>
                <w:lang w:eastAsia="en-AU"/>
              </w:rPr>
              <w:t>revised</w:t>
            </w:r>
          </w:p>
        </w:tc>
        <w:tc>
          <w:tcPr>
            <w:tcW w:w="850" w:type="dxa"/>
            <w:tcBorders>
              <w:top w:val="nil"/>
              <w:left w:val="nil"/>
              <w:right w:val="nil"/>
            </w:tcBorders>
            <w:shd w:val="solid" w:color="000000" w:fill="auto"/>
          </w:tcPr>
          <w:p w:rsidR="00CC0EB7" w:rsidRPr="00E21468"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E21468">
              <w:rPr>
                <w:rFonts w:eastAsiaTheme="minorEastAsia" w:cstheme="majorHAnsi"/>
                <w:iCs/>
                <w:color w:val="FFFFFF"/>
                <w:szCs w:val="16"/>
                <w:lang w:eastAsia="en-AU"/>
              </w:rPr>
              <w:t>2019-20</w:t>
            </w:r>
            <w:r>
              <w:rPr>
                <w:rFonts w:eastAsiaTheme="minorEastAsia" w:cstheme="majorHAnsi"/>
                <w:iCs/>
                <w:color w:val="FFFFFF"/>
                <w:szCs w:val="16"/>
                <w:lang w:eastAsia="en-AU"/>
              </w:rPr>
              <w:br/>
            </w:r>
            <w:r w:rsidRPr="00E21468">
              <w:rPr>
                <w:rFonts w:eastAsiaTheme="minorEastAsia" w:cstheme="majorHAnsi"/>
                <w:iCs/>
                <w:color w:val="FFFFFF"/>
                <w:szCs w:val="16"/>
                <w:lang w:eastAsia="en-AU"/>
              </w:rPr>
              <w:t>estimate</w:t>
            </w:r>
          </w:p>
        </w:tc>
        <w:tc>
          <w:tcPr>
            <w:tcW w:w="850" w:type="dxa"/>
            <w:tcBorders>
              <w:top w:val="nil"/>
              <w:left w:val="nil"/>
              <w:right w:val="nil"/>
            </w:tcBorders>
            <w:shd w:val="solid" w:color="000000" w:fill="auto"/>
          </w:tcPr>
          <w:p w:rsidR="00CC0EB7" w:rsidRPr="00E21468"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E21468">
              <w:rPr>
                <w:rFonts w:eastAsiaTheme="minorEastAsia" w:cstheme="majorHAnsi"/>
                <w:iCs/>
                <w:color w:val="FFFFFF"/>
                <w:szCs w:val="16"/>
                <w:lang w:eastAsia="en-AU"/>
              </w:rPr>
              <w:t>2020-21</w:t>
            </w:r>
            <w:r>
              <w:rPr>
                <w:rFonts w:eastAsiaTheme="minorEastAsia" w:cstheme="majorHAnsi"/>
                <w:iCs/>
                <w:color w:val="FFFFFF"/>
                <w:szCs w:val="16"/>
                <w:lang w:eastAsia="en-AU"/>
              </w:rPr>
              <w:br/>
            </w:r>
            <w:r w:rsidRPr="00E21468">
              <w:rPr>
                <w:rFonts w:eastAsiaTheme="minorEastAsia" w:cstheme="majorHAnsi"/>
                <w:iCs/>
                <w:color w:val="FFFFFF"/>
                <w:szCs w:val="16"/>
                <w:lang w:eastAsia="en-AU"/>
              </w:rPr>
              <w:t>estimate</w:t>
            </w:r>
          </w:p>
        </w:tc>
        <w:tc>
          <w:tcPr>
            <w:tcW w:w="850" w:type="dxa"/>
            <w:tcBorders>
              <w:top w:val="nil"/>
              <w:left w:val="nil"/>
              <w:right w:val="nil"/>
            </w:tcBorders>
            <w:shd w:val="solid" w:color="000000" w:fill="auto"/>
          </w:tcPr>
          <w:p w:rsidR="00CC0EB7" w:rsidRPr="00E21468"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E21468">
              <w:rPr>
                <w:rFonts w:eastAsiaTheme="minorEastAsia" w:cstheme="majorHAnsi"/>
                <w:iCs/>
                <w:color w:val="FFFFFF"/>
                <w:szCs w:val="16"/>
                <w:lang w:eastAsia="en-AU"/>
              </w:rPr>
              <w:t>2021-22</w:t>
            </w:r>
            <w:r>
              <w:rPr>
                <w:rFonts w:eastAsiaTheme="minorEastAsia" w:cstheme="majorHAnsi"/>
                <w:iCs/>
                <w:color w:val="FFFFFF"/>
                <w:szCs w:val="16"/>
                <w:lang w:eastAsia="en-AU"/>
              </w:rPr>
              <w:br/>
            </w:r>
            <w:r w:rsidRPr="00E21468">
              <w:rPr>
                <w:rFonts w:eastAsiaTheme="minorEastAsia" w:cstheme="majorHAnsi"/>
                <w:iCs/>
                <w:color w:val="FFFFFF"/>
                <w:szCs w:val="16"/>
                <w:lang w:eastAsia="en-AU"/>
              </w:rPr>
              <w:t>estimate</w:t>
            </w:r>
          </w:p>
        </w:tc>
      </w:tr>
      <w:tr w:rsidR="004B6846" w:rsidRPr="00E21468"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E21468" w:rsidRDefault="004B6846" w:rsidP="00CC0EB7">
            <w:pPr>
              <w:keepLines w:val="0"/>
              <w:autoSpaceDE w:val="0"/>
              <w:autoSpaceDN w:val="0"/>
              <w:adjustRightInd w:val="0"/>
              <w:rPr>
                <w:rFonts w:eastAsiaTheme="minorEastAsia" w:cstheme="majorHAnsi"/>
                <w:color w:val="000000"/>
                <w:szCs w:val="16"/>
                <w:lang w:eastAsia="en-AU"/>
              </w:rPr>
            </w:pPr>
            <w:r w:rsidRPr="00E21468">
              <w:rPr>
                <w:rFonts w:eastAsiaTheme="minorEastAsia" w:cstheme="majorHAnsi"/>
                <w:color w:val="000000"/>
                <w:szCs w:val="16"/>
                <w:lang w:eastAsia="en-AU"/>
              </w:rPr>
              <w:t>General public services</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3 968</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3 877</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3 784</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3 750</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3 861</w:t>
            </w:r>
          </w:p>
        </w:tc>
      </w:tr>
      <w:tr w:rsidR="004B6846" w:rsidRPr="00E21468"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E21468" w:rsidRDefault="004B6846" w:rsidP="00CC0EB7">
            <w:pPr>
              <w:keepLines w:val="0"/>
              <w:autoSpaceDE w:val="0"/>
              <w:autoSpaceDN w:val="0"/>
              <w:adjustRightInd w:val="0"/>
              <w:rPr>
                <w:rFonts w:eastAsiaTheme="minorEastAsia" w:cstheme="majorHAnsi"/>
                <w:color w:val="000000"/>
                <w:szCs w:val="16"/>
                <w:lang w:eastAsia="en-AU"/>
              </w:rPr>
            </w:pPr>
            <w:r w:rsidRPr="00E21468">
              <w:rPr>
                <w:rFonts w:eastAsiaTheme="minorEastAsia" w:cstheme="majorHAnsi"/>
                <w:color w:val="000000"/>
                <w:szCs w:val="16"/>
                <w:lang w:eastAsia="en-AU"/>
              </w:rPr>
              <w:t>Public order and safety</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8 144</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8 290</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8 250</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8 409</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8 545</w:t>
            </w:r>
          </w:p>
        </w:tc>
      </w:tr>
      <w:tr w:rsidR="004B6846" w:rsidRPr="00E21468"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E21468" w:rsidRDefault="004B6846" w:rsidP="00CC0EB7">
            <w:pPr>
              <w:keepLines w:val="0"/>
              <w:autoSpaceDE w:val="0"/>
              <w:autoSpaceDN w:val="0"/>
              <w:adjustRightInd w:val="0"/>
              <w:rPr>
                <w:rFonts w:eastAsiaTheme="minorEastAsia" w:cstheme="majorHAnsi"/>
                <w:color w:val="000000"/>
                <w:szCs w:val="16"/>
                <w:lang w:eastAsia="en-AU"/>
              </w:rPr>
            </w:pPr>
            <w:r w:rsidRPr="00E21468">
              <w:rPr>
                <w:rFonts w:eastAsiaTheme="minorEastAsia" w:cstheme="majorHAnsi"/>
                <w:color w:val="000000"/>
                <w:szCs w:val="16"/>
                <w:lang w:eastAsia="en-AU"/>
              </w:rPr>
              <w:t>Economic affairs</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1 951</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2 115</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1 405</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1 052</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942</w:t>
            </w:r>
          </w:p>
        </w:tc>
      </w:tr>
      <w:tr w:rsidR="004B6846" w:rsidRPr="00E21468"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E21468" w:rsidRDefault="004B6846" w:rsidP="00CC0EB7">
            <w:pPr>
              <w:keepLines w:val="0"/>
              <w:autoSpaceDE w:val="0"/>
              <w:autoSpaceDN w:val="0"/>
              <w:adjustRightInd w:val="0"/>
              <w:rPr>
                <w:rFonts w:eastAsiaTheme="minorEastAsia" w:cstheme="majorHAnsi"/>
                <w:color w:val="000000"/>
                <w:szCs w:val="16"/>
                <w:lang w:eastAsia="en-AU"/>
              </w:rPr>
            </w:pPr>
            <w:r w:rsidRPr="00E21468">
              <w:rPr>
                <w:rFonts w:eastAsiaTheme="minorEastAsia" w:cstheme="majorHAnsi"/>
                <w:color w:val="000000"/>
                <w:szCs w:val="16"/>
                <w:lang w:eastAsia="en-AU"/>
              </w:rPr>
              <w:t>Environmental protection</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766</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844</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744</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703</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674</w:t>
            </w:r>
          </w:p>
        </w:tc>
      </w:tr>
      <w:tr w:rsidR="004B6846" w:rsidRPr="00E21468"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E21468" w:rsidRDefault="004B6846" w:rsidP="00CC0EB7">
            <w:pPr>
              <w:keepLines w:val="0"/>
              <w:autoSpaceDE w:val="0"/>
              <w:autoSpaceDN w:val="0"/>
              <w:adjustRightInd w:val="0"/>
              <w:rPr>
                <w:rFonts w:eastAsiaTheme="minorEastAsia" w:cstheme="majorHAnsi"/>
                <w:color w:val="000000"/>
                <w:szCs w:val="16"/>
                <w:lang w:eastAsia="en-AU"/>
              </w:rPr>
            </w:pPr>
            <w:r w:rsidRPr="00E21468">
              <w:rPr>
                <w:rFonts w:eastAsiaTheme="minorEastAsia" w:cstheme="majorHAnsi"/>
                <w:color w:val="000000"/>
                <w:szCs w:val="16"/>
                <w:lang w:eastAsia="en-AU"/>
              </w:rPr>
              <w:t>Housing and community amenities</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2 421</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2 196</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2 212</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2 117</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2 017</w:t>
            </w:r>
          </w:p>
        </w:tc>
      </w:tr>
      <w:tr w:rsidR="004B6846" w:rsidRPr="00E21468"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E21468" w:rsidRDefault="004B6846" w:rsidP="00CC0EB7">
            <w:pPr>
              <w:keepLines w:val="0"/>
              <w:autoSpaceDE w:val="0"/>
              <w:autoSpaceDN w:val="0"/>
              <w:adjustRightInd w:val="0"/>
              <w:rPr>
                <w:rFonts w:eastAsiaTheme="minorEastAsia" w:cstheme="majorHAnsi"/>
                <w:color w:val="000000"/>
                <w:szCs w:val="16"/>
                <w:lang w:eastAsia="en-AU"/>
              </w:rPr>
            </w:pPr>
            <w:r w:rsidRPr="00E21468">
              <w:rPr>
                <w:rFonts w:eastAsiaTheme="minorEastAsia" w:cstheme="majorHAnsi"/>
                <w:color w:val="000000"/>
                <w:szCs w:val="16"/>
                <w:lang w:eastAsia="en-AU"/>
              </w:rPr>
              <w:t>Health</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19 634</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19 449</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20 079</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21 044</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21 960</w:t>
            </w:r>
          </w:p>
        </w:tc>
      </w:tr>
      <w:tr w:rsidR="004B6846" w:rsidRPr="00E21468"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E21468" w:rsidRDefault="004B6846" w:rsidP="00CC0EB7">
            <w:pPr>
              <w:keepLines w:val="0"/>
              <w:autoSpaceDE w:val="0"/>
              <w:autoSpaceDN w:val="0"/>
              <w:adjustRightInd w:val="0"/>
              <w:rPr>
                <w:rFonts w:eastAsiaTheme="minorEastAsia" w:cstheme="majorHAnsi"/>
                <w:color w:val="000000"/>
                <w:szCs w:val="16"/>
                <w:lang w:eastAsia="en-AU"/>
              </w:rPr>
            </w:pPr>
            <w:r w:rsidRPr="00E21468">
              <w:rPr>
                <w:rFonts w:eastAsiaTheme="minorEastAsia" w:cstheme="majorHAnsi"/>
                <w:color w:val="000000"/>
                <w:szCs w:val="16"/>
                <w:lang w:eastAsia="en-AU"/>
              </w:rPr>
              <w:t>Recreation, culture and religion</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922</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938</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680</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615</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552</w:t>
            </w:r>
          </w:p>
        </w:tc>
      </w:tr>
      <w:tr w:rsidR="004B6846" w:rsidRPr="00E21468"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E21468" w:rsidRDefault="004B6846" w:rsidP="00CC0EB7">
            <w:pPr>
              <w:keepLines w:val="0"/>
              <w:autoSpaceDE w:val="0"/>
              <w:autoSpaceDN w:val="0"/>
              <w:adjustRightInd w:val="0"/>
              <w:rPr>
                <w:rFonts w:eastAsiaTheme="minorEastAsia" w:cstheme="majorHAnsi"/>
                <w:color w:val="000000"/>
                <w:szCs w:val="16"/>
                <w:lang w:eastAsia="en-AU"/>
              </w:rPr>
            </w:pPr>
            <w:r w:rsidRPr="00E21468">
              <w:rPr>
                <w:rFonts w:eastAsiaTheme="minorEastAsia" w:cstheme="majorHAnsi"/>
                <w:color w:val="000000"/>
                <w:szCs w:val="16"/>
                <w:lang w:eastAsia="en-AU"/>
              </w:rPr>
              <w:t>Education</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16 436</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16 454</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16 522</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16 954</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18 172</w:t>
            </w:r>
          </w:p>
        </w:tc>
      </w:tr>
      <w:tr w:rsidR="004B6846" w:rsidRPr="00E21468"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E21468" w:rsidRDefault="004B6846" w:rsidP="00CC0EB7">
            <w:pPr>
              <w:keepLines w:val="0"/>
              <w:autoSpaceDE w:val="0"/>
              <w:autoSpaceDN w:val="0"/>
              <w:adjustRightInd w:val="0"/>
              <w:rPr>
                <w:rFonts w:eastAsiaTheme="minorEastAsia" w:cstheme="majorHAnsi"/>
                <w:color w:val="000000"/>
                <w:szCs w:val="16"/>
                <w:lang w:eastAsia="en-AU"/>
              </w:rPr>
            </w:pPr>
            <w:r w:rsidRPr="00E21468">
              <w:rPr>
                <w:rFonts w:eastAsiaTheme="minorEastAsia" w:cstheme="majorHAnsi"/>
                <w:color w:val="000000"/>
                <w:szCs w:val="16"/>
                <w:lang w:eastAsia="en-AU"/>
              </w:rPr>
              <w:t xml:space="preserve">Social protection </w:t>
            </w:r>
            <w:r w:rsidRPr="00E21468">
              <w:rPr>
                <w:rFonts w:eastAsiaTheme="minorEastAsia" w:cstheme="majorHAnsi"/>
                <w:color w:val="000000"/>
                <w:szCs w:val="16"/>
                <w:vertAlign w:val="superscript"/>
                <w:lang w:eastAsia="en-AU"/>
              </w:rPr>
              <w:t>(b)</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6 136</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6 450</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7 017</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7 059</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7 047</w:t>
            </w:r>
          </w:p>
        </w:tc>
      </w:tr>
      <w:tr w:rsidR="004B6846" w:rsidRPr="00E21468"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E21468" w:rsidRDefault="004B6846" w:rsidP="00CC0EB7">
            <w:pPr>
              <w:keepLines w:val="0"/>
              <w:autoSpaceDE w:val="0"/>
              <w:autoSpaceDN w:val="0"/>
              <w:adjustRightInd w:val="0"/>
              <w:rPr>
                <w:rFonts w:eastAsiaTheme="minorEastAsia" w:cstheme="majorHAnsi"/>
                <w:color w:val="000000"/>
                <w:szCs w:val="16"/>
                <w:lang w:eastAsia="en-AU"/>
              </w:rPr>
            </w:pPr>
            <w:r w:rsidRPr="00E21468">
              <w:rPr>
                <w:rFonts w:eastAsiaTheme="minorEastAsia" w:cstheme="majorHAnsi"/>
                <w:color w:val="000000"/>
                <w:szCs w:val="16"/>
                <w:lang w:eastAsia="en-AU"/>
              </w:rPr>
              <w:t>Transport</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8 260</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8 343</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8 059</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8 188</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E21468">
              <w:rPr>
                <w:rFonts w:eastAsiaTheme="minorEastAsia" w:cstheme="majorHAnsi"/>
                <w:color w:val="000000"/>
                <w:szCs w:val="16"/>
                <w:lang w:eastAsia="en-AU"/>
              </w:rPr>
              <w:t>8 087</w:t>
            </w:r>
          </w:p>
        </w:tc>
      </w:tr>
      <w:tr w:rsidR="004B6846" w:rsidRPr="00E21468"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E21468" w:rsidRDefault="004B6846" w:rsidP="00CC0EB7">
            <w:pPr>
              <w:keepLines w:val="0"/>
              <w:autoSpaceDE w:val="0"/>
              <w:autoSpaceDN w:val="0"/>
              <w:adjustRightInd w:val="0"/>
              <w:rPr>
                <w:rFonts w:eastAsiaTheme="minorEastAsia" w:cstheme="majorHAnsi"/>
                <w:color w:val="000000"/>
                <w:szCs w:val="16"/>
                <w:lang w:eastAsia="en-AU"/>
              </w:rPr>
            </w:pPr>
            <w:r w:rsidRPr="00E21468">
              <w:rPr>
                <w:rFonts w:eastAsiaTheme="minorEastAsia" w:cstheme="majorHAnsi"/>
                <w:color w:val="000000"/>
                <w:szCs w:val="16"/>
                <w:lang w:eastAsia="en-AU"/>
              </w:rPr>
              <w:t xml:space="preserve">Not allocated by purpose </w:t>
            </w:r>
            <w:r w:rsidRPr="00E21468">
              <w:rPr>
                <w:rFonts w:eastAsiaTheme="minorEastAsia" w:cstheme="majorHAnsi"/>
                <w:color w:val="000000"/>
                <w:szCs w:val="16"/>
                <w:vertAlign w:val="superscript"/>
                <w:lang w:eastAsia="en-AU"/>
              </w:rPr>
              <w:t>(c)</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(529)</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(1 439)</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650</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652</w:t>
            </w:r>
          </w:p>
        </w:tc>
        <w:tc>
          <w:tcPr>
            <w:tcW w:w="850" w:type="dxa"/>
            <w:tcBorders>
              <w:top w:val="nil"/>
              <w:left w:val="nil"/>
              <w:bottom w:val="nil"/>
              <w:right w:val="nil"/>
            </w:tcBorders>
          </w:tcPr>
          <w:p w:rsidR="004B6846" w:rsidRPr="00E2146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976</w:t>
            </w:r>
          </w:p>
        </w:tc>
      </w:tr>
      <w:tr w:rsidR="004B6846" w:rsidRPr="00E21468"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E21468" w:rsidRDefault="004B6846" w:rsidP="00CC0EB7">
            <w:pPr>
              <w:keepLines w:val="0"/>
              <w:autoSpaceDE w:val="0"/>
              <w:autoSpaceDN w:val="0"/>
              <w:adjustRightInd w:val="0"/>
              <w:rPr>
                <w:rFonts w:eastAsiaTheme="minorEastAsia" w:cstheme="majorHAnsi"/>
                <w:bCs/>
                <w:color w:val="000000"/>
                <w:szCs w:val="16"/>
                <w:lang w:eastAsia="en-AU"/>
              </w:rPr>
            </w:pPr>
            <w:r w:rsidRPr="00E21468">
              <w:rPr>
                <w:rFonts w:eastAsiaTheme="minorEastAsia" w:cstheme="majorHAnsi"/>
                <w:bCs/>
                <w:color w:val="000000"/>
                <w:szCs w:val="16"/>
                <w:lang w:eastAsia="en-AU"/>
              </w:rPr>
              <w:t>Total expenses by COFOG</w:t>
            </w:r>
          </w:p>
        </w:tc>
        <w:tc>
          <w:tcPr>
            <w:tcW w:w="850" w:type="dxa"/>
            <w:tcBorders>
              <w:top w:val="single" w:sz="6" w:space="0" w:color="000000"/>
              <w:bottom w:val="single" w:sz="12" w:space="0" w:color="000000"/>
            </w:tcBorders>
          </w:tcPr>
          <w:p w:rsidR="004B6846" w:rsidRPr="00E21468"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E21468">
              <w:rPr>
                <w:rFonts w:eastAsiaTheme="minorEastAsia" w:cstheme="majorHAnsi"/>
                <w:bCs/>
                <w:color w:val="000000"/>
                <w:szCs w:val="16"/>
                <w:lang w:eastAsia="en-AU"/>
              </w:rPr>
              <w:t>68 108</w:t>
            </w:r>
          </w:p>
        </w:tc>
        <w:tc>
          <w:tcPr>
            <w:tcW w:w="850" w:type="dxa"/>
            <w:tcBorders>
              <w:top w:val="single" w:sz="6" w:space="0" w:color="000000"/>
              <w:bottom w:val="single" w:sz="12" w:space="0" w:color="000000"/>
            </w:tcBorders>
          </w:tcPr>
          <w:p w:rsidR="004B6846" w:rsidRPr="00E21468"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E21468">
              <w:rPr>
                <w:rFonts w:eastAsiaTheme="minorEastAsia" w:cstheme="majorHAnsi"/>
                <w:bCs/>
                <w:color w:val="000000"/>
                <w:szCs w:val="16"/>
                <w:lang w:eastAsia="en-AU"/>
              </w:rPr>
              <w:t>67 517</w:t>
            </w:r>
          </w:p>
        </w:tc>
        <w:tc>
          <w:tcPr>
            <w:tcW w:w="850" w:type="dxa"/>
            <w:tcBorders>
              <w:top w:val="single" w:sz="6" w:space="0" w:color="000000"/>
              <w:bottom w:val="single" w:sz="12" w:space="0" w:color="000000"/>
            </w:tcBorders>
          </w:tcPr>
          <w:p w:rsidR="004B6846" w:rsidRPr="00E21468"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E21468">
              <w:rPr>
                <w:rFonts w:eastAsiaTheme="minorEastAsia" w:cstheme="majorHAnsi"/>
                <w:bCs/>
                <w:color w:val="000000"/>
                <w:szCs w:val="16"/>
                <w:lang w:eastAsia="en-AU"/>
              </w:rPr>
              <w:t>69 403</w:t>
            </w:r>
          </w:p>
        </w:tc>
        <w:tc>
          <w:tcPr>
            <w:tcW w:w="850" w:type="dxa"/>
            <w:tcBorders>
              <w:top w:val="single" w:sz="6" w:space="0" w:color="000000"/>
              <w:bottom w:val="single" w:sz="12" w:space="0" w:color="000000"/>
            </w:tcBorders>
          </w:tcPr>
          <w:p w:rsidR="004B6846" w:rsidRPr="00E21468"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E21468">
              <w:rPr>
                <w:rFonts w:eastAsiaTheme="minorEastAsia" w:cstheme="majorHAnsi"/>
                <w:bCs/>
                <w:color w:val="000000"/>
                <w:szCs w:val="16"/>
                <w:lang w:eastAsia="en-AU"/>
              </w:rPr>
              <w:t>70 544</w:t>
            </w:r>
          </w:p>
        </w:tc>
        <w:tc>
          <w:tcPr>
            <w:tcW w:w="850" w:type="dxa"/>
            <w:tcBorders>
              <w:top w:val="single" w:sz="6" w:space="0" w:color="000000"/>
              <w:bottom w:val="single" w:sz="12" w:space="0" w:color="000000"/>
            </w:tcBorders>
          </w:tcPr>
          <w:p w:rsidR="004B6846" w:rsidRPr="00E21468"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E21468">
              <w:rPr>
                <w:rFonts w:eastAsiaTheme="minorEastAsia" w:cstheme="majorHAnsi"/>
                <w:bCs/>
                <w:color w:val="000000"/>
                <w:szCs w:val="16"/>
                <w:lang w:eastAsia="en-AU"/>
              </w:rPr>
              <w:t>72 833</w:t>
            </w:r>
          </w:p>
        </w:tc>
      </w:tr>
    </w:tbl>
    <w:p w:rsidR="004B6846" w:rsidRPr="00D12665" w:rsidRDefault="004B6846" w:rsidP="00CC0EB7">
      <w:pPr>
        <w:pStyle w:val="Source"/>
        <w:rPr>
          <w:bCs/>
          <w:lang w:val="en-US"/>
        </w:rPr>
      </w:pPr>
      <w:r>
        <w:fldChar w:fldCharType="begin"/>
      </w:r>
      <w:r>
        <w:instrText xml:space="preserve"> LINK </w:instrText>
      </w:r>
      <w:r w:rsidR="003C6991">
        <w:instrText xml:space="preserve">Excel.Sheet.12 "\\\\PDCPTPRDFIL01\\DTFDATA02$\\SECURED\\Rawdata\\Eco_Statement\\2018-19\\Financial Statements\\VES COFOG\\Eco_EFS_COFOG.xlsx" Expenses!Total_expenses_by_COFOG </w:instrText>
      </w:r>
      <w:r>
        <w:instrText xml:space="preserve">\f 4 \r \* MERGEFORMAT \Id 1589 </w:instrText>
      </w:r>
      <w:r>
        <w:fldChar w:fldCharType="end"/>
      </w:r>
      <w:r w:rsidRPr="00D87D22">
        <w:t>Source: Department of Treasury and Finance</w:t>
      </w:r>
    </w:p>
    <w:p w:rsidR="004B6846" w:rsidRPr="00697AD9" w:rsidRDefault="004B6846" w:rsidP="00CC0EB7">
      <w:pPr>
        <w:pStyle w:val="Note"/>
      </w:pPr>
      <w:r w:rsidRPr="00697AD9">
        <w:t>Notes:</w:t>
      </w:r>
    </w:p>
    <w:p w:rsidR="004B6846" w:rsidRDefault="004B6846" w:rsidP="00CC0EB7">
      <w:pPr>
        <w:pStyle w:val="Note"/>
      </w:pPr>
      <w:r w:rsidRPr="00791993">
        <w:t>(a)</w:t>
      </w:r>
      <w:r w:rsidRPr="00791993">
        <w:tab/>
      </w:r>
      <w:r w:rsidRPr="0007131F">
        <w:t>The classification of the functions of government (COFOG) framework has replaced the former Government Purpose Classification (GPC) framework under the new ABS GFS Manual.</w:t>
      </w:r>
      <w:r>
        <w:t xml:space="preserve"> </w:t>
      </w:r>
      <w:r w:rsidRPr="0007131F">
        <w:t xml:space="preserve">This </w:t>
      </w:r>
      <w:r>
        <w:t>was</w:t>
      </w:r>
      <w:r w:rsidRPr="0007131F">
        <w:t xml:space="preserve"> implemented for the first time in the </w:t>
      </w:r>
      <w:r w:rsidRPr="00F3055C">
        <w:rPr>
          <w:i w:val="0"/>
        </w:rPr>
        <w:t>2018-19 Budget</w:t>
      </w:r>
      <w:r w:rsidRPr="0007131F">
        <w:t xml:space="preserve">. </w:t>
      </w:r>
      <w:r>
        <w:t xml:space="preserve">Note 1.7.5 of Budget Paper No.5 of the </w:t>
      </w:r>
      <w:r>
        <w:rPr>
          <w:i w:val="0"/>
        </w:rPr>
        <w:t>2018-19</w:t>
      </w:r>
      <w:r w:rsidRPr="00812D30">
        <w:rPr>
          <w:i w:val="0"/>
        </w:rPr>
        <w:t xml:space="preserve"> </w:t>
      </w:r>
      <w:r>
        <w:rPr>
          <w:i w:val="0"/>
        </w:rPr>
        <w:t>Budget</w:t>
      </w:r>
      <w:r>
        <w:t xml:space="preserve"> provides definitions and descriptions of the COFOG.</w:t>
      </w:r>
    </w:p>
    <w:p w:rsidR="004B6846" w:rsidRPr="007A2894" w:rsidRDefault="004B6846" w:rsidP="00CC0EB7">
      <w:pPr>
        <w:pStyle w:val="Note"/>
      </w:pPr>
      <w:r>
        <w:t>(b)</w:t>
      </w:r>
      <w:r>
        <w:tab/>
      </w:r>
      <w:r w:rsidRPr="00697AD9">
        <w:t>Th</w:t>
      </w:r>
      <w:r>
        <w:t>e State’s contribution to the NDIS transition is expected to increase over the next four years as more clients transition into the scheme.</w:t>
      </w:r>
    </w:p>
    <w:p w:rsidR="004B6846" w:rsidRDefault="004B6846" w:rsidP="00CC0EB7">
      <w:pPr>
        <w:pStyle w:val="Note"/>
      </w:pPr>
      <w:r>
        <w:t>(c</w:t>
      </w:r>
      <w:r w:rsidRPr="00697AD9">
        <w:t>)</w:t>
      </w:r>
      <w:r w:rsidRPr="00697AD9">
        <w:tab/>
      </w:r>
      <w:r>
        <w:t xml:space="preserve">Mainly comprising provision for future demand growth, departmental underspending, eliminated purchases of supplies and consumables between government entities, and items not yet formalised at the time of publication. </w:t>
      </w:r>
      <w:r>
        <w:tab/>
      </w:r>
    </w:p>
    <w:p w:rsidR="004B6846" w:rsidRPr="0095755C" w:rsidRDefault="004B6846" w:rsidP="00CC0EB7">
      <w:pPr>
        <w:keepLines w:val="0"/>
        <w:rPr>
          <w:rFonts w:asciiTheme="majorHAnsi" w:hAnsiTheme="majorHAnsi"/>
          <w:i/>
          <w:spacing w:val="-2"/>
          <w:sz w:val="14"/>
        </w:rPr>
      </w:pPr>
      <w:r>
        <w:rPr>
          <w:rFonts w:asciiTheme="majorHAnsi" w:hAnsiTheme="majorHAnsi"/>
          <w:i/>
          <w:spacing w:val="-2"/>
          <w:sz w:val="14"/>
        </w:rPr>
        <w:br w:type="page"/>
      </w:r>
    </w:p>
    <w:p w:rsidR="004B6846" w:rsidRPr="007448A4" w:rsidRDefault="004B6846" w:rsidP="00CC0EB7">
      <w:pPr>
        <w:pStyle w:val="TableHeading"/>
        <w:rPr>
          <w:bCs/>
          <w:lang w:val="en-US"/>
        </w:rPr>
      </w:pPr>
      <w:r>
        <w:lastRenderedPageBreak/>
        <w:t>Total expenses by portfolio department</w:t>
      </w:r>
      <w:r>
        <w:tab/>
        <w:t xml:space="preserve">($ million) </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499"/>
        <w:gridCol w:w="16"/>
        <w:gridCol w:w="268"/>
        <w:gridCol w:w="582"/>
        <w:gridCol w:w="850"/>
        <w:gridCol w:w="850"/>
        <w:gridCol w:w="850"/>
        <w:gridCol w:w="850"/>
      </w:tblGrid>
      <w:tr w:rsidR="00CC0EB7" w:rsidRPr="007448A4" w:rsidTr="00D11960">
        <w:trPr>
          <w:cnfStyle w:val="100000000000" w:firstRow="1" w:lastRow="0" w:firstColumn="0" w:lastColumn="0" w:oddVBand="0" w:evenVBand="0" w:oddHBand="0" w:evenHBand="0" w:firstRowFirstColumn="0" w:firstRowLastColumn="0" w:lastRowFirstColumn="0" w:lastRowLastColumn="0"/>
          <w:trHeight w:val="211"/>
          <w:tblHeader/>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left w:val="nil"/>
              <w:right w:val="nil"/>
            </w:tcBorders>
            <w:shd w:val="solid" w:color="000000" w:fill="auto"/>
          </w:tcPr>
          <w:p w:rsidR="00CC0EB7" w:rsidRPr="007448A4" w:rsidRDefault="00CC0EB7" w:rsidP="00CC0EB7">
            <w:pPr>
              <w:autoSpaceDE w:val="0"/>
              <w:autoSpaceDN w:val="0"/>
              <w:adjustRightInd w:val="0"/>
              <w:rPr>
                <w:rFonts w:eastAsiaTheme="minorEastAsia" w:cstheme="majorHAnsi"/>
                <w:iCs/>
                <w:color w:val="FFFFFF"/>
                <w:szCs w:val="16"/>
                <w:lang w:eastAsia="en-AU"/>
              </w:rPr>
            </w:pPr>
            <w:r w:rsidRPr="007448A4">
              <w:rPr>
                <w:rFonts w:eastAsiaTheme="minorEastAsia" w:cstheme="majorHAnsi"/>
                <w:iCs/>
                <w:color w:val="FFFFFF"/>
                <w:szCs w:val="16"/>
                <w:lang w:eastAsia="en-AU"/>
              </w:rPr>
              <w:t xml:space="preserve">  </w:t>
            </w:r>
          </w:p>
        </w:tc>
        <w:tc>
          <w:tcPr>
            <w:tcW w:w="850" w:type="dxa"/>
            <w:gridSpan w:val="2"/>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2018-19</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 xml:space="preserve"> budget</w:t>
            </w:r>
          </w:p>
        </w:tc>
        <w:tc>
          <w:tcPr>
            <w:tcW w:w="850" w:type="dxa"/>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2018-19</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 xml:space="preserve"> revised</w:t>
            </w:r>
          </w:p>
        </w:tc>
        <w:tc>
          <w:tcPr>
            <w:tcW w:w="850" w:type="dxa"/>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2019-20</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 xml:space="preserve"> estimate</w:t>
            </w:r>
          </w:p>
        </w:tc>
        <w:tc>
          <w:tcPr>
            <w:tcW w:w="850" w:type="dxa"/>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2020-21</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 xml:space="preserve"> estimate</w:t>
            </w:r>
          </w:p>
        </w:tc>
        <w:tc>
          <w:tcPr>
            <w:tcW w:w="850" w:type="dxa"/>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2021-22</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 xml:space="preserve"> estimate</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gridSpan w:val="2"/>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b/>
                <w:bCs/>
                <w:color w:val="000000"/>
                <w:szCs w:val="16"/>
                <w:lang w:eastAsia="en-AU"/>
              </w:rPr>
            </w:pPr>
            <w:r w:rsidRPr="007448A4">
              <w:rPr>
                <w:rFonts w:eastAsiaTheme="minorEastAsia" w:cstheme="majorHAnsi"/>
                <w:b/>
                <w:bCs/>
                <w:color w:val="000000"/>
                <w:szCs w:val="16"/>
                <w:lang w:eastAsia="en-AU"/>
              </w:rPr>
              <w:t>Expenses from transactions</w:t>
            </w:r>
          </w:p>
        </w:tc>
        <w:tc>
          <w:tcPr>
            <w:tcW w:w="850"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i/>
                <w:iCs/>
                <w:color w:val="FFFFFF"/>
                <w:szCs w:val="16"/>
                <w:lang w:eastAsia="en-AU"/>
              </w:rPr>
            </w:pPr>
            <w:r w:rsidRPr="007448A4">
              <w:rPr>
                <w:rFonts w:eastAsiaTheme="minorEastAsia" w:cstheme="majorHAnsi"/>
                <w:i/>
                <w:iCs/>
                <w:color w:val="FFFFFF"/>
                <w:szCs w:val="16"/>
                <w:lang w:eastAsia="en-AU"/>
              </w:rPr>
              <w:t xml:space="preserve"> </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i/>
                <w:iCs/>
                <w:color w:val="FFFFFF"/>
                <w:szCs w:val="16"/>
                <w:lang w:eastAsia="en-AU"/>
              </w:rPr>
            </w:pPr>
            <w:r w:rsidRPr="007448A4">
              <w:rPr>
                <w:rFonts w:eastAsiaTheme="minorEastAsia" w:cstheme="majorHAnsi"/>
                <w:i/>
                <w:iCs/>
                <w:color w:val="FFFFFF"/>
                <w:szCs w:val="16"/>
                <w:lang w:eastAsia="en-AU"/>
              </w:rPr>
              <w:t xml:space="preserve"> </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i/>
                <w:iCs/>
                <w:color w:val="FFFFFF"/>
                <w:szCs w:val="16"/>
                <w:lang w:eastAsia="en-AU"/>
              </w:rPr>
            </w:pPr>
            <w:r w:rsidRPr="007448A4">
              <w:rPr>
                <w:rFonts w:eastAsiaTheme="minorEastAsia" w:cstheme="majorHAnsi"/>
                <w:i/>
                <w:iCs/>
                <w:color w:val="FFFFFF"/>
                <w:szCs w:val="16"/>
                <w:lang w:eastAsia="en-AU"/>
              </w:rPr>
              <w:t xml:space="preserve"> </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i/>
                <w:iCs/>
                <w:color w:val="FFFFFF"/>
                <w:szCs w:val="16"/>
                <w:lang w:eastAsia="en-AU"/>
              </w:rPr>
            </w:pPr>
            <w:r w:rsidRPr="007448A4">
              <w:rPr>
                <w:rFonts w:eastAsiaTheme="minorEastAsia" w:cstheme="majorHAnsi"/>
                <w:i/>
                <w:iCs/>
                <w:color w:val="FFFFFF"/>
                <w:szCs w:val="16"/>
                <w:lang w:eastAsia="en-AU"/>
              </w:rPr>
              <w:t xml:space="preserve"> </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i/>
                <w:iCs/>
                <w:color w:val="FFFFFF"/>
                <w:szCs w:val="16"/>
                <w:lang w:eastAsia="en-AU"/>
              </w:rPr>
            </w:pPr>
            <w:r w:rsidRPr="007448A4">
              <w:rPr>
                <w:rFonts w:eastAsiaTheme="minorEastAsia" w:cstheme="majorHAnsi"/>
                <w:i/>
                <w:iCs/>
                <w:color w:val="FFFFFF"/>
                <w:szCs w:val="16"/>
                <w:lang w:eastAsia="en-AU"/>
              </w:rPr>
              <w:t xml:space="preserve"> </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gridSpan w:val="2"/>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Economic Development, Jobs, Transport and Resources</w:t>
            </w:r>
          </w:p>
        </w:tc>
        <w:tc>
          <w:tcPr>
            <w:tcW w:w="850"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10 645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10 834</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9 923</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9 760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9 522</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gridSpan w:val="2"/>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Education and Training</w:t>
            </w:r>
          </w:p>
        </w:tc>
        <w:tc>
          <w:tcPr>
            <w:tcW w:w="850"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18 345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18 494</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18 502</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18 572</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19 260</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gridSpan w:val="2"/>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Environment, Land, Water and Planning</w:t>
            </w:r>
          </w:p>
        </w:tc>
        <w:tc>
          <w:tcPr>
            <w:tcW w:w="850"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3 581</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3 799</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3 286</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2 925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2 762</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gridSpan w:val="2"/>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Health and Human Services</w:t>
            </w:r>
          </w:p>
        </w:tc>
        <w:tc>
          <w:tcPr>
            <w:tcW w:w="850"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26 926</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27 236</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27 928</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28 280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28 708</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gridSpan w:val="2"/>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Justice and Regulation</w:t>
            </w:r>
          </w:p>
        </w:tc>
        <w:tc>
          <w:tcPr>
            <w:tcW w:w="850"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7 616</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7 787</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7 734</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7 931</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8 062</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gridSpan w:val="2"/>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Premier and Cabinet</w:t>
            </w:r>
          </w:p>
        </w:tc>
        <w:tc>
          <w:tcPr>
            <w:tcW w:w="850"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764</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820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570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469</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409</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gridSpan w:val="2"/>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Treasury and Finance</w:t>
            </w:r>
          </w:p>
        </w:tc>
        <w:tc>
          <w:tcPr>
            <w:tcW w:w="850"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7 444</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7 618</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7 315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7 520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7 825</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gridSpan w:val="2"/>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Parliament</w:t>
            </w:r>
          </w:p>
        </w:tc>
        <w:tc>
          <w:tcPr>
            <w:tcW w:w="850"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230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233</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228</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231</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233</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gridSpan w:val="2"/>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Courts</w:t>
            </w:r>
          </w:p>
        </w:tc>
        <w:tc>
          <w:tcPr>
            <w:tcW w:w="850"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658</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675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687</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694</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729</w:t>
            </w:r>
          </w:p>
        </w:tc>
      </w:tr>
      <w:tr w:rsidR="004B6846" w:rsidRPr="007448A4" w:rsidTr="00BA2EEF">
        <w:tc>
          <w:tcPr>
            <w:cnfStyle w:val="001000000000" w:firstRow="0" w:lastRow="0" w:firstColumn="1" w:lastColumn="0" w:oddVBand="0" w:evenVBand="0" w:oddHBand="0" w:evenHBand="0" w:firstRowFirstColumn="0" w:firstRowLastColumn="0" w:lastRowFirstColumn="0" w:lastRowLastColumn="0"/>
            <w:tcW w:w="3783" w:type="dxa"/>
            <w:gridSpan w:val="3"/>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 xml:space="preserve">Regulatory bodies and other part funded agencies </w:t>
            </w:r>
            <w:r w:rsidRPr="007448A4">
              <w:rPr>
                <w:rFonts w:eastAsiaTheme="minorEastAsia" w:cstheme="majorHAnsi"/>
                <w:color w:val="000000"/>
                <w:szCs w:val="16"/>
                <w:vertAlign w:val="superscript"/>
                <w:lang w:eastAsia="en-AU"/>
              </w:rPr>
              <w:t>(a)</w:t>
            </w:r>
          </w:p>
        </w:tc>
        <w:tc>
          <w:tcPr>
            <w:tcW w:w="582"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2 268</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2 451</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2 344</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2 349</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2 360</w:t>
            </w:r>
          </w:p>
        </w:tc>
      </w:tr>
      <w:tr w:rsidR="004B6846" w:rsidRPr="007448A4" w:rsidTr="00BA2EEF">
        <w:tc>
          <w:tcPr>
            <w:cnfStyle w:val="001000000000" w:firstRow="0" w:lastRow="0" w:firstColumn="1" w:lastColumn="0" w:oddVBand="0" w:evenVBand="0" w:oddHBand="0" w:evenHBand="0" w:firstRowFirstColumn="0" w:firstRowLastColumn="0" w:lastRowFirstColumn="0" w:lastRowLastColumn="0"/>
            <w:tcW w:w="3499" w:type="dxa"/>
            <w:tcBorders>
              <w:top w:val="nil"/>
              <w:left w:val="nil"/>
              <w:bottom w:val="single" w:sz="6" w:space="0" w:color="000000"/>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 xml:space="preserve">Output contingencies not allocated to departments </w:t>
            </w:r>
            <w:r w:rsidRPr="007448A4">
              <w:rPr>
                <w:rFonts w:eastAsiaTheme="minorEastAsia" w:cstheme="majorHAnsi"/>
                <w:color w:val="000000"/>
                <w:szCs w:val="16"/>
                <w:vertAlign w:val="superscript"/>
                <w:lang w:eastAsia="en-AU"/>
              </w:rPr>
              <w:t>(b)</w:t>
            </w:r>
          </w:p>
        </w:tc>
        <w:tc>
          <w:tcPr>
            <w:tcW w:w="866" w:type="dxa"/>
            <w:gridSpan w:val="3"/>
            <w:tcBorders>
              <w:top w:val="nil"/>
              <w:left w:val="nil"/>
              <w:bottom w:val="single" w:sz="6" w:space="0" w:color="000000"/>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1 325</w:t>
            </w:r>
          </w:p>
        </w:tc>
        <w:tc>
          <w:tcPr>
            <w:tcW w:w="850" w:type="dxa"/>
            <w:tcBorders>
              <w:top w:val="nil"/>
              <w:left w:val="nil"/>
              <w:bottom w:val="single" w:sz="6" w:space="0" w:color="000000"/>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834</w:t>
            </w:r>
          </w:p>
        </w:tc>
        <w:tc>
          <w:tcPr>
            <w:tcW w:w="850" w:type="dxa"/>
            <w:tcBorders>
              <w:top w:val="nil"/>
              <w:left w:val="nil"/>
              <w:bottom w:val="single" w:sz="6" w:space="0" w:color="000000"/>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2 128</w:t>
            </w:r>
          </w:p>
        </w:tc>
        <w:tc>
          <w:tcPr>
            <w:tcW w:w="850" w:type="dxa"/>
            <w:tcBorders>
              <w:top w:val="nil"/>
              <w:left w:val="nil"/>
              <w:bottom w:val="single" w:sz="6" w:space="0" w:color="000000"/>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3 067</w:t>
            </w:r>
          </w:p>
        </w:tc>
        <w:tc>
          <w:tcPr>
            <w:tcW w:w="850" w:type="dxa"/>
            <w:tcBorders>
              <w:top w:val="nil"/>
              <w:left w:val="nil"/>
              <w:bottom w:val="single" w:sz="6" w:space="0" w:color="000000"/>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4 312</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gridSpan w:val="2"/>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b/>
                <w:bCs/>
                <w:color w:val="000000"/>
                <w:szCs w:val="16"/>
                <w:lang w:eastAsia="en-AU"/>
              </w:rPr>
            </w:pPr>
            <w:r w:rsidRPr="007448A4">
              <w:rPr>
                <w:rFonts w:eastAsiaTheme="minorEastAsia" w:cstheme="majorHAnsi"/>
                <w:b/>
                <w:bCs/>
                <w:color w:val="000000"/>
                <w:szCs w:val="16"/>
                <w:lang w:eastAsia="en-AU"/>
              </w:rPr>
              <w:t>Total expenses by department</w:t>
            </w:r>
          </w:p>
        </w:tc>
        <w:tc>
          <w:tcPr>
            <w:tcW w:w="850"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7448A4">
              <w:rPr>
                <w:rFonts w:eastAsiaTheme="minorEastAsia" w:cstheme="majorHAnsi"/>
                <w:b/>
                <w:bCs/>
                <w:color w:val="000000"/>
                <w:szCs w:val="16"/>
                <w:lang w:eastAsia="en-AU"/>
              </w:rPr>
              <w:t>79 801</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7448A4">
              <w:rPr>
                <w:rFonts w:eastAsiaTheme="minorEastAsia" w:cstheme="majorHAnsi"/>
                <w:b/>
                <w:bCs/>
                <w:color w:val="000000"/>
                <w:szCs w:val="16"/>
                <w:lang w:eastAsia="en-AU"/>
              </w:rPr>
              <w:t>80 780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7448A4">
              <w:rPr>
                <w:rFonts w:eastAsiaTheme="minorEastAsia" w:cstheme="majorHAnsi"/>
                <w:b/>
                <w:bCs/>
                <w:color w:val="000000"/>
                <w:szCs w:val="16"/>
                <w:lang w:eastAsia="en-AU"/>
              </w:rPr>
              <w:t>80 646</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7448A4">
              <w:rPr>
                <w:rFonts w:eastAsiaTheme="minorEastAsia" w:cstheme="majorHAnsi"/>
                <w:b/>
                <w:bCs/>
                <w:color w:val="000000"/>
                <w:szCs w:val="16"/>
                <w:lang w:eastAsia="en-AU"/>
              </w:rPr>
              <w:t>81 799</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7448A4">
              <w:rPr>
                <w:rFonts w:eastAsiaTheme="minorEastAsia" w:cstheme="majorHAnsi"/>
                <w:b/>
                <w:bCs/>
                <w:color w:val="000000"/>
                <w:szCs w:val="16"/>
                <w:lang w:eastAsia="en-AU"/>
              </w:rPr>
              <w:t>84 181</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gridSpan w:val="2"/>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i/>
                <w:iCs/>
                <w:color w:val="000000"/>
                <w:szCs w:val="16"/>
                <w:lang w:eastAsia="en-AU"/>
              </w:rPr>
            </w:pPr>
            <w:r w:rsidRPr="007448A4">
              <w:rPr>
                <w:rFonts w:eastAsiaTheme="minorEastAsia" w:cstheme="majorHAnsi"/>
                <w:i/>
                <w:iCs/>
                <w:color w:val="000000"/>
                <w:szCs w:val="16"/>
                <w:lang w:eastAsia="en-AU"/>
              </w:rPr>
              <w:t xml:space="preserve">Less eliminations and adjustments </w:t>
            </w:r>
            <w:r w:rsidRPr="007448A4">
              <w:rPr>
                <w:rFonts w:eastAsiaTheme="minorEastAsia" w:cstheme="majorHAnsi"/>
                <w:i/>
                <w:iCs/>
                <w:color w:val="000000"/>
                <w:szCs w:val="16"/>
                <w:vertAlign w:val="superscript"/>
                <w:lang w:eastAsia="en-AU"/>
              </w:rPr>
              <w:t>(c)</w:t>
            </w:r>
          </w:p>
        </w:tc>
        <w:tc>
          <w:tcPr>
            <w:tcW w:w="850"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i/>
                <w:iCs/>
                <w:color w:val="000000"/>
                <w:szCs w:val="16"/>
                <w:lang w:eastAsia="en-AU"/>
              </w:rPr>
            </w:pPr>
            <w:r>
              <w:rPr>
                <w:rFonts w:eastAsiaTheme="minorEastAsia" w:cstheme="majorHAnsi"/>
                <w:i/>
                <w:iCs/>
                <w:color w:val="000000"/>
                <w:szCs w:val="16"/>
                <w:lang w:eastAsia="en-AU"/>
              </w:rPr>
              <w:t>(11 693)</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i/>
                <w:iCs/>
                <w:color w:val="000000"/>
                <w:szCs w:val="16"/>
                <w:lang w:eastAsia="en-AU"/>
              </w:rPr>
            </w:pPr>
            <w:r>
              <w:rPr>
                <w:rFonts w:eastAsiaTheme="minorEastAsia" w:cstheme="majorHAnsi"/>
                <w:i/>
                <w:iCs/>
                <w:color w:val="000000"/>
                <w:szCs w:val="16"/>
                <w:lang w:eastAsia="en-AU"/>
              </w:rPr>
              <w:t>(13 263)</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i/>
                <w:iCs/>
                <w:color w:val="000000"/>
                <w:szCs w:val="16"/>
                <w:lang w:eastAsia="en-AU"/>
              </w:rPr>
            </w:pPr>
            <w:r>
              <w:rPr>
                <w:rFonts w:eastAsiaTheme="minorEastAsia" w:cstheme="majorHAnsi"/>
                <w:i/>
                <w:iCs/>
                <w:color w:val="000000"/>
                <w:szCs w:val="16"/>
                <w:lang w:eastAsia="en-AU"/>
              </w:rPr>
              <w:t>(11 243)</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i/>
                <w:iCs/>
                <w:color w:val="000000"/>
                <w:szCs w:val="16"/>
                <w:lang w:eastAsia="en-AU"/>
              </w:rPr>
            </w:pPr>
            <w:r>
              <w:rPr>
                <w:rFonts w:eastAsiaTheme="minorEastAsia" w:cstheme="majorHAnsi"/>
                <w:i/>
                <w:iCs/>
                <w:color w:val="000000"/>
                <w:szCs w:val="16"/>
                <w:lang w:eastAsia="en-AU"/>
              </w:rPr>
              <w:t>(11 255)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i/>
                <w:iCs/>
                <w:color w:val="000000"/>
                <w:szCs w:val="16"/>
                <w:lang w:eastAsia="en-AU"/>
              </w:rPr>
            </w:pPr>
            <w:r>
              <w:rPr>
                <w:rFonts w:eastAsiaTheme="minorEastAsia" w:cstheme="majorHAnsi"/>
                <w:i/>
                <w:iCs/>
                <w:color w:val="000000"/>
                <w:szCs w:val="16"/>
                <w:lang w:eastAsia="en-AU"/>
              </w:rPr>
              <w:t>(11 349)</w:t>
            </w:r>
          </w:p>
        </w:tc>
      </w:tr>
      <w:tr w:rsidR="004B6846" w:rsidRPr="007448A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gridSpan w:val="2"/>
            <w:tcBorders>
              <w:top w:val="single" w:sz="6" w:space="0" w:color="000000"/>
              <w:bottom w:val="single" w:sz="12" w:space="0" w:color="000000"/>
            </w:tcBorders>
          </w:tcPr>
          <w:p w:rsidR="004B6846" w:rsidRPr="007448A4" w:rsidRDefault="004B6846" w:rsidP="00CC0EB7">
            <w:pPr>
              <w:keepLines w:val="0"/>
              <w:autoSpaceDE w:val="0"/>
              <w:autoSpaceDN w:val="0"/>
              <w:adjustRightInd w:val="0"/>
              <w:rPr>
                <w:rFonts w:eastAsiaTheme="minorEastAsia" w:cstheme="majorHAnsi"/>
                <w:bCs/>
                <w:color w:val="000000"/>
                <w:szCs w:val="16"/>
                <w:lang w:eastAsia="en-AU"/>
              </w:rPr>
            </w:pPr>
            <w:r w:rsidRPr="007448A4">
              <w:rPr>
                <w:rFonts w:eastAsiaTheme="minorEastAsia" w:cstheme="majorHAnsi"/>
                <w:bCs/>
                <w:color w:val="000000"/>
                <w:szCs w:val="16"/>
                <w:lang w:eastAsia="en-AU"/>
              </w:rPr>
              <w:t>Total expenses</w:t>
            </w:r>
          </w:p>
        </w:tc>
        <w:tc>
          <w:tcPr>
            <w:tcW w:w="850" w:type="dxa"/>
            <w:gridSpan w:val="2"/>
            <w:tcBorders>
              <w:top w:val="single" w:sz="6" w:space="0" w:color="000000"/>
              <w:bottom w:val="single" w:sz="12" w:space="0" w:color="000000"/>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448A4">
              <w:rPr>
                <w:rFonts w:eastAsiaTheme="minorEastAsia" w:cstheme="majorHAnsi"/>
                <w:bCs/>
                <w:color w:val="000000"/>
                <w:szCs w:val="16"/>
                <w:lang w:eastAsia="en-AU"/>
              </w:rPr>
              <w:t>68 108</w:t>
            </w:r>
          </w:p>
        </w:tc>
        <w:tc>
          <w:tcPr>
            <w:tcW w:w="850" w:type="dxa"/>
            <w:tcBorders>
              <w:top w:val="single" w:sz="6" w:space="0" w:color="000000"/>
              <w:bottom w:val="single" w:sz="12" w:space="0" w:color="000000"/>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448A4">
              <w:rPr>
                <w:rFonts w:eastAsiaTheme="minorEastAsia" w:cstheme="majorHAnsi"/>
                <w:bCs/>
                <w:color w:val="000000"/>
                <w:szCs w:val="16"/>
                <w:lang w:eastAsia="en-AU"/>
              </w:rPr>
              <w:t>67 517</w:t>
            </w:r>
          </w:p>
        </w:tc>
        <w:tc>
          <w:tcPr>
            <w:tcW w:w="850" w:type="dxa"/>
            <w:tcBorders>
              <w:top w:val="single" w:sz="6" w:space="0" w:color="000000"/>
              <w:bottom w:val="single" w:sz="12" w:space="0" w:color="000000"/>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448A4">
              <w:rPr>
                <w:rFonts w:eastAsiaTheme="minorEastAsia" w:cstheme="majorHAnsi"/>
                <w:bCs/>
                <w:color w:val="000000"/>
                <w:szCs w:val="16"/>
                <w:lang w:eastAsia="en-AU"/>
              </w:rPr>
              <w:t>69 403</w:t>
            </w:r>
          </w:p>
        </w:tc>
        <w:tc>
          <w:tcPr>
            <w:tcW w:w="850" w:type="dxa"/>
            <w:tcBorders>
              <w:top w:val="single" w:sz="6" w:space="0" w:color="000000"/>
              <w:bottom w:val="single" w:sz="12" w:space="0" w:color="000000"/>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448A4">
              <w:rPr>
                <w:rFonts w:eastAsiaTheme="minorEastAsia" w:cstheme="majorHAnsi"/>
                <w:bCs/>
                <w:color w:val="000000"/>
                <w:szCs w:val="16"/>
                <w:lang w:eastAsia="en-AU"/>
              </w:rPr>
              <w:t>70 544</w:t>
            </w:r>
          </w:p>
        </w:tc>
        <w:tc>
          <w:tcPr>
            <w:tcW w:w="850" w:type="dxa"/>
            <w:tcBorders>
              <w:top w:val="single" w:sz="6" w:space="0" w:color="000000"/>
              <w:bottom w:val="single" w:sz="12" w:space="0" w:color="000000"/>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448A4">
              <w:rPr>
                <w:rFonts w:eastAsiaTheme="minorEastAsia" w:cstheme="majorHAnsi"/>
                <w:bCs/>
                <w:color w:val="000000"/>
                <w:szCs w:val="16"/>
                <w:lang w:eastAsia="en-AU"/>
              </w:rPr>
              <w:t>72 833</w:t>
            </w:r>
          </w:p>
        </w:tc>
      </w:tr>
    </w:tbl>
    <w:p w:rsidR="004B6846" w:rsidRDefault="004B6846" w:rsidP="00CC0EB7">
      <w:pPr>
        <w:pStyle w:val="Source"/>
      </w:pPr>
      <w:r w:rsidRPr="00D87D22">
        <w:t>Source: Department of Treasury and Finance</w:t>
      </w:r>
    </w:p>
    <w:p w:rsidR="004B6846" w:rsidRPr="00697AD9" w:rsidRDefault="004B6846" w:rsidP="00CC0EB7">
      <w:pPr>
        <w:pStyle w:val="Note"/>
      </w:pPr>
      <w:r w:rsidRPr="00697AD9">
        <w:t>Notes:</w:t>
      </w:r>
    </w:p>
    <w:p w:rsidR="004B6846" w:rsidRPr="00697AD9" w:rsidRDefault="004B6846" w:rsidP="00CC0EB7">
      <w:pPr>
        <w:pStyle w:val="Note"/>
      </w:pPr>
      <w:r w:rsidRPr="00697AD9">
        <w:t>(a)</w:t>
      </w:r>
      <w:r w:rsidRPr="00697AD9">
        <w:tab/>
      </w:r>
      <w:r>
        <w:t>Other general government sector agencies not allocated to departmental portfolios.</w:t>
      </w:r>
    </w:p>
    <w:p w:rsidR="004B6846" w:rsidRDefault="004B6846" w:rsidP="00CC0EB7">
      <w:pPr>
        <w:pStyle w:val="Note"/>
      </w:pPr>
      <w:r w:rsidRPr="00697AD9">
        <w:t>(b)</w:t>
      </w:r>
      <w:r w:rsidRPr="00697AD9">
        <w:tab/>
      </w:r>
      <w:r>
        <w:t>The following table provides a breakdown of the general government output contingencies not allocated to departments.</w:t>
      </w:r>
    </w:p>
    <w:p w:rsidR="004B6846" w:rsidRPr="008D4DE0" w:rsidRDefault="004B6846" w:rsidP="00CC0EB7">
      <w:pPr>
        <w:pStyle w:val="Note"/>
      </w:pPr>
      <w:r>
        <w:t>(c)</w:t>
      </w:r>
      <w:r>
        <w:tab/>
        <w:t>Mainly comprising payroll tax, capital asset charge, departmental underspend estimates and inter-departmental transfers.</w:t>
      </w:r>
    </w:p>
    <w:p w:rsidR="004B6846" w:rsidRDefault="004B6846" w:rsidP="00CC0EB7"/>
    <w:p w:rsidR="004B6846" w:rsidRPr="00847863" w:rsidRDefault="004B6846" w:rsidP="00CC0EB7">
      <w:pPr>
        <w:pStyle w:val="TableHeading"/>
        <w:rPr>
          <w:bCs/>
          <w:lang w:val="en-US"/>
        </w:rPr>
      </w:pPr>
      <w:r>
        <w:t>General government output contingencies not allocated to departments</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CC0EB7" w:rsidRPr="00847863" w:rsidTr="00D11960">
        <w:trPr>
          <w:cnfStyle w:val="100000000000" w:firstRow="1" w:lastRow="0" w:firstColumn="0" w:lastColumn="0" w:oddVBand="0" w:evenVBand="0" w:oddHBand="0" w:evenHBand="0" w:firstRowFirstColumn="0" w:firstRowLastColumn="0" w:lastRowFirstColumn="0" w:lastRowLastColumn="0"/>
          <w:trHeight w:val="16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847863" w:rsidRDefault="00CC0EB7" w:rsidP="00CC0EB7">
            <w:pPr>
              <w:autoSpaceDE w:val="0"/>
              <w:autoSpaceDN w:val="0"/>
              <w:adjustRightInd w:val="0"/>
              <w:rPr>
                <w:rFonts w:eastAsiaTheme="minorEastAsia" w:cstheme="majorHAnsi"/>
                <w:iCs/>
                <w:color w:val="FFFFFF"/>
                <w:szCs w:val="16"/>
                <w:lang w:eastAsia="en-AU"/>
              </w:rPr>
            </w:pPr>
            <w:r w:rsidRPr="00847863">
              <w:rPr>
                <w:rFonts w:eastAsiaTheme="minorEastAsia" w:cstheme="majorHAnsi"/>
                <w:iCs/>
                <w:color w:val="FFFFFF"/>
                <w:szCs w:val="16"/>
                <w:lang w:eastAsia="en-AU"/>
              </w:rPr>
              <w:t xml:space="preserve">  </w:t>
            </w:r>
          </w:p>
        </w:tc>
        <w:tc>
          <w:tcPr>
            <w:tcW w:w="850" w:type="dxa"/>
            <w:tcBorders>
              <w:top w:val="nil"/>
              <w:left w:val="nil"/>
              <w:right w:val="nil"/>
            </w:tcBorders>
            <w:shd w:val="solid" w:color="000000" w:fill="auto"/>
          </w:tcPr>
          <w:p w:rsidR="00CC0EB7" w:rsidRPr="0084786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847863">
              <w:rPr>
                <w:rFonts w:eastAsiaTheme="minorEastAsia" w:cstheme="majorHAnsi"/>
                <w:iCs/>
                <w:color w:val="FFFFFF"/>
                <w:szCs w:val="16"/>
                <w:lang w:eastAsia="en-AU"/>
              </w:rPr>
              <w:t>2018-19</w:t>
            </w:r>
            <w:r>
              <w:rPr>
                <w:rFonts w:eastAsiaTheme="minorEastAsia" w:cstheme="majorHAnsi"/>
                <w:iCs/>
                <w:color w:val="FFFFFF"/>
                <w:szCs w:val="16"/>
                <w:lang w:eastAsia="en-AU"/>
              </w:rPr>
              <w:br/>
            </w:r>
            <w:r w:rsidRPr="00847863">
              <w:rPr>
                <w:rFonts w:eastAsiaTheme="minorEastAsia" w:cstheme="majorHAnsi"/>
                <w:iCs/>
                <w:color w:val="FFFFFF"/>
                <w:szCs w:val="16"/>
                <w:lang w:eastAsia="en-AU"/>
              </w:rPr>
              <w:t xml:space="preserve"> budget</w:t>
            </w:r>
          </w:p>
        </w:tc>
        <w:tc>
          <w:tcPr>
            <w:tcW w:w="850" w:type="dxa"/>
            <w:tcBorders>
              <w:top w:val="nil"/>
              <w:left w:val="nil"/>
              <w:right w:val="nil"/>
            </w:tcBorders>
            <w:shd w:val="solid" w:color="000000" w:fill="auto"/>
          </w:tcPr>
          <w:p w:rsidR="00CC0EB7" w:rsidRPr="0084786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847863">
              <w:rPr>
                <w:rFonts w:eastAsiaTheme="minorEastAsia" w:cstheme="majorHAnsi"/>
                <w:iCs/>
                <w:color w:val="FFFFFF"/>
                <w:szCs w:val="16"/>
                <w:lang w:eastAsia="en-AU"/>
              </w:rPr>
              <w:t>2018-19</w:t>
            </w:r>
            <w:r>
              <w:rPr>
                <w:rFonts w:eastAsiaTheme="minorEastAsia" w:cstheme="majorHAnsi"/>
                <w:iCs/>
                <w:color w:val="FFFFFF"/>
                <w:szCs w:val="16"/>
                <w:lang w:eastAsia="en-AU"/>
              </w:rPr>
              <w:br/>
            </w:r>
            <w:r w:rsidRPr="00847863">
              <w:rPr>
                <w:rFonts w:eastAsiaTheme="minorEastAsia" w:cstheme="majorHAnsi"/>
                <w:iCs/>
                <w:color w:val="FFFFFF"/>
                <w:szCs w:val="16"/>
                <w:lang w:eastAsia="en-AU"/>
              </w:rPr>
              <w:t xml:space="preserve"> revised</w:t>
            </w:r>
          </w:p>
        </w:tc>
        <w:tc>
          <w:tcPr>
            <w:tcW w:w="850" w:type="dxa"/>
            <w:tcBorders>
              <w:top w:val="nil"/>
              <w:left w:val="nil"/>
              <w:right w:val="nil"/>
            </w:tcBorders>
            <w:shd w:val="solid" w:color="000000" w:fill="auto"/>
          </w:tcPr>
          <w:p w:rsidR="00CC0EB7" w:rsidRPr="0084786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847863">
              <w:rPr>
                <w:rFonts w:eastAsiaTheme="minorEastAsia" w:cstheme="majorHAnsi"/>
                <w:iCs/>
                <w:color w:val="FFFFFF"/>
                <w:szCs w:val="16"/>
                <w:lang w:eastAsia="en-AU"/>
              </w:rPr>
              <w:t>2019-20</w:t>
            </w:r>
            <w:r>
              <w:rPr>
                <w:rFonts w:eastAsiaTheme="minorEastAsia" w:cstheme="majorHAnsi"/>
                <w:iCs/>
                <w:color w:val="FFFFFF"/>
                <w:szCs w:val="16"/>
                <w:lang w:eastAsia="en-AU"/>
              </w:rPr>
              <w:br/>
            </w:r>
            <w:r w:rsidRPr="00847863">
              <w:rPr>
                <w:rFonts w:eastAsiaTheme="minorEastAsia" w:cstheme="majorHAnsi"/>
                <w:iCs/>
                <w:color w:val="FFFFFF"/>
                <w:szCs w:val="16"/>
                <w:lang w:eastAsia="en-AU"/>
              </w:rPr>
              <w:t xml:space="preserve"> estimate</w:t>
            </w:r>
          </w:p>
        </w:tc>
        <w:tc>
          <w:tcPr>
            <w:tcW w:w="850" w:type="dxa"/>
            <w:tcBorders>
              <w:top w:val="nil"/>
              <w:left w:val="nil"/>
              <w:right w:val="nil"/>
            </w:tcBorders>
            <w:shd w:val="solid" w:color="000000" w:fill="auto"/>
          </w:tcPr>
          <w:p w:rsidR="00CC0EB7" w:rsidRPr="0084786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847863">
              <w:rPr>
                <w:rFonts w:eastAsiaTheme="minorEastAsia" w:cstheme="majorHAnsi"/>
                <w:iCs/>
                <w:color w:val="FFFFFF"/>
                <w:szCs w:val="16"/>
                <w:lang w:eastAsia="en-AU"/>
              </w:rPr>
              <w:t>2020-21</w:t>
            </w:r>
            <w:r>
              <w:rPr>
                <w:rFonts w:eastAsiaTheme="minorEastAsia" w:cstheme="majorHAnsi"/>
                <w:iCs/>
                <w:color w:val="FFFFFF"/>
                <w:szCs w:val="16"/>
                <w:lang w:eastAsia="en-AU"/>
              </w:rPr>
              <w:br/>
            </w:r>
            <w:r w:rsidRPr="00847863">
              <w:rPr>
                <w:rFonts w:eastAsiaTheme="minorEastAsia" w:cstheme="majorHAnsi"/>
                <w:iCs/>
                <w:color w:val="FFFFFF"/>
                <w:szCs w:val="16"/>
                <w:lang w:eastAsia="en-AU"/>
              </w:rPr>
              <w:t xml:space="preserve"> estimate</w:t>
            </w:r>
          </w:p>
        </w:tc>
        <w:tc>
          <w:tcPr>
            <w:tcW w:w="850" w:type="dxa"/>
            <w:tcBorders>
              <w:top w:val="nil"/>
              <w:left w:val="nil"/>
              <w:right w:val="nil"/>
            </w:tcBorders>
            <w:shd w:val="solid" w:color="000000" w:fill="auto"/>
          </w:tcPr>
          <w:p w:rsidR="00CC0EB7" w:rsidRPr="0084786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847863">
              <w:rPr>
                <w:rFonts w:eastAsiaTheme="minorEastAsia" w:cstheme="majorHAnsi"/>
                <w:iCs/>
                <w:color w:val="FFFFFF"/>
                <w:szCs w:val="16"/>
                <w:lang w:eastAsia="en-AU"/>
              </w:rPr>
              <w:t>2021-22</w:t>
            </w:r>
            <w:r>
              <w:rPr>
                <w:rFonts w:eastAsiaTheme="minorEastAsia" w:cstheme="majorHAnsi"/>
                <w:iCs/>
                <w:color w:val="FFFFFF"/>
                <w:szCs w:val="16"/>
                <w:lang w:eastAsia="en-AU"/>
              </w:rPr>
              <w:br/>
            </w:r>
            <w:r w:rsidRPr="00847863">
              <w:rPr>
                <w:rFonts w:eastAsiaTheme="minorEastAsia" w:cstheme="majorHAnsi"/>
                <w:iCs/>
                <w:color w:val="FFFFFF"/>
                <w:szCs w:val="16"/>
                <w:lang w:eastAsia="en-AU"/>
              </w:rPr>
              <w:t xml:space="preserve"> estimate</w:t>
            </w:r>
          </w:p>
        </w:tc>
      </w:tr>
      <w:tr w:rsidR="004B6846" w:rsidRPr="00847863"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47863" w:rsidRDefault="004B6846" w:rsidP="00CC0EB7">
            <w:pPr>
              <w:keepLines w:val="0"/>
              <w:autoSpaceDE w:val="0"/>
              <w:autoSpaceDN w:val="0"/>
              <w:adjustRightInd w:val="0"/>
              <w:rPr>
                <w:rFonts w:eastAsiaTheme="minorEastAsia" w:cstheme="majorHAnsi"/>
                <w:color w:val="000000"/>
                <w:szCs w:val="16"/>
                <w:lang w:eastAsia="en-AU"/>
              </w:rPr>
            </w:pPr>
            <w:r w:rsidRPr="00847863">
              <w:rPr>
                <w:rFonts w:eastAsiaTheme="minorEastAsia" w:cstheme="majorHAnsi"/>
                <w:color w:val="000000"/>
                <w:szCs w:val="16"/>
                <w:lang w:eastAsia="en-AU"/>
              </w:rPr>
              <w:t xml:space="preserve">Decisions made but not yet allocated </w:t>
            </w:r>
            <w:r w:rsidRPr="00847863">
              <w:rPr>
                <w:rFonts w:eastAsiaTheme="minorEastAsia" w:cstheme="majorHAnsi"/>
                <w:color w:val="000000"/>
                <w:szCs w:val="16"/>
                <w:vertAlign w:val="superscript"/>
                <w:lang w:eastAsia="en-AU"/>
              </w:rPr>
              <w:t>(a)</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847863">
              <w:rPr>
                <w:rFonts w:eastAsiaTheme="minorEastAsia" w:cstheme="majorHAnsi"/>
                <w:color w:val="000000"/>
                <w:szCs w:val="16"/>
                <w:lang w:eastAsia="en-AU"/>
              </w:rPr>
              <w:t>1 225</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799</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847863">
              <w:rPr>
                <w:rFonts w:eastAsiaTheme="minorEastAsia" w:cstheme="majorHAnsi"/>
                <w:color w:val="000000"/>
                <w:szCs w:val="16"/>
                <w:lang w:eastAsia="en-AU"/>
              </w:rPr>
              <w:t>1 278</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847863">
              <w:rPr>
                <w:rFonts w:eastAsiaTheme="minorEastAsia" w:cstheme="majorHAnsi"/>
                <w:color w:val="000000"/>
                <w:szCs w:val="16"/>
                <w:lang w:eastAsia="en-AU"/>
              </w:rPr>
              <w:t>2 267</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847863">
              <w:rPr>
                <w:rFonts w:eastAsiaTheme="minorEastAsia" w:cstheme="majorHAnsi"/>
                <w:color w:val="000000"/>
                <w:szCs w:val="16"/>
                <w:lang w:eastAsia="en-AU"/>
              </w:rPr>
              <w:t>3 412</w:t>
            </w:r>
          </w:p>
        </w:tc>
      </w:tr>
      <w:tr w:rsidR="004B6846" w:rsidRPr="00847863"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47863" w:rsidRDefault="004B6846" w:rsidP="00CC0EB7">
            <w:pPr>
              <w:keepLines w:val="0"/>
              <w:autoSpaceDE w:val="0"/>
              <w:autoSpaceDN w:val="0"/>
              <w:adjustRightInd w:val="0"/>
              <w:rPr>
                <w:rFonts w:eastAsiaTheme="minorEastAsia" w:cstheme="majorHAnsi"/>
                <w:color w:val="000000"/>
                <w:szCs w:val="16"/>
                <w:lang w:eastAsia="en-AU"/>
              </w:rPr>
            </w:pPr>
            <w:r w:rsidRPr="00847863">
              <w:rPr>
                <w:rFonts w:eastAsiaTheme="minorEastAsia" w:cstheme="majorHAnsi"/>
                <w:color w:val="000000"/>
                <w:szCs w:val="16"/>
                <w:lang w:eastAsia="en-AU"/>
              </w:rPr>
              <w:t xml:space="preserve">Funding not allocated to specific purposes </w:t>
            </w:r>
            <w:r w:rsidRPr="00847863">
              <w:rPr>
                <w:rFonts w:eastAsiaTheme="minorEastAsia" w:cstheme="majorHAnsi"/>
                <w:color w:val="000000"/>
                <w:szCs w:val="16"/>
                <w:vertAlign w:val="superscript"/>
                <w:lang w:eastAsia="en-AU"/>
              </w:rPr>
              <w:t>(b)</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100</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34</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850</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800</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900</w:t>
            </w:r>
          </w:p>
        </w:tc>
      </w:tr>
      <w:tr w:rsidR="004B6846" w:rsidRPr="00847863"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847863" w:rsidRDefault="004B6846" w:rsidP="00CC0EB7">
            <w:pPr>
              <w:keepLines w:val="0"/>
              <w:autoSpaceDE w:val="0"/>
              <w:autoSpaceDN w:val="0"/>
              <w:adjustRightInd w:val="0"/>
              <w:rPr>
                <w:rFonts w:eastAsiaTheme="minorEastAsia" w:cstheme="majorHAnsi"/>
                <w:bCs/>
                <w:color w:val="000000"/>
                <w:szCs w:val="16"/>
                <w:lang w:eastAsia="en-AU"/>
              </w:rPr>
            </w:pPr>
            <w:r w:rsidRPr="00847863">
              <w:rPr>
                <w:rFonts w:eastAsiaTheme="minorEastAsia" w:cstheme="majorHAnsi"/>
                <w:bCs/>
                <w:color w:val="000000"/>
                <w:szCs w:val="16"/>
                <w:lang w:eastAsia="en-AU"/>
              </w:rPr>
              <w:t>Total general government output contingencies</w:t>
            </w:r>
          </w:p>
        </w:tc>
        <w:tc>
          <w:tcPr>
            <w:tcW w:w="850" w:type="dxa"/>
            <w:tcBorders>
              <w:top w:val="single" w:sz="6" w:space="0" w:color="000000"/>
              <w:bottom w:val="single" w:sz="12" w:space="0" w:color="000000"/>
            </w:tcBorders>
          </w:tcPr>
          <w:p w:rsidR="004B6846" w:rsidRPr="00847863"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847863">
              <w:rPr>
                <w:rFonts w:eastAsiaTheme="minorEastAsia" w:cstheme="majorHAnsi"/>
                <w:bCs/>
                <w:color w:val="000000"/>
                <w:szCs w:val="16"/>
                <w:lang w:eastAsia="en-AU"/>
              </w:rPr>
              <w:t>1 325</w:t>
            </w:r>
          </w:p>
        </w:tc>
        <w:tc>
          <w:tcPr>
            <w:tcW w:w="850" w:type="dxa"/>
            <w:tcBorders>
              <w:top w:val="single" w:sz="6" w:space="0" w:color="000000"/>
              <w:bottom w:val="single" w:sz="12" w:space="0" w:color="000000"/>
            </w:tcBorders>
          </w:tcPr>
          <w:p w:rsidR="004B6846" w:rsidRPr="00847863"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834</w:t>
            </w:r>
          </w:p>
        </w:tc>
        <w:tc>
          <w:tcPr>
            <w:tcW w:w="850" w:type="dxa"/>
            <w:tcBorders>
              <w:top w:val="single" w:sz="6" w:space="0" w:color="000000"/>
              <w:bottom w:val="single" w:sz="12" w:space="0" w:color="000000"/>
            </w:tcBorders>
          </w:tcPr>
          <w:p w:rsidR="004B6846" w:rsidRPr="00847863"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847863">
              <w:rPr>
                <w:rFonts w:eastAsiaTheme="minorEastAsia" w:cstheme="majorHAnsi"/>
                <w:bCs/>
                <w:color w:val="000000"/>
                <w:szCs w:val="16"/>
                <w:lang w:eastAsia="en-AU"/>
              </w:rPr>
              <w:t>2 128</w:t>
            </w:r>
          </w:p>
        </w:tc>
        <w:tc>
          <w:tcPr>
            <w:tcW w:w="850" w:type="dxa"/>
            <w:tcBorders>
              <w:top w:val="single" w:sz="6" w:space="0" w:color="000000"/>
              <w:bottom w:val="single" w:sz="12" w:space="0" w:color="000000"/>
            </w:tcBorders>
          </w:tcPr>
          <w:p w:rsidR="004B6846" w:rsidRPr="00847863"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847863">
              <w:rPr>
                <w:rFonts w:eastAsiaTheme="minorEastAsia" w:cstheme="majorHAnsi"/>
                <w:bCs/>
                <w:color w:val="000000"/>
                <w:szCs w:val="16"/>
                <w:lang w:eastAsia="en-AU"/>
              </w:rPr>
              <w:t>3 067</w:t>
            </w:r>
          </w:p>
        </w:tc>
        <w:tc>
          <w:tcPr>
            <w:tcW w:w="850" w:type="dxa"/>
            <w:tcBorders>
              <w:top w:val="single" w:sz="6" w:space="0" w:color="000000"/>
              <w:bottom w:val="single" w:sz="12" w:space="0" w:color="000000"/>
            </w:tcBorders>
          </w:tcPr>
          <w:p w:rsidR="004B6846" w:rsidRPr="00847863"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847863">
              <w:rPr>
                <w:rFonts w:eastAsiaTheme="minorEastAsia" w:cstheme="majorHAnsi"/>
                <w:bCs/>
                <w:color w:val="000000"/>
                <w:szCs w:val="16"/>
                <w:lang w:eastAsia="en-AU"/>
              </w:rPr>
              <w:t>4 312</w:t>
            </w:r>
          </w:p>
        </w:tc>
      </w:tr>
    </w:tbl>
    <w:p w:rsidR="004B6846" w:rsidRDefault="004B6846" w:rsidP="00CC0EB7">
      <w:pPr>
        <w:pStyle w:val="Source"/>
      </w:pPr>
      <w:r w:rsidRPr="00D87D22">
        <w:t>Source: Department of Treasury and Finance</w:t>
      </w:r>
    </w:p>
    <w:p w:rsidR="004B6846" w:rsidRPr="00697AD9" w:rsidRDefault="004B6846" w:rsidP="00CC0EB7">
      <w:pPr>
        <w:pStyle w:val="Note"/>
      </w:pPr>
      <w:r w:rsidRPr="00697AD9">
        <w:t>Notes:</w:t>
      </w:r>
    </w:p>
    <w:p w:rsidR="004B6846" w:rsidRDefault="004B6846" w:rsidP="00CC0EB7">
      <w:pPr>
        <w:pStyle w:val="Note"/>
      </w:pPr>
      <w:r w:rsidRPr="00697AD9">
        <w:t>(</w:t>
      </w:r>
      <w:r>
        <w:t>a)</w:t>
      </w:r>
      <w:r>
        <w:tab/>
        <w:t>Reflects existing government policy decisions for which funding has yet to be allocated to departments; provisions not yet allocated to meet additional price and demand growth for health, disability services and education; and a provision for estimated depreciation expense associated with the general government unallocated asset contingency.</w:t>
      </w:r>
    </w:p>
    <w:p w:rsidR="004B6846" w:rsidRDefault="004B6846" w:rsidP="00CC0EB7">
      <w:pPr>
        <w:pStyle w:val="Note"/>
      </w:pPr>
      <w:r>
        <w:t>(b)</w:t>
      </w:r>
      <w:r>
        <w:tab/>
        <w:t>An unallocated provision available to contribute to future government policy decisions and commitments, including for decisions to extend lapsing programs across the budget and forward estimates.</w:t>
      </w:r>
    </w:p>
    <w:p w:rsidR="004B6846" w:rsidRPr="004D2883" w:rsidRDefault="004B6846" w:rsidP="00CC0EB7">
      <w:pPr>
        <w:keepLines w:val="0"/>
      </w:pPr>
      <w:r>
        <w:br w:type="page"/>
      </w:r>
    </w:p>
    <w:p w:rsidR="004B6846" w:rsidRPr="00A767A3" w:rsidRDefault="004B6846" w:rsidP="004B6846">
      <w:pPr>
        <w:pStyle w:val="Heading3"/>
        <w:numPr>
          <w:ilvl w:val="2"/>
          <w:numId w:val="19"/>
        </w:numPr>
        <w:spacing w:after="60"/>
        <w:rPr>
          <w:sz w:val="22"/>
        </w:rPr>
      </w:pPr>
      <w:r w:rsidRPr="00A767A3">
        <w:rPr>
          <w:sz w:val="22"/>
        </w:rPr>
        <w:lastRenderedPageBreak/>
        <w:tab/>
      </w:r>
      <w:bookmarkStart w:id="58" w:name="_Toc496606579"/>
      <w:bookmarkStart w:id="59" w:name="_Toc530147965"/>
      <w:r w:rsidRPr="00A767A3">
        <w:rPr>
          <w:sz w:val="22"/>
        </w:rPr>
        <w:t>Purchases of non-financial assets by classification of the functions of government and by portfolio department</w:t>
      </w:r>
      <w:bookmarkEnd w:id="58"/>
      <w:bookmarkEnd w:id="59"/>
    </w:p>
    <w:p w:rsidR="004B6846" w:rsidRPr="00847863" w:rsidRDefault="004B6846" w:rsidP="00CC0EB7">
      <w:pPr>
        <w:pStyle w:val="TableHeading"/>
        <w:rPr>
          <w:bCs/>
          <w:lang w:val="en-US"/>
        </w:rPr>
      </w:pPr>
      <w:r>
        <w:t xml:space="preserve">Purchases of non-financial assets by classification of the functions of government </w:t>
      </w:r>
      <w:r w:rsidRPr="00C64F5C">
        <w:rPr>
          <w:vertAlign w:val="superscript"/>
        </w:rPr>
        <w:t>(a)</w:t>
      </w:r>
      <w:r w:rsidRPr="007C04D5">
        <w:rPr>
          <w:vertAlign w:val="superscript"/>
        </w:rPr>
        <w:t xml:space="preserve"> </w:t>
      </w:r>
      <w:r>
        <w:tab/>
      </w:r>
      <w:r w:rsidR="00D11960">
        <w:br/>
      </w:r>
      <w:r w:rsidR="00D11960">
        <w:tab/>
      </w:r>
      <w:r>
        <w:t xml:space="preserve">($ million) </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CC0EB7" w:rsidRPr="00847863" w:rsidTr="00D11960">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847863" w:rsidRDefault="00CC0EB7" w:rsidP="00CC0EB7">
            <w:pPr>
              <w:autoSpaceDE w:val="0"/>
              <w:autoSpaceDN w:val="0"/>
              <w:adjustRightInd w:val="0"/>
              <w:rPr>
                <w:rFonts w:eastAsiaTheme="minorEastAsia" w:cstheme="majorHAnsi"/>
                <w:iCs/>
                <w:color w:val="FFFFFF"/>
                <w:szCs w:val="16"/>
                <w:lang w:eastAsia="en-AU"/>
              </w:rPr>
            </w:pPr>
            <w:r w:rsidRPr="00847863">
              <w:rPr>
                <w:rFonts w:eastAsiaTheme="minorEastAsia" w:cstheme="majorHAnsi"/>
                <w:iCs/>
                <w:color w:val="FFFFFF"/>
                <w:szCs w:val="16"/>
                <w:lang w:eastAsia="en-AU"/>
              </w:rPr>
              <w:t xml:space="preserve">  </w:t>
            </w:r>
          </w:p>
        </w:tc>
        <w:tc>
          <w:tcPr>
            <w:tcW w:w="850" w:type="dxa"/>
            <w:tcBorders>
              <w:top w:val="nil"/>
              <w:left w:val="nil"/>
              <w:right w:val="nil"/>
            </w:tcBorders>
            <w:shd w:val="solid" w:color="000000" w:fill="auto"/>
          </w:tcPr>
          <w:p w:rsidR="00CC0EB7" w:rsidRPr="0084786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847863">
              <w:rPr>
                <w:rFonts w:eastAsiaTheme="minorEastAsia" w:cstheme="majorHAnsi"/>
                <w:iCs/>
                <w:color w:val="FFFFFF"/>
                <w:szCs w:val="16"/>
                <w:lang w:eastAsia="en-AU"/>
              </w:rPr>
              <w:t>2018-19</w:t>
            </w:r>
            <w:r>
              <w:rPr>
                <w:rFonts w:eastAsiaTheme="minorEastAsia" w:cstheme="majorHAnsi"/>
                <w:iCs/>
                <w:color w:val="FFFFFF"/>
                <w:szCs w:val="16"/>
                <w:lang w:eastAsia="en-AU"/>
              </w:rPr>
              <w:br/>
            </w:r>
            <w:r w:rsidRPr="00847863">
              <w:rPr>
                <w:rFonts w:eastAsiaTheme="minorEastAsia" w:cstheme="majorHAnsi"/>
                <w:iCs/>
                <w:color w:val="FFFFFF"/>
                <w:szCs w:val="16"/>
                <w:lang w:eastAsia="en-AU"/>
              </w:rPr>
              <w:t>budget</w:t>
            </w:r>
          </w:p>
        </w:tc>
        <w:tc>
          <w:tcPr>
            <w:tcW w:w="850" w:type="dxa"/>
            <w:tcBorders>
              <w:top w:val="nil"/>
              <w:left w:val="nil"/>
              <w:right w:val="nil"/>
            </w:tcBorders>
            <w:shd w:val="solid" w:color="000000" w:fill="auto"/>
          </w:tcPr>
          <w:p w:rsidR="00CC0EB7" w:rsidRPr="0084786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847863">
              <w:rPr>
                <w:rFonts w:eastAsiaTheme="minorEastAsia" w:cstheme="majorHAnsi"/>
                <w:iCs/>
                <w:color w:val="FFFFFF"/>
                <w:szCs w:val="16"/>
                <w:lang w:eastAsia="en-AU"/>
              </w:rPr>
              <w:t>2018-19</w:t>
            </w:r>
            <w:r>
              <w:rPr>
                <w:rFonts w:eastAsiaTheme="minorEastAsia" w:cstheme="majorHAnsi"/>
                <w:iCs/>
                <w:color w:val="FFFFFF"/>
                <w:szCs w:val="16"/>
                <w:lang w:eastAsia="en-AU"/>
              </w:rPr>
              <w:br/>
            </w:r>
            <w:r w:rsidRPr="00847863">
              <w:rPr>
                <w:rFonts w:eastAsiaTheme="minorEastAsia" w:cstheme="majorHAnsi"/>
                <w:iCs/>
                <w:color w:val="FFFFFF"/>
                <w:szCs w:val="16"/>
                <w:lang w:eastAsia="en-AU"/>
              </w:rPr>
              <w:t>revised</w:t>
            </w:r>
          </w:p>
        </w:tc>
        <w:tc>
          <w:tcPr>
            <w:tcW w:w="850" w:type="dxa"/>
            <w:tcBorders>
              <w:top w:val="nil"/>
              <w:left w:val="nil"/>
              <w:right w:val="nil"/>
            </w:tcBorders>
            <w:shd w:val="solid" w:color="000000" w:fill="auto"/>
          </w:tcPr>
          <w:p w:rsidR="00CC0EB7" w:rsidRPr="0084786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847863">
              <w:rPr>
                <w:rFonts w:eastAsiaTheme="minorEastAsia" w:cstheme="majorHAnsi"/>
                <w:iCs/>
                <w:color w:val="FFFFFF"/>
                <w:szCs w:val="16"/>
                <w:lang w:eastAsia="en-AU"/>
              </w:rPr>
              <w:t>2019-20</w:t>
            </w:r>
            <w:r>
              <w:rPr>
                <w:rFonts w:eastAsiaTheme="minorEastAsia" w:cstheme="majorHAnsi"/>
                <w:iCs/>
                <w:color w:val="FFFFFF"/>
                <w:szCs w:val="16"/>
                <w:lang w:eastAsia="en-AU"/>
              </w:rPr>
              <w:br/>
            </w:r>
            <w:r w:rsidRPr="00847863">
              <w:rPr>
                <w:rFonts w:eastAsiaTheme="minorEastAsia" w:cstheme="majorHAnsi"/>
                <w:iCs/>
                <w:color w:val="FFFFFF"/>
                <w:szCs w:val="16"/>
                <w:lang w:eastAsia="en-AU"/>
              </w:rPr>
              <w:t>estimate</w:t>
            </w:r>
          </w:p>
        </w:tc>
        <w:tc>
          <w:tcPr>
            <w:tcW w:w="850" w:type="dxa"/>
            <w:tcBorders>
              <w:top w:val="nil"/>
              <w:left w:val="nil"/>
              <w:right w:val="nil"/>
            </w:tcBorders>
            <w:shd w:val="solid" w:color="000000" w:fill="auto"/>
          </w:tcPr>
          <w:p w:rsidR="00CC0EB7" w:rsidRPr="0084786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847863">
              <w:rPr>
                <w:rFonts w:eastAsiaTheme="minorEastAsia" w:cstheme="majorHAnsi"/>
                <w:iCs/>
                <w:color w:val="FFFFFF"/>
                <w:szCs w:val="16"/>
                <w:lang w:eastAsia="en-AU"/>
              </w:rPr>
              <w:t>2020-21</w:t>
            </w:r>
            <w:r>
              <w:rPr>
                <w:rFonts w:eastAsiaTheme="minorEastAsia" w:cstheme="majorHAnsi"/>
                <w:iCs/>
                <w:color w:val="FFFFFF"/>
                <w:szCs w:val="16"/>
                <w:lang w:eastAsia="en-AU"/>
              </w:rPr>
              <w:br/>
            </w:r>
            <w:r w:rsidRPr="00847863">
              <w:rPr>
                <w:rFonts w:eastAsiaTheme="minorEastAsia" w:cstheme="majorHAnsi"/>
                <w:iCs/>
                <w:color w:val="FFFFFF"/>
                <w:szCs w:val="16"/>
                <w:lang w:eastAsia="en-AU"/>
              </w:rPr>
              <w:t>estimate</w:t>
            </w:r>
          </w:p>
        </w:tc>
        <w:tc>
          <w:tcPr>
            <w:tcW w:w="850" w:type="dxa"/>
            <w:tcBorders>
              <w:top w:val="nil"/>
              <w:left w:val="nil"/>
              <w:right w:val="nil"/>
            </w:tcBorders>
            <w:shd w:val="solid" w:color="000000" w:fill="auto"/>
          </w:tcPr>
          <w:p w:rsidR="00CC0EB7" w:rsidRPr="0084786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847863">
              <w:rPr>
                <w:rFonts w:eastAsiaTheme="minorEastAsia" w:cstheme="majorHAnsi"/>
                <w:iCs/>
                <w:color w:val="FFFFFF"/>
                <w:szCs w:val="16"/>
                <w:lang w:eastAsia="en-AU"/>
              </w:rPr>
              <w:t>2021-22</w:t>
            </w:r>
            <w:r>
              <w:rPr>
                <w:rFonts w:eastAsiaTheme="minorEastAsia" w:cstheme="majorHAnsi"/>
                <w:iCs/>
                <w:color w:val="FFFFFF"/>
                <w:szCs w:val="16"/>
                <w:lang w:eastAsia="en-AU"/>
              </w:rPr>
              <w:br/>
            </w:r>
            <w:r w:rsidRPr="00847863">
              <w:rPr>
                <w:rFonts w:eastAsiaTheme="minorEastAsia" w:cstheme="majorHAnsi"/>
                <w:iCs/>
                <w:color w:val="FFFFFF"/>
                <w:szCs w:val="16"/>
                <w:lang w:eastAsia="en-AU"/>
              </w:rPr>
              <w:t>estimate</w:t>
            </w:r>
          </w:p>
        </w:tc>
      </w:tr>
      <w:tr w:rsidR="004B6846" w:rsidRPr="00847863"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47863" w:rsidRDefault="004B6846" w:rsidP="00CC0EB7">
            <w:pPr>
              <w:keepLines w:val="0"/>
              <w:autoSpaceDE w:val="0"/>
              <w:autoSpaceDN w:val="0"/>
              <w:adjustRightInd w:val="0"/>
              <w:rPr>
                <w:rFonts w:eastAsiaTheme="minorEastAsia" w:cstheme="majorHAnsi"/>
                <w:color w:val="000000"/>
                <w:szCs w:val="16"/>
                <w:lang w:eastAsia="en-AU"/>
              </w:rPr>
            </w:pPr>
            <w:r w:rsidRPr="00847863">
              <w:rPr>
                <w:rFonts w:eastAsiaTheme="minorEastAsia" w:cstheme="majorHAnsi"/>
                <w:color w:val="000000"/>
                <w:szCs w:val="16"/>
                <w:lang w:eastAsia="en-AU"/>
              </w:rPr>
              <w:t>General public services</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63</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102</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35</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22</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25</w:t>
            </w:r>
          </w:p>
        </w:tc>
      </w:tr>
      <w:tr w:rsidR="004B6846" w:rsidRPr="00847863"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47863" w:rsidRDefault="004B6846" w:rsidP="00CC0EB7">
            <w:pPr>
              <w:keepLines w:val="0"/>
              <w:autoSpaceDE w:val="0"/>
              <w:autoSpaceDN w:val="0"/>
              <w:adjustRightInd w:val="0"/>
              <w:rPr>
                <w:rFonts w:eastAsiaTheme="minorEastAsia" w:cstheme="majorHAnsi"/>
                <w:color w:val="000000"/>
                <w:szCs w:val="16"/>
                <w:lang w:eastAsia="en-AU"/>
              </w:rPr>
            </w:pPr>
            <w:r w:rsidRPr="00847863">
              <w:rPr>
                <w:rFonts w:eastAsiaTheme="minorEastAsia" w:cstheme="majorHAnsi"/>
                <w:color w:val="000000"/>
                <w:szCs w:val="16"/>
                <w:lang w:eastAsia="en-AU"/>
              </w:rPr>
              <w:t>Public order and safety</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847863">
              <w:rPr>
                <w:rFonts w:eastAsiaTheme="minorEastAsia" w:cstheme="majorHAnsi"/>
                <w:color w:val="000000"/>
                <w:szCs w:val="16"/>
                <w:lang w:eastAsia="en-AU"/>
              </w:rPr>
              <w:t>1 099</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847863">
              <w:rPr>
                <w:rFonts w:eastAsiaTheme="minorEastAsia" w:cstheme="majorHAnsi"/>
                <w:color w:val="000000"/>
                <w:szCs w:val="16"/>
                <w:lang w:eastAsia="en-AU"/>
              </w:rPr>
              <w:t>1 275</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922</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872</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640</w:t>
            </w:r>
          </w:p>
        </w:tc>
      </w:tr>
      <w:tr w:rsidR="004B6846" w:rsidRPr="00847863"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47863" w:rsidRDefault="004B6846" w:rsidP="00CC0EB7">
            <w:pPr>
              <w:keepLines w:val="0"/>
              <w:autoSpaceDE w:val="0"/>
              <w:autoSpaceDN w:val="0"/>
              <w:adjustRightInd w:val="0"/>
              <w:rPr>
                <w:rFonts w:eastAsiaTheme="minorEastAsia" w:cstheme="majorHAnsi"/>
                <w:color w:val="000000"/>
                <w:szCs w:val="16"/>
                <w:lang w:eastAsia="en-AU"/>
              </w:rPr>
            </w:pPr>
            <w:r w:rsidRPr="00847863">
              <w:rPr>
                <w:rFonts w:eastAsiaTheme="minorEastAsia" w:cstheme="majorHAnsi"/>
                <w:color w:val="000000"/>
                <w:szCs w:val="16"/>
                <w:lang w:eastAsia="en-AU"/>
              </w:rPr>
              <w:t>Economic affairs</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19</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53</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56</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87</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59</w:t>
            </w:r>
          </w:p>
        </w:tc>
      </w:tr>
      <w:tr w:rsidR="004B6846" w:rsidRPr="00847863"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47863" w:rsidRDefault="004B6846" w:rsidP="00CC0EB7">
            <w:pPr>
              <w:keepLines w:val="0"/>
              <w:autoSpaceDE w:val="0"/>
              <w:autoSpaceDN w:val="0"/>
              <w:adjustRightInd w:val="0"/>
              <w:rPr>
                <w:rFonts w:eastAsiaTheme="minorEastAsia" w:cstheme="majorHAnsi"/>
                <w:color w:val="000000"/>
                <w:szCs w:val="16"/>
                <w:lang w:eastAsia="en-AU"/>
              </w:rPr>
            </w:pPr>
            <w:r w:rsidRPr="00847863">
              <w:rPr>
                <w:rFonts w:eastAsiaTheme="minorEastAsia" w:cstheme="majorHAnsi"/>
                <w:color w:val="000000"/>
                <w:szCs w:val="16"/>
                <w:lang w:eastAsia="en-AU"/>
              </w:rPr>
              <w:t>Environmental protection</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121</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144</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136</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42</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40</w:t>
            </w:r>
          </w:p>
        </w:tc>
      </w:tr>
      <w:tr w:rsidR="004B6846" w:rsidRPr="00847863"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47863" w:rsidRDefault="004B6846" w:rsidP="00CC0EB7">
            <w:pPr>
              <w:keepLines w:val="0"/>
              <w:autoSpaceDE w:val="0"/>
              <w:autoSpaceDN w:val="0"/>
              <w:adjustRightInd w:val="0"/>
              <w:rPr>
                <w:rFonts w:eastAsiaTheme="minorEastAsia" w:cstheme="majorHAnsi"/>
                <w:color w:val="000000"/>
                <w:szCs w:val="16"/>
                <w:lang w:eastAsia="en-AU"/>
              </w:rPr>
            </w:pPr>
            <w:r w:rsidRPr="00847863">
              <w:rPr>
                <w:rFonts w:eastAsiaTheme="minorEastAsia" w:cstheme="majorHAnsi"/>
                <w:color w:val="000000"/>
                <w:szCs w:val="16"/>
                <w:lang w:eastAsia="en-AU"/>
              </w:rPr>
              <w:t>Housing and community amenities</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94</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68</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53</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56</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48</w:t>
            </w:r>
          </w:p>
        </w:tc>
      </w:tr>
      <w:tr w:rsidR="004B6846" w:rsidRPr="00847863"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47863" w:rsidRDefault="004B6846" w:rsidP="00CC0EB7">
            <w:pPr>
              <w:keepLines w:val="0"/>
              <w:autoSpaceDE w:val="0"/>
              <w:autoSpaceDN w:val="0"/>
              <w:adjustRightInd w:val="0"/>
              <w:rPr>
                <w:rFonts w:eastAsiaTheme="minorEastAsia" w:cstheme="majorHAnsi"/>
                <w:color w:val="000000"/>
                <w:szCs w:val="16"/>
                <w:lang w:eastAsia="en-AU"/>
              </w:rPr>
            </w:pPr>
            <w:r w:rsidRPr="00847863">
              <w:rPr>
                <w:rFonts w:eastAsiaTheme="minorEastAsia" w:cstheme="majorHAnsi"/>
                <w:color w:val="000000"/>
                <w:szCs w:val="16"/>
                <w:lang w:eastAsia="en-AU"/>
              </w:rPr>
              <w:t>Health</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847863">
              <w:rPr>
                <w:rFonts w:eastAsiaTheme="minorEastAsia" w:cstheme="majorHAnsi"/>
                <w:color w:val="000000"/>
                <w:szCs w:val="16"/>
                <w:lang w:eastAsia="en-AU"/>
              </w:rPr>
              <w:t>1 019</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847863">
              <w:rPr>
                <w:rFonts w:eastAsiaTheme="minorEastAsia" w:cstheme="majorHAnsi"/>
                <w:color w:val="000000"/>
                <w:szCs w:val="16"/>
                <w:lang w:eastAsia="en-AU"/>
              </w:rPr>
              <w:t>1 119</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543</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691</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659</w:t>
            </w:r>
          </w:p>
        </w:tc>
      </w:tr>
      <w:tr w:rsidR="004B6846" w:rsidRPr="00847863"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47863" w:rsidRDefault="004B6846" w:rsidP="00CC0EB7">
            <w:pPr>
              <w:keepLines w:val="0"/>
              <w:autoSpaceDE w:val="0"/>
              <w:autoSpaceDN w:val="0"/>
              <w:adjustRightInd w:val="0"/>
              <w:rPr>
                <w:rFonts w:eastAsiaTheme="minorEastAsia" w:cstheme="majorHAnsi"/>
                <w:color w:val="000000"/>
                <w:szCs w:val="16"/>
                <w:lang w:eastAsia="en-AU"/>
              </w:rPr>
            </w:pPr>
            <w:r w:rsidRPr="00847863">
              <w:rPr>
                <w:rFonts w:eastAsiaTheme="minorEastAsia" w:cstheme="majorHAnsi"/>
                <w:color w:val="000000"/>
                <w:szCs w:val="16"/>
                <w:lang w:eastAsia="en-AU"/>
              </w:rPr>
              <w:t>Recreation, culture and religion</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140</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136</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88</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42</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39</w:t>
            </w:r>
          </w:p>
        </w:tc>
      </w:tr>
      <w:tr w:rsidR="004B6846" w:rsidRPr="00847863"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47863" w:rsidRDefault="004B6846" w:rsidP="00CC0EB7">
            <w:pPr>
              <w:keepLines w:val="0"/>
              <w:autoSpaceDE w:val="0"/>
              <w:autoSpaceDN w:val="0"/>
              <w:adjustRightInd w:val="0"/>
              <w:rPr>
                <w:rFonts w:eastAsiaTheme="minorEastAsia" w:cstheme="majorHAnsi"/>
                <w:color w:val="000000"/>
                <w:szCs w:val="16"/>
                <w:lang w:eastAsia="en-AU"/>
              </w:rPr>
            </w:pPr>
            <w:r w:rsidRPr="00847863">
              <w:rPr>
                <w:rFonts w:eastAsiaTheme="minorEastAsia" w:cstheme="majorHAnsi"/>
                <w:color w:val="000000"/>
                <w:szCs w:val="16"/>
                <w:lang w:eastAsia="en-AU"/>
              </w:rPr>
              <w:t>Education</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847863">
              <w:rPr>
                <w:rFonts w:eastAsiaTheme="minorEastAsia" w:cstheme="majorHAnsi"/>
                <w:color w:val="000000"/>
                <w:szCs w:val="16"/>
                <w:lang w:eastAsia="en-AU"/>
              </w:rPr>
              <w:t>1 580</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847863">
              <w:rPr>
                <w:rFonts w:eastAsiaTheme="minorEastAsia" w:cstheme="majorHAnsi"/>
                <w:color w:val="000000"/>
                <w:szCs w:val="16"/>
                <w:lang w:eastAsia="en-AU"/>
              </w:rPr>
              <w:t>1 603</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862</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381</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200</w:t>
            </w:r>
          </w:p>
        </w:tc>
      </w:tr>
      <w:tr w:rsidR="004B6846" w:rsidRPr="00847863"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47863" w:rsidRDefault="004B6846" w:rsidP="00CC0EB7">
            <w:pPr>
              <w:keepLines w:val="0"/>
              <w:autoSpaceDE w:val="0"/>
              <w:autoSpaceDN w:val="0"/>
              <w:adjustRightInd w:val="0"/>
              <w:rPr>
                <w:rFonts w:eastAsiaTheme="minorEastAsia" w:cstheme="majorHAnsi"/>
                <w:color w:val="000000"/>
                <w:szCs w:val="16"/>
                <w:lang w:eastAsia="en-AU"/>
              </w:rPr>
            </w:pPr>
            <w:r w:rsidRPr="00847863">
              <w:rPr>
                <w:rFonts w:eastAsiaTheme="minorEastAsia" w:cstheme="majorHAnsi"/>
                <w:color w:val="000000"/>
                <w:szCs w:val="16"/>
                <w:lang w:eastAsia="en-AU"/>
              </w:rPr>
              <w:t>Social protection</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110</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154</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101</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95</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76</w:t>
            </w:r>
          </w:p>
        </w:tc>
      </w:tr>
      <w:tr w:rsidR="004B6846" w:rsidRPr="00847863"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47863" w:rsidRDefault="004B6846" w:rsidP="00CC0EB7">
            <w:pPr>
              <w:keepLines w:val="0"/>
              <w:autoSpaceDE w:val="0"/>
              <w:autoSpaceDN w:val="0"/>
              <w:adjustRightInd w:val="0"/>
              <w:rPr>
                <w:rFonts w:eastAsiaTheme="minorEastAsia" w:cstheme="majorHAnsi"/>
                <w:color w:val="000000"/>
                <w:szCs w:val="16"/>
                <w:lang w:eastAsia="en-AU"/>
              </w:rPr>
            </w:pPr>
            <w:r w:rsidRPr="00847863">
              <w:rPr>
                <w:rFonts w:eastAsiaTheme="minorEastAsia" w:cstheme="majorHAnsi"/>
                <w:color w:val="000000"/>
                <w:szCs w:val="16"/>
                <w:lang w:eastAsia="en-AU"/>
              </w:rPr>
              <w:t>Transport</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847863">
              <w:rPr>
                <w:rFonts w:eastAsiaTheme="minorEastAsia" w:cstheme="majorHAnsi"/>
                <w:color w:val="000000"/>
                <w:szCs w:val="16"/>
                <w:lang w:eastAsia="en-AU"/>
              </w:rPr>
              <w:t>7 008</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847863">
              <w:rPr>
                <w:rFonts w:eastAsiaTheme="minorEastAsia" w:cstheme="majorHAnsi"/>
                <w:color w:val="000000"/>
                <w:szCs w:val="16"/>
                <w:lang w:eastAsia="en-AU"/>
              </w:rPr>
              <w:t>6 215</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847863">
              <w:rPr>
                <w:rFonts w:eastAsiaTheme="minorEastAsia" w:cstheme="majorHAnsi"/>
                <w:color w:val="000000"/>
                <w:szCs w:val="16"/>
                <w:lang w:eastAsia="en-AU"/>
              </w:rPr>
              <w:t>6 264</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847863">
              <w:rPr>
                <w:rFonts w:eastAsiaTheme="minorEastAsia" w:cstheme="majorHAnsi"/>
                <w:color w:val="000000"/>
                <w:szCs w:val="16"/>
                <w:lang w:eastAsia="en-AU"/>
              </w:rPr>
              <w:t>4 094</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847863">
              <w:rPr>
                <w:rFonts w:eastAsiaTheme="minorEastAsia" w:cstheme="majorHAnsi"/>
                <w:color w:val="000000"/>
                <w:szCs w:val="16"/>
                <w:lang w:eastAsia="en-AU"/>
              </w:rPr>
              <w:t>2 677</w:t>
            </w:r>
          </w:p>
        </w:tc>
      </w:tr>
      <w:tr w:rsidR="004B6846" w:rsidRPr="00847863"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47863" w:rsidRDefault="004B6846" w:rsidP="00CC0EB7">
            <w:pPr>
              <w:keepLines w:val="0"/>
              <w:autoSpaceDE w:val="0"/>
              <w:autoSpaceDN w:val="0"/>
              <w:adjustRightInd w:val="0"/>
              <w:rPr>
                <w:rFonts w:eastAsiaTheme="minorEastAsia" w:cstheme="majorHAnsi"/>
                <w:color w:val="000000"/>
                <w:szCs w:val="16"/>
                <w:lang w:eastAsia="en-AU"/>
              </w:rPr>
            </w:pPr>
            <w:r w:rsidRPr="00847863">
              <w:rPr>
                <w:rFonts w:eastAsiaTheme="minorEastAsia" w:cstheme="majorHAnsi"/>
                <w:color w:val="000000"/>
                <w:szCs w:val="16"/>
                <w:lang w:eastAsia="en-AU"/>
              </w:rPr>
              <w:t xml:space="preserve">Not allocated by purpose </w:t>
            </w:r>
            <w:r w:rsidRPr="00847863">
              <w:rPr>
                <w:rFonts w:eastAsiaTheme="minorEastAsia" w:cstheme="majorHAnsi"/>
                <w:color w:val="000000"/>
                <w:szCs w:val="16"/>
                <w:vertAlign w:val="superscript"/>
                <w:lang w:eastAsia="en-AU"/>
              </w:rPr>
              <w:t>(b)</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(1 165)</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(1 508)</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(163)</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950</w:t>
            </w:r>
          </w:p>
        </w:tc>
        <w:tc>
          <w:tcPr>
            <w:tcW w:w="850" w:type="dxa"/>
            <w:tcBorders>
              <w:top w:val="nil"/>
              <w:left w:val="nil"/>
              <w:bottom w:val="nil"/>
              <w:right w:val="nil"/>
            </w:tcBorders>
          </w:tcPr>
          <w:p w:rsidR="004B6846" w:rsidRPr="00847863"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847863">
              <w:rPr>
                <w:rFonts w:eastAsiaTheme="minorEastAsia" w:cstheme="majorHAnsi"/>
                <w:color w:val="000000"/>
                <w:szCs w:val="16"/>
                <w:lang w:eastAsia="en-AU"/>
              </w:rPr>
              <w:t>2 136</w:t>
            </w:r>
          </w:p>
        </w:tc>
      </w:tr>
      <w:tr w:rsidR="004B6846" w:rsidRPr="00847863"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847863" w:rsidRDefault="004B6846" w:rsidP="00CC0EB7">
            <w:pPr>
              <w:keepLines w:val="0"/>
              <w:autoSpaceDE w:val="0"/>
              <w:autoSpaceDN w:val="0"/>
              <w:adjustRightInd w:val="0"/>
              <w:rPr>
                <w:rFonts w:eastAsiaTheme="minorEastAsia" w:cstheme="majorHAnsi"/>
                <w:bCs/>
                <w:color w:val="000000"/>
                <w:szCs w:val="16"/>
                <w:lang w:eastAsia="en-AU"/>
              </w:rPr>
            </w:pPr>
            <w:r w:rsidRPr="00847863">
              <w:rPr>
                <w:rFonts w:eastAsiaTheme="minorEastAsia" w:cstheme="majorHAnsi"/>
                <w:bCs/>
                <w:color w:val="000000"/>
                <w:szCs w:val="16"/>
                <w:lang w:eastAsia="en-AU"/>
              </w:rPr>
              <w:t>Total purchases of non-financial assets</w:t>
            </w:r>
          </w:p>
        </w:tc>
        <w:tc>
          <w:tcPr>
            <w:tcW w:w="850" w:type="dxa"/>
            <w:tcBorders>
              <w:top w:val="single" w:sz="6" w:space="0" w:color="auto"/>
              <w:bottom w:val="single" w:sz="12" w:space="0" w:color="auto"/>
            </w:tcBorders>
          </w:tcPr>
          <w:p w:rsidR="004B6846" w:rsidRPr="00847863"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847863">
              <w:rPr>
                <w:rFonts w:eastAsiaTheme="minorEastAsia" w:cstheme="majorHAnsi"/>
                <w:bCs/>
                <w:color w:val="000000"/>
                <w:szCs w:val="16"/>
                <w:lang w:eastAsia="en-AU"/>
              </w:rPr>
              <w:t>10 091</w:t>
            </w:r>
          </w:p>
        </w:tc>
        <w:tc>
          <w:tcPr>
            <w:tcW w:w="850" w:type="dxa"/>
            <w:tcBorders>
              <w:top w:val="single" w:sz="6" w:space="0" w:color="auto"/>
              <w:bottom w:val="single" w:sz="12" w:space="0" w:color="auto"/>
            </w:tcBorders>
          </w:tcPr>
          <w:p w:rsidR="004B6846" w:rsidRPr="00847863"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847863">
              <w:rPr>
                <w:rFonts w:eastAsiaTheme="minorEastAsia" w:cstheme="majorHAnsi"/>
                <w:bCs/>
                <w:color w:val="000000"/>
                <w:szCs w:val="16"/>
                <w:lang w:eastAsia="en-AU"/>
              </w:rPr>
              <w:t>9 361</w:t>
            </w:r>
          </w:p>
        </w:tc>
        <w:tc>
          <w:tcPr>
            <w:tcW w:w="850" w:type="dxa"/>
            <w:tcBorders>
              <w:top w:val="single" w:sz="6" w:space="0" w:color="auto"/>
              <w:bottom w:val="single" w:sz="12" w:space="0" w:color="auto"/>
            </w:tcBorders>
          </w:tcPr>
          <w:p w:rsidR="004B6846" w:rsidRPr="00847863"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847863">
              <w:rPr>
                <w:rFonts w:eastAsiaTheme="minorEastAsia" w:cstheme="majorHAnsi"/>
                <w:bCs/>
                <w:color w:val="000000"/>
                <w:szCs w:val="16"/>
                <w:lang w:eastAsia="en-AU"/>
              </w:rPr>
              <w:t>8 896</w:t>
            </w:r>
          </w:p>
        </w:tc>
        <w:tc>
          <w:tcPr>
            <w:tcW w:w="850" w:type="dxa"/>
            <w:tcBorders>
              <w:top w:val="single" w:sz="6" w:space="0" w:color="auto"/>
              <w:bottom w:val="single" w:sz="12" w:space="0" w:color="auto"/>
            </w:tcBorders>
          </w:tcPr>
          <w:p w:rsidR="004B6846" w:rsidRPr="00847863"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847863">
              <w:rPr>
                <w:rFonts w:eastAsiaTheme="minorEastAsia" w:cstheme="majorHAnsi"/>
                <w:bCs/>
                <w:color w:val="000000"/>
                <w:szCs w:val="16"/>
                <w:lang w:eastAsia="en-AU"/>
              </w:rPr>
              <w:t>7 333</w:t>
            </w:r>
          </w:p>
        </w:tc>
        <w:tc>
          <w:tcPr>
            <w:tcW w:w="850" w:type="dxa"/>
            <w:tcBorders>
              <w:top w:val="single" w:sz="6" w:space="0" w:color="auto"/>
              <w:bottom w:val="single" w:sz="12" w:space="0" w:color="auto"/>
            </w:tcBorders>
          </w:tcPr>
          <w:p w:rsidR="004B6846" w:rsidRPr="00847863"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847863">
              <w:rPr>
                <w:rFonts w:eastAsiaTheme="minorEastAsia" w:cstheme="majorHAnsi"/>
                <w:bCs/>
                <w:color w:val="000000"/>
                <w:szCs w:val="16"/>
                <w:lang w:eastAsia="en-AU"/>
              </w:rPr>
              <w:t>6 598</w:t>
            </w:r>
          </w:p>
        </w:tc>
      </w:tr>
    </w:tbl>
    <w:p w:rsidR="004B6846" w:rsidRPr="00D72444" w:rsidRDefault="004B6846" w:rsidP="00CC0EB7">
      <w:pPr>
        <w:pStyle w:val="Source"/>
      </w:pPr>
      <w:r w:rsidRPr="00D87D22">
        <w:t>Source: Department of Treasury and Finance</w:t>
      </w:r>
    </w:p>
    <w:p w:rsidR="004B6846" w:rsidRDefault="004B6846" w:rsidP="00CC0EB7">
      <w:pPr>
        <w:pStyle w:val="Note"/>
      </w:pPr>
      <w:r>
        <w:t>Notes:</w:t>
      </w:r>
    </w:p>
    <w:p w:rsidR="004B6846" w:rsidRDefault="004B6846" w:rsidP="00CC0EB7">
      <w:pPr>
        <w:pStyle w:val="Note"/>
      </w:pPr>
      <w:r>
        <w:t>(a)</w:t>
      </w:r>
      <w:r>
        <w:tab/>
      </w:r>
      <w:r w:rsidRPr="0007131F">
        <w:t xml:space="preserve">The </w:t>
      </w:r>
      <w:r>
        <w:t>COFOG</w:t>
      </w:r>
      <w:r w:rsidRPr="0007131F">
        <w:t xml:space="preserve"> framework</w:t>
      </w:r>
      <w:r>
        <w:t xml:space="preserve"> has replaced the former GPC</w:t>
      </w:r>
      <w:r w:rsidRPr="0007131F">
        <w:t xml:space="preserve"> framework under the new ABS GFS Manual.</w:t>
      </w:r>
      <w:r>
        <w:t xml:space="preserve"> </w:t>
      </w:r>
      <w:r w:rsidRPr="0007131F">
        <w:t xml:space="preserve">This </w:t>
      </w:r>
      <w:r>
        <w:t>was</w:t>
      </w:r>
      <w:r w:rsidRPr="0007131F">
        <w:t xml:space="preserve"> implemented for the first time in the </w:t>
      </w:r>
      <w:r w:rsidRPr="00F3055C">
        <w:rPr>
          <w:i w:val="0"/>
        </w:rPr>
        <w:t>2018-19 Budget</w:t>
      </w:r>
      <w:r w:rsidRPr="0007131F">
        <w:t xml:space="preserve">. </w:t>
      </w:r>
      <w:r>
        <w:t xml:space="preserve">Note 1.7.5 of Budget Paper No.5 of the </w:t>
      </w:r>
      <w:r>
        <w:rPr>
          <w:i w:val="0"/>
        </w:rPr>
        <w:t>2018-19</w:t>
      </w:r>
      <w:r w:rsidRPr="00812D30">
        <w:rPr>
          <w:i w:val="0"/>
        </w:rPr>
        <w:t xml:space="preserve"> </w:t>
      </w:r>
      <w:r>
        <w:rPr>
          <w:i w:val="0"/>
        </w:rPr>
        <w:t>Budget</w:t>
      </w:r>
      <w:r>
        <w:t xml:space="preserve"> provides definitions and descriptions of the COFOG.</w:t>
      </w:r>
    </w:p>
    <w:p w:rsidR="004B6846" w:rsidRPr="00D72444" w:rsidRDefault="004B6846" w:rsidP="00CC0EB7">
      <w:pPr>
        <w:pStyle w:val="Note"/>
      </w:pPr>
      <w:r>
        <w:t>(b)</w:t>
      </w:r>
      <w:r>
        <w:tab/>
        <w:t>Estimated amount available to be allocated to departments and projects in future budgets, including major capital investment. It also includes departmental spending, which may be subject to carryover.</w:t>
      </w:r>
    </w:p>
    <w:p w:rsidR="004B6846" w:rsidRDefault="004B6846" w:rsidP="00CC0EB7"/>
    <w:p w:rsidR="004B6846" w:rsidRPr="007448A4" w:rsidRDefault="004B6846" w:rsidP="00CC0EB7">
      <w:pPr>
        <w:pStyle w:val="TableHeading"/>
        <w:rPr>
          <w:bCs/>
          <w:lang w:val="en-US"/>
        </w:rPr>
      </w:pPr>
      <w:r>
        <w:t>Purchases of non-financial assets by portfolio department</w:t>
      </w:r>
      <w:r>
        <w:tab/>
        <w:t xml:space="preserve">($ million) </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641"/>
        <w:gridCol w:w="142"/>
        <w:gridCol w:w="582"/>
        <w:gridCol w:w="850"/>
        <w:gridCol w:w="850"/>
        <w:gridCol w:w="850"/>
        <w:gridCol w:w="850"/>
      </w:tblGrid>
      <w:tr w:rsidR="00CC0EB7" w:rsidRPr="007448A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641" w:type="dxa"/>
            <w:tcBorders>
              <w:top w:val="nil"/>
              <w:left w:val="nil"/>
              <w:right w:val="nil"/>
            </w:tcBorders>
            <w:shd w:val="solid" w:color="000000" w:fill="auto"/>
          </w:tcPr>
          <w:p w:rsidR="00CC0EB7" w:rsidRPr="007448A4" w:rsidRDefault="00CC0EB7" w:rsidP="00CC0EB7">
            <w:pPr>
              <w:autoSpaceDE w:val="0"/>
              <w:autoSpaceDN w:val="0"/>
              <w:adjustRightInd w:val="0"/>
              <w:rPr>
                <w:rFonts w:eastAsiaTheme="minorEastAsia" w:cstheme="majorHAnsi"/>
                <w:iCs/>
                <w:color w:val="FFFFFF"/>
                <w:szCs w:val="16"/>
                <w:lang w:eastAsia="en-AU"/>
              </w:rPr>
            </w:pPr>
            <w:r w:rsidRPr="007448A4">
              <w:rPr>
                <w:rFonts w:eastAsiaTheme="minorEastAsia" w:cstheme="majorHAnsi"/>
                <w:iCs/>
                <w:color w:val="FFFFFF"/>
                <w:szCs w:val="16"/>
                <w:lang w:eastAsia="en-AU"/>
              </w:rPr>
              <w:t xml:space="preserve">  </w:t>
            </w:r>
          </w:p>
        </w:tc>
        <w:tc>
          <w:tcPr>
            <w:tcW w:w="724" w:type="dxa"/>
            <w:gridSpan w:val="2"/>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2018-19</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budget</w:t>
            </w:r>
          </w:p>
        </w:tc>
        <w:tc>
          <w:tcPr>
            <w:tcW w:w="850" w:type="dxa"/>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2018-19</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revised</w:t>
            </w:r>
          </w:p>
        </w:tc>
        <w:tc>
          <w:tcPr>
            <w:tcW w:w="850" w:type="dxa"/>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2019-20</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estimate</w:t>
            </w:r>
          </w:p>
        </w:tc>
        <w:tc>
          <w:tcPr>
            <w:tcW w:w="850" w:type="dxa"/>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2020-21</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estimate</w:t>
            </w:r>
          </w:p>
        </w:tc>
        <w:tc>
          <w:tcPr>
            <w:tcW w:w="850" w:type="dxa"/>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2021-22</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estimate</w:t>
            </w:r>
          </w:p>
        </w:tc>
      </w:tr>
      <w:tr w:rsidR="004B6846" w:rsidRPr="007448A4" w:rsidTr="00065FD3">
        <w:tc>
          <w:tcPr>
            <w:cnfStyle w:val="001000000000" w:firstRow="0" w:lastRow="0" w:firstColumn="1" w:lastColumn="0" w:oddVBand="0" w:evenVBand="0" w:oddHBand="0" w:evenHBand="0" w:firstRowFirstColumn="0" w:firstRowLastColumn="0" w:lastRowFirstColumn="0" w:lastRowLastColumn="0"/>
            <w:tcW w:w="3641"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Economic Development, Jobs, Transport and Resources</w:t>
            </w:r>
          </w:p>
        </w:tc>
        <w:tc>
          <w:tcPr>
            <w:tcW w:w="724"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5 590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6 185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4 367</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2 382</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1 122</w:t>
            </w:r>
          </w:p>
        </w:tc>
      </w:tr>
      <w:tr w:rsidR="004B6846" w:rsidRPr="007448A4" w:rsidTr="00065FD3">
        <w:tc>
          <w:tcPr>
            <w:cnfStyle w:val="001000000000" w:firstRow="0" w:lastRow="0" w:firstColumn="1" w:lastColumn="0" w:oddVBand="0" w:evenVBand="0" w:oddHBand="0" w:evenHBand="0" w:firstRowFirstColumn="0" w:firstRowLastColumn="0" w:lastRowFirstColumn="0" w:lastRowLastColumn="0"/>
            <w:tcW w:w="3641"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Education and Training</w:t>
            </w:r>
          </w:p>
        </w:tc>
        <w:tc>
          <w:tcPr>
            <w:tcW w:w="724"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1 637</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1 660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870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389</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207</w:t>
            </w:r>
          </w:p>
        </w:tc>
      </w:tr>
      <w:tr w:rsidR="004B6846" w:rsidRPr="007448A4" w:rsidTr="00065FD3">
        <w:tc>
          <w:tcPr>
            <w:cnfStyle w:val="001000000000" w:firstRow="0" w:lastRow="0" w:firstColumn="1" w:lastColumn="0" w:oddVBand="0" w:evenVBand="0" w:oddHBand="0" w:evenHBand="0" w:firstRowFirstColumn="0" w:firstRowLastColumn="0" w:lastRowFirstColumn="0" w:lastRowLastColumn="0"/>
            <w:tcW w:w="3641"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Environment, Land, Water and Planning</w:t>
            </w:r>
          </w:p>
        </w:tc>
        <w:tc>
          <w:tcPr>
            <w:tcW w:w="724"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186</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181</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147</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147</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108</w:t>
            </w:r>
          </w:p>
        </w:tc>
      </w:tr>
      <w:tr w:rsidR="004B6846" w:rsidRPr="007448A4" w:rsidTr="00065FD3">
        <w:tc>
          <w:tcPr>
            <w:cnfStyle w:val="001000000000" w:firstRow="0" w:lastRow="0" w:firstColumn="1" w:lastColumn="0" w:oddVBand="0" w:evenVBand="0" w:oddHBand="0" w:evenHBand="0" w:firstRowFirstColumn="0" w:firstRowLastColumn="0" w:lastRowFirstColumn="0" w:lastRowLastColumn="0"/>
            <w:tcW w:w="3641"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Health and Human Services</w:t>
            </w:r>
          </w:p>
        </w:tc>
        <w:tc>
          <w:tcPr>
            <w:tcW w:w="724"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1 207</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1 351</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622</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593</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388</w:t>
            </w:r>
          </w:p>
        </w:tc>
      </w:tr>
      <w:tr w:rsidR="004B6846" w:rsidRPr="007448A4" w:rsidTr="00065FD3">
        <w:tc>
          <w:tcPr>
            <w:cnfStyle w:val="001000000000" w:firstRow="0" w:lastRow="0" w:firstColumn="1" w:lastColumn="0" w:oddVBand="0" w:evenVBand="0" w:oddHBand="0" w:evenHBand="0" w:firstRowFirstColumn="0" w:firstRowLastColumn="0" w:lastRowFirstColumn="0" w:lastRowLastColumn="0"/>
            <w:tcW w:w="3641"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Justice and Regulation</w:t>
            </w:r>
          </w:p>
        </w:tc>
        <w:tc>
          <w:tcPr>
            <w:tcW w:w="724"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607</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782</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402</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212</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96</w:t>
            </w:r>
          </w:p>
        </w:tc>
      </w:tr>
      <w:tr w:rsidR="004B6846" w:rsidRPr="007448A4" w:rsidTr="00065FD3">
        <w:tc>
          <w:tcPr>
            <w:cnfStyle w:val="001000000000" w:firstRow="0" w:lastRow="0" w:firstColumn="1" w:lastColumn="0" w:oddVBand="0" w:evenVBand="0" w:oddHBand="0" w:evenHBand="0" w:firstRowFirstColumn="0" w:firstRowLastColumn="0" w:lastRowFirstColumn="0" w:lastRowLastColumn="0"/>
            <w:tcW w:w="3641"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Premier and Cabinet</w:t>
            </w:r>
          </w:p>
        </w:tc>
        <w:tc>
          <w:tcPr>
            <w:tcW w:w="724"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51</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14</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11</w:t>
            </w:r>
          </w:p>
        </w:tc>
      </w:tr>
      <w:tr w:rsidR="004B6846" w:rsidRPr="007448A4" w:rsidTr="00065FD3">
        <w:tc>
          <w:tcPr>
            <w:cnfStyle w:val="001000000000" w:firstRow="0" w:lastRow="0" w:firstColumn="1" w:lastColumn="0" w:oddVBand="0" w:evenVBand="0" w:oddHBand="0" w:evenHBand="0" w:firstRowFirstColumn="0" w:firstRowLastColumn="0" w:lastRowFirstColumn="0" w:lastRowLastColumn="0"/>
            <w:tcW w:w="3641"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Treasury and Finance</w:t>
            </w:r>
          </w:p>
        </w:tc>
        <w:tc>
          <w:tcPr>
            <w:tcW w:w="724"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37</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43</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24</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15</w:t>
            </w:r>
          </w:p>
        </w:tc>
      </w:tr>
      <w:tr w:rsidR="004B6846" w:rsidRPr="007448A4" w:rsidTr="00065FD3">
        <w:tc>
          <w:tcPr>
            <w:cnfStyle w:val="001000000000" w:firstRow="0" w:lastRow="0" w:firstColumn="1" w:lastColumn="0" w:oddVBand="0" w:evenVBand="0" w:oddHBand="0" w:evenHBand="0" w:firstRowFirstColumn="0" w:firstRowLastColumn="0" w:lastRowFirstColumn="0" w:lastRowLastColumn="0"/>
            <w:tcW w:w="3641"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Parliament</w:t>
            </w:r>
          </w:p>
        </w:tc>
        <w:tc>
          <w:tcPr>
            <w:tcW w:w="724"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7448A4" w:rsidTr="00065FD3">
        <w:tc>
          <w:tcPr>
            <w:cnfStyle w:val="001000000000" w:firstRow="0" w:lastRow="0" w:firstColumn="1" w:lastColumn="0" w:oddVBand="0" w:evenVBand="0" w:oddHBand="0" w:evenHBand="0" w:firstRowFirstColumn="0" w:firstRowLastColumn="0" w:lastRowFirstColumn="0" w:lastRowLastColumn="0"/>
            <w:tcW w:w="3641"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Courts</w:t>
            </w:r>
          </w:p>
        </w:tc>
        <w:tc>
          <w:tcPr>
            <w:tcW w:w="724"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109</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120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22</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w:t>
            </w:r>
          </w:p>
        </w:tc>
      </w:tr>
      <w:tr w:rsidR="004B6846" w:rsidRPr="007448A4" w:rsidTr="00065FD3">
        <w:tc>
          <w:tcPr>
            <w:cnfStyle w:val="001000000000" w:firstRow="0" w:lastRow="0" w:firstColumn="1" w:lastColumn="0" w:oddVBand="0" w:evenVBand="0" w:oddHBand="0" w:evenHBand="0" w:firstRowFirstColumn="0" w:firstRowLastColumn="0" w:lastRowFirstColumn="0" w:lastRowLastColumn="0"/>
            <w:tcW w:w="3783" w:type="dxa"/>
            <w:gridSpan w:val="2"/>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 xml:space="preserve">Regulatory bodies and other part funded agencies </w:t>
            </w:r>
            <w:r w:rsidRPr="007448A4">
              <w:rPr>
                <w:rFonts w:eastAsiaTheme="minorEastAsia" w:cstheme="majorHAnsi"/>
                <w:color w:val="000000"/>
                <w:szCs w:val="16"/>
                <w:vertAlign w:val="superscript"/>
                <w:lang w:eastAsia="en-AU"/>
              </w:rPr>
              <w:t>(a)</w:t>
            </w:r>
          </w:p>
        </w:tc>
        <w:tc>
          <w:tcPr>
            <w:tcW w:w="582"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253</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288</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211</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115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110</w:t>
            </w:r>
          </w:p>
        </w:tc>
      </w:tr>
      <w:tr w:rsidR="004B6846" w:rsidRPr="007448A4" w:rsidTr="00065FD3">
        <w:tc>
          <w:tcPr>
            <w:cnfStyle w:val="001000000000" w:firstRow="0" w:lastRow="0" w:firstColumn="1" w:lastColumn="0" w:oddVBand="0" w:evenVBand="0" w:oddHBand="0" w:evenHBand="0" w:firstRowFirstColumn="0" w:firstRowLastColumn="0" w:lastRowFirstColumn="0" w:lastRowLastColumn="0"/>
            <w:tcW w:w="3783" w:type="dxa"/>
            <w:gridSpan w:val="2"/>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 xml:space="preserve">Asset contingencies not allocated to departments </w:t>
            </w:r>
            <w:r w:rsidRPr="007448A4">
              <w:rPr>
                <w:rFonts w:eastAsiaTheme="minorEastAsia" w:cstheme="majorHAnsi"/>
                <w:color w:val="000000"/>
                <w:szCs w:val="16"/>
                <w:vertAlign w:val="superscript"/>
                <w:lang w:eastAsia="en-AU"/>
              </w:rPr>
              <w:t>(b)</w:t>
            </w:r>
          </w:p>
        </w:tc>
        <w:tc>
          <w:tcPr>
            <w:tcW w:w="582"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1 640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349</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2 611</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3 183</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3 539</w:t>
            </w:r>
          </w:p>
        </w:tc>
      </w:tr>
      <w:tr w:rsidR="004B6846" w:rsidRPr="007448A4" w:rsidTr="00065FD3">
        <w:tc>
          <w:tcPr>
            <w:cnfStyle w:val="001000000000" w:firstRow="0" w:lastRow="0" w:firstColumn="1" w:lastColumn="0" w:oddVBand="0" w:evenVBand="0" w:oddHBand="0" w:evenHBand="0" w:firstRowFirstColumn="0" w:firstRowLastColumn="0" w:lastRowFirstColumn="0" w:lastRowLastColumn="0"/>
            <w:tcW w:w="3641"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 xml:space="preserve">Adjustments </w:t>
            </w:r>
            <w:r w:rsidRPr="007448A4">
              <w:rPr>
                <w:rFonts w:eastAsiaTheme="minorEastAsia" w:cstheme="majorHAnsi"/>
                <w:color w:val="000000"/>
                <w:szCs w:val="16"/>
                <w:vertAlign w:val="superscript"/>
                <w:lang w:eastAsia="en-AU"/>
              </w:rPr>
              <w:t>(c)</w:t>
            </w:r>
          </w:p>
        </w:tc>
        <w:tc>
          <w:tcPr>
            <w:tcW w:w="724" w:type="dxa"/>
            <w:gridSpan w:val="2"/>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(1 204)</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(1 660)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(390)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281</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997</w:t>
            </w:r>
          </w:p>
        </w:tc>
      </w:tr>
      <w:tr w:rsidR="004B6846" w:rsidRPr="007448A4" w:rsidTr="00065FD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1" w:type="dxa"/>
            <w:tcBorders>
              <w:top w:val="single" w:sz="6" w:space="0" w:color="000000"/>
              <w:bottom w:val="single" w:sz="12" w:space="0" w:color="000000"/>
            </w:tcBorders>
          </w:tcPr>
          <w:p w:rsidR="004B6846" w:rsidRPr="007448A4" w:rsidRDefault="004B6846" w:rsidP="00CC0EB7">
            <w:pPr>
              <w:keepLines w:val="0"/>
              <w:autoSpaceDE w:val="0"/>
              <w:autoSpaceDN w:val="0"/>
              <w:adjustRightInd w:val="0"/>
              <w:rPr>
                <w:rFonts w:eastAsiaTheme="minorEastAsia" w:cstheme="majorHAnsi"/>
                <w:bCs/>
                <w:color w:val="000000"/>
                <w:szCs w:val="16"/>
                <w:lang w:eastAsia="en-AU"/>
              </w:rPr>
            </w:pPr>
            <w:r w:rsidRPr="007448A4">
              <w:rPr>
                <w:rFonts w:eastAsiaTheme="minorEastAsia" w:cstheme="majorHAnsi"/>
                <w:bCs/>
                <w:color w:val="000000"/>
                <w:szCs w:val="16"/>
                <w:lang w:eastAsia="en-AU"/>
              </w:rPr>
              <w:t xml:space="preserve">Total purchases of non-financial assets </w:t>
            </w:r>
            <w:r w:rsidR="00065FD3">
              <w:rPr>
                <w:rFonts w:eastAsiaTheme="minorEastAsia" w:cstheme="majorHAnsi"/>
                <w:bCs/>
                <w:color w:val="000000"/>
                <w:szCs w:val="16"/>
                <w:lang w:eastAsia="en-AU"/>
              </w:rPr>
              <w:br/>
            </w:r>
            <w:r w:rsidRPr="007448A4">
              <w:rPr>
                <w:rFonts w:eastAsiaTheme="minorEastAsia" w:cstheme="majorHAnsi"/>
                <w:bCs/>
                <w:color w:val="000000"/>
                <w:szCs w:val="16"/>
                <w:lang w:eastAsia="en-AU"/>
              </w:rPr>
              <w:t>by department</w:t>
            </w:r>
          </w:p>
        </w:tc>
        <w:tc>
          <w:tcPr>
            <w:tcW w:w="724" w:type="dxa"/>
            <w:gridSpan w:val="2"/>
            <w:tcBorders>
              <w:top w:val="single" w:sz="6" w:space="0" w:color="000000"/>
              <w:bottom w:val="single" w:sz="12" w:space="0" w:color="000000"/>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448A4">
              <w:rPr>
                <w:rFonts w:eastAsiaTheme="minorEastAsia" w:cstheme="majorHAnsi"/>
                <w:bCs/>
                <w:color w:val="000000"/>
                <w:szCs w:val="16"/>
                <w:lang w:eastAsia="en-AU"/>
              </w:rPr>
              <w:t>10 091</w:t>
            </w:r>
          </w:p>
        </w:tc>
        <w:tc>
          <w:tcPr>
            <w:tcW w:w="850" w:type="dxa"/>
            <w:tcBorders>
              <w:top w:val="single" w:sz="6" w:space="0" w:color="000000"/>
              <w:bottom w:val="single" w:sz="12" w:space="0" w:color="000000"/>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448A4">
              <w:rPr>
                <w:rFonts w:eastAsiaTheme="minorEastAsia" w:cstheme="majorHAnsi"/>
                <w:bCs/>
                <w:color w:val="000000"/>
                <w:szCs w:val="16"/>
                <w:lang w:eastAsia="en-AU"/>
              </w:rPr>
              <w:t>9 361</w:t>
            </w:r>
          </w:p>
        </w:tc>
        <w:tc>
          <w:tcPr>
            <w:tcW w:w="850" w:type="dxa"/>
            <w:tcBorders>
              <w:top w:val="single" w:sz="6" w:space="0" w:color="000000"/>
              <w:bottom w:val="single" w:sz="12" w:space="0" w:color="000000"/>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448A4">
              <w:rPr>
                <w:rFonts w:eastAsiaTheme="minorEastAsia" w:cstheme="majorHAnsi"/>
                <w:bCs/>
                <w:color w:val="000000"/>
                <w:szCs w:val="16"/>
                <w:lang w:eastAsia="en-AU"/>
              </w:rPr>
              <w:t>8 896</w:t>
            </w:r>
          </w:p>
        </w:tc>
        <w:tc>
          <w:tcPr>
            <w:tcW w:w="850" w:type="dxa"/>
            <w:tcBorders>
              <w:top w:val="single" w:sz="6" w:space="0" w:color="000000"/>
              <w:bottom w:val="single" w:sz="12" w:space="0" w:color="000000"/>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448A4">
              <w:rPr>
                <w:rFonts w:eastAsiaTheme="minorEastAsia" w:cstheme="majorHAnsi"/>
                <w:bCs/>
                <w:color w:val="000000"/>
                <w:szCs w:val="16"/>
                <w:lang w:eastAsia="en-AU"/>
              </w:rPr>
              <w:t>7 333</w:t>
            </w:r>
          </w:p>
        </w:tc>
        <w:tc>
          <w:tcPr>
            <w:tcW w:w="850" w:type="dxa"/>
            <w:tcBorders>
              <w:top w:val="single" w:sz="6" w:space="0" w:color="000000"/>
              <w:bottom w:val="single" w:sz="12" w:space="0" w:color="000000"/>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448A4">
              <w:rPr>
                <w:rFonts w:eastAsiaTheme="minorEastAsia" w:cstheme="majorHAnsi"/>
                <w:bCs/>
                <w:color w:val="000000"/>
                <w:szCs w:val="16"/>
                <w:lang w:eastAsia="en-AU"/>
              </w:rPr>
              <w:t>6 598</w:t>
            </w:r>
          </w:p>
        </w:tc>
      </w:tr>
    </w:tbl>
    <w:p w:rsidR="004B6846" w:rsidRPr="00D72444" w:rsidRDefault="004B6846" w:rsidP="00CC0EB7">
      <w:pPr>
        <w:pStyle w:val="Source"/>
      </w:pPr>
      <w:r w:rsidRPr="00D87D22">
        <w:t>Source: Department of Treasury and Finance</w:t>
      </w:r>
    </w:p>
    <w:p w:rsidR="004B6846" w:rsidRPr="00697AD9" w:rsidRDefault="004B6846" w:rsidP="00CC0EB7">
      <w:pPr>
        <w:pStyle w:val="Note"/>
      </w:pPr>
      <w:r w:rsidRPr="00697AD9">
        <w:t>Notes:</w:t>
      </w:r>
    </w:p>
    <w:p w:rsidR="004B6846" w:rsidRPr="00697AD9" w:rsidRDefault="004B6846" w:rsidP="00CC0EB7">
      <w:pPr>
        <w:pStyle w:val="Note"/>
      </w:pPr>
      <w:r w:rsidRPr="00697AD9">
        <w:t>(a)</w:t>
      </w:r>
      <w:r w:rsidRPr="00697AD9">
        <w:tab/>
      </w:r>
      <w:r>
        <w:t>Other general government sector agencies not allocated to departmental portfolios.</w:t>
      </w:r>
    </w:p>
    <w:p w:rsidR="004B6846" w:rsidRDefault="004B6846" w:rsidP="00CC0EB7">
      <w:pPr>
        <w:pStyle w:val="Note"/>
      </w:pPr>
      <w:r w:rsidRPr="00697AD9">
        <w:t>(b)</w:t>
      </w:r>
      <w:r w:rsidRPr="00697AD9">
        <w:tab/>
      </w:r>
      <w:r>
        <w:t>The following table provides a breakdown of the general government asset contingencies not allocated to departments.</w:t>
      </w:r>
    </w:p>
    <w:p w:rsidR="004B6846" w:rsidRPr="00D72444" w:rsidRDefault="004B6846" w:rsidP="00CC0EB7">
      <w:pPr>
        <w:pStyle w:val="Note"/>
      </w:pPr>
      <w:r>
        <w:t>(c)</w:t>
      </w:r>
      <w:r>
        <w:tab/>
        <w:t>Mainly comprises estimated general government underspend, which may be subject to carryover.</w:t>
      </w:r>
    </w:p>
    <w:p w:rsidR="004B6846" w:rsidRPr="007448A4" w:rsidRDefault="004B6846" w:rsidP="00CC0EB7">
      <w:pPr>
        <w:pStyle w:val="TableHeading"/>
        <w:rPr>
          <w:bCs/>
          <w:lang w:val="en-US"/>
        </w:rPr>
      </w:pPr>
      <w:r>
        <w:lastRenderedPageBreak/>
        <w:t xml:space="preserve">General government asset contingencies not allocated to departments </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CC0EB7" w:rsidRPr="007448A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7448A4" w:rsidRDefault="00CC0EB7" w:rsidP="00CC0EB7">
            <w:pPr>
              <w:autoSpaceDE w:val="0"/>
              <w:autoSpaceDN w:val="0"/>
              <w:adjustRightInd w:val="0"/>
              <w:rPr>
                <w:rFonts w:eastAsiaTheme="minorEastAsia" w:cstheme="majorHAnsi"/>
                <w:iCs/>
                <w:color w:val="FFFFFF"/>
                <w:szCs w:val="16"/>
                <w:lang w:eastAsia="en-AU"/>
              </w:rPr>
            </w:pPr>
            <w:r w:rsidRPr="007448A4">
              <w:rPr>
                <w:rFonts w:eastAsiaTheme="minorEastAsia" w:cstheme="majorHAnsi"/>
                <w:iCs/>
                <w:color w:val="FFFFFF"/>
                <w:szCs w:val="16"/>
                <w:lang w:eastAsia="en-AU"/>
              </w:rPr>
              <w:t xml:space="preserve">  </w:t>
            </w:r>
          </w:p>
        </w:tc>
        <w:tc>
          <w:tcPr>
            <w:tcW w:w="850" w:type="dxa"/>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2018-19</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 xml:space="preserve"> budget</w:t>
            </w:r>
          </w:p>
        </w:tc>
        <w:tc>
          <w:tcPr>
            <w:tcW w:w="850" w:type="dxa"/>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2018-19</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 xml:space="preserve"> revised</w:t>
            </w:r>
          </w:p>
        </w:tc>
        <w:tc>
          <w:tcPr>
            <w:tcW w:w="850" w:type="dxa"/>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2019-20</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 xml:space="preserve"> estimate</w:t>
            </w:r>
          </w:p>
        </w:tc>
        <w:tc>
          <w:tcPr>
            <w:tcW w:w="850" w:type="dxa"/>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2020-21</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 xml:space="preserve"> estimate</w:t>
            </w:r>
          </w:p>
        </w:tc>
        <w:tc>
          <w:tcPr>
            <w:tcW w:w="850" w:type="dxa"/>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2021-22</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 xml:space="preserve"> estimate</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 xml:space="preserve">Decisions made but not yet allocated </w:t>
            </w:r>
            <w:r w:rsidRPr="007448A4">
              <w:rPr>
                <w:rFonts w:eastAsiaTheme="minorEastAsia" w:cstheme="majorHAnsi"/>
                <w:color w:val="000000"/>
                <w:szCs w:val="16"/>
                <w:vertAlign w:val="superscript"/>
                <w:lang w:eastAsia="en-AU"/>
              </w:rPr>
              <w:t>(a)</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1 640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349</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2 224</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2 475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1 889</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 xml:space="preserve">Funding not allocated to specific purposes </w:t>
            </w:r>
            <w:r w:rsidRPr="007448A4">
              <w:rPr>
                <w:rFonts w:eastAsiaTheme="minorEastAsia" w:cstheme="majorHAnsi"/>
                <w:color w:val="000000"/>
                <w:szCs w:val="16"/>
                <w:vertAlign w:val="superscript"/>
                <w:lang w:eastAsia="en-AU"/>
              </w:rPr>
              <w:t>(b)</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387</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708</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1 650</w:t>
            </w:r>
          </w:p>
        </w:tc>
      </w:tr>
      <w:tr w:rsidR="004B6846" w:rsidRPr="007448A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7448A4" w:rsidRDefault="004B6846" w:rsidP="00CC0EB7">
            <w:pPr>
              <w:keepLines w:val="0"/>
              <w:autoSpaceDE w:val="0"/>
              <w:autoSpaceDN w:val="0"/>
              <w:adjustRightInd w:val="0"/>
              <w:rPr>
                <w:rFonts w:eastAsiaTheme="minorEastAsia" w:cstheme="majorHAnsi"/>
                <w:bCs/>
                <w:color w:val="000000"/>
                <w:szCs w:val="16"/>
                <w:lang w:eastAsia="en-AU"/>
              </w:rPr>
            </w:pPr>
            <w:r w:rsidRPr="007448A4">
              <w:rPr>
                <w:rFonts w:eastAsiaTheme="minorEastAsia" w:cstheme="majorHAnsi"/>
                <w:bCs/>
                <w:color w:val="000000"/>
                <w:szCs w:val="16"/>
                <w:lang w:eastAsia="en-AU"/>
              </w:rPr>
              <w:t>Total general government asset contingencies</w:t>
            </w:r>
          </w:p>
        </w:tc>
        <w:tc>
          <w:tcPr>
            <w:tcW w:w="850" w:type="dxa"/>
            <w:tcBorders>
              <w:top w:val="single" w:sz="6" w:space="0" w:color="auto"/>
              <w:bottom w:val="single" w:sz="12" w:space="0" w:color="auto"/>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448A4">
              <w:rPr>
                <w:rFonts w:eastAsiaTheme="minorEastAsia" w:cstheme="majorHAnsi"/>
                <w:bCs/>
                <w:color w:val="000000"/>
                <w:szCs w:val="16"/>
                <w:lang w:eastAsia="en-AU"/>
              </w:rPr>
              <w:t>1 640</w:t>
            </w:r>
          </w:p>
        </w:tc>
        <w:tc>
          <w:tcPr>
            <w:tcW w:w="850" w:type="dxa"/>
            <w:tcBorders>
              <w:top w:val="single" w:sz="6" w:space="0" w:color="auto"/>
              <w:bottom w:val="single" w:sz="12" w:space="0" w:color="auto"/>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349</w:t>
            </w:r>
          </w:p>
        </w:tc>
        <w:tc>
          <w:tcPr>
            <w:tcW w:w="850" w:type="dxa"/>
            <w:tcBorders>
              <w:top w:val="single" w:sz="6" w:space="0" w:color="auto"/>
              <w:bottom w:val="single" w:sz="12" w:space="0" w:color="auto"/>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448A4">
              <w:rPr>
                <w:rFonts w:eastAsiaTheme="minorEastAsia" w:cstheme="majorHAnsi"/>
                <w:bCs/>
                <w:color w:val="000000"/>
                <w:szCs w:val="16"/>
                <w:lang w:eastAsia="en-AU"/>
              </w:rPr>
              <w:t>2 611</w:t>
            </w:r>
          </w:p>
        </w:tc>
        <w:tc>
          <w:tcPr>
            <w:tcW w:w="850" w:type="dxa"/>
            <w:tcBorders>
              <w:top w:val="single" w:sz="6" w:space="0" w:color="auto"/>
              <w:bottom w:val="single" w:sz="12" w:space="0" w:color="auto"/>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448A4">
              <w:rPr>
                <w:rFonts w:eastAsiaTheme="minorEastAsia" w:cstheme="majorHAnsi"/>
                <w:bCs/>
                <w:color w:val="000000"/>
                <w:szCs w:val="16"/>
                <w:lang w:eastAsia="en-AU"/>
              </w:rPr>
              <w:t>3 183</w:t>
            </w:r>
          </w:p>
        </w:tc>
        <w:tc>
          <w:tcPr>
            <w:tcW w:w="850" w:type="dxa"/>
            <w:tcBorders>
              <w:top w:val="single" w:sz="6" w:space="0" w:color="auto"/>
              <w:bottom w:val="single" w:sz="12" w:space="0" w:color="auto"/>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448A4">
              <w:rPr>
                <w:rFonts w:eastAsiaTheme="minorEastAsia" w:cstheme="majorHAnsi"/>
                <w:bCs/>
                <w:color w:val="000000"/>
                <w:szCs w:val="16"/>
                <w:lang w:eastAsia="en-AU"/>
              </w:rPr>
              <w:t>3 539</w:t>
            </w:r>
          </w:p>
        </w:tc>
      </w:tr>
    </w:tbl>
    <w:p w:rsidR="004B6846" w:rsidRPr="00D72444" w:rsidRDefault="004B6846" w:rsidP="00CC0EB7">
      <w:pPr>
        <w:pStyle w:val="Source"/>
      </w:pPr>
      <w:r w:rsidRPr="00D87D22">
        <w:t>Source: Department of Treasury and Finance</w:t>
      </w:r>
    </w:p>
    <w:p w:rsidR="004B6846" w:rsidRPr="00697AD9" w:rsidRDefault="004B6846" w:rsidP="00CC0EB7">
      <w:pPr>
        <w:pStyle w:val="Note"/>
      </w:pPr>
      <w:r w:rsidRPr="00697AD9">
        <w:t>Notes:</w:t>
      </w:r>
    </w:p>
    <w:p w:rsidR="004B6846" w:rsidRDefault="004B6846" w:rsidP="00CC0EB7">
      <w:pPr>
        <w:pStyle w:val="Note"/>
      </w:pPr>
      <w:r w:rsidRPr="00697AD9">
        <w:t>(</w:t>
      </w:r>
      <w:r>
        <w:t>a)</w:t>
      </w:r>
      <w:r>
        <w:tab/>
        <w:t>A provision to account for asset policy decisions for which the funding has yet to be allocated to departments.</w:t>
      </w:r>
    </w:p>
    <w:p w:rsidR="004B6846" w:rsidRDefault="004B6846" w:rsidP="00CC0EB7">
      <w:pPr>
        <w:pStyle w:val="Note"/>
      </w:pPr>
      <w:r>
        <w:t>(b)</w:t>
      </w:r>
      <w:r>
        <w:tab/>
        <w:t>An unallocated provision available for future government asset investment decisions.</w:t>
      </w:r>
    </w:p>
    <w:p w:rsidR="004B6846" w:rsidRDefault="004B6846" w:rsidP="00CC0EB7">
      <w:pPr>
        <w:rPr>
          <w:rStyle w:val="Heading2Char0"/>
          <w:b w:val="0"/>
          <w:sz w:val="20"/>
          <w:szCs w:val="20"/>
        </w:rPr>
      </w:pPr>
    </w:p>
    <w:p w:rsidR="004B6846" w:rsidRPr="008D5734" w:rsidRDefault="004B6846" w:rsidP="004B6846">
      <w:pPr>
        <w:pStyle w:val="Heading3"/>
        <w:numPr>
          <w:ilvl w:val="2"/>
          <w:numId w:val="19"/>
        </w:numPr>
        <w:spacing w:after="60"/>
        <w:rPr>
          <w:lang w:val="en-US"/>
        </w:rPr>
      </w:pPr>
      <w:bookmarkStart w:id="60" w:name="_Toc530147966"/>
      <w:r w:rsidRPr="00833B8D">
        <w:t xml:space="preserve">Net </w:t>
      </w:r>
      <w:r w:rsidRPr="004E4D8E">
        <w:t>acquisition</w:t>
      </w:r>
      <w:r w:rsidRPr="00833B8D">
        <w:t xml:space="preserve"> of non-financial assets from transactions</w:t>
      </w:r>
      <w:r w:rsidRPr="00833B8D">
        <w:tab/>
        <w:t>($ million)</w:t>
      </w:r>
      <w:bookmarkEnd w:id="60"/>
    </w:p>
    <w:tbl>
      <w:tblPr>
        <w:tblStyle w:val="DTFTable"/>
        <w:tblW w:w="7771" w:type="dxa"/>
        <w:tblInd w:w="45" w:type="dxa"/>
        <w:tblLayout w:type="fixed"/>
        <w:tblCellMar>
          <w:left w:w="45" w:type="dxa"/>
          <w:right w:w="45" w:type="dxa"/>
        </w:tblCellMar>
        <w:tblLook w:val="06E0" w:firstRow="1" w:lastRow="1" w:firstColumn="1" w:lastColumn="0" w:noHBand="1" w:noVBand="1"/>
      </w:tblPr>
      <w:tblGrid>
        <w:gridCol w:w="3764"/>
        <w:gridCol w:w="743"/>
        <w:gridCol w:w="816"/>
        <w:gridCol w:w="816"/>
        <w:gridCol w:w="816"/>
        <w:gridCol w:w="816"/>
      </w:tblGrid>
      <w:tr w:rsidR="00CC0EB7" w:rsidRPr="008D5734" w:rsidTr="00065FD3">
        <w:trPr>
          <w:cnfStyle w:val="100000000000" w:firstRow="1" w:lastRow="0" w:firstColumn="0" w:lastColumn="0" w:oddVBand="0" w:evenVBand="0" w:oddHBand="0" w:evenHBand="0" w:firstRowFirstColumn="0" w:firstRowLastColumn="0" w:lastRowFirstColumn="0" w:lastRowLastColumn="0"/>
          <w:trHeight w:val="96"/>
          <w:tblHeader/>
        </w:trPr>
        <w:tc>
          <w:tcPr>
            <w:cnfStyle w:val="001000000000" w:firstRow="0" w:lastRow="0" w:firstColumn="1" w:lastColumn="0" w:oddVBand="0" w:evenVBand="0" w:oddHBand="0" w:evenHBand="0" w:firstRowFirstColumn="0" w:firstRowLastColumn="0" w:lastRowFirstColumn="0" w:lastRowLastColumn="0"/>
            <w:tcW w:w="3764"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743"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16"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16"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16"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16"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764"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Purchases of non-financial assets </w:t>
            </w:r>
            <w:r w:rsidR="00065FD3">
              <w:rPr>
                <w:rFonts w:eastAsiaTheme="minorEastAsia" w:cs="Calibri"/>
                <w:color w:val="000000"/>
                <w:szCs w:val="18"/>
                <w:lang w:eastAsia="en-AU"/>
              </w:rPr>
              <w:br/>
            </w:r>
            <w:r w:rsidRPr="008D5734">
              <w:rPr>
                <w:rFonts w:eastAsiaTheme="minorEastAsia" w:cs="Calibri"/>
                <w:color w:val="000000"/>
                <w:szCs w:val="18"/>
                <w:lang w:eastAsia="en-AU"/>
              </w:rPr>
              <w:t>(including change in inventories)</w:t>
            </w:r>
          </w:p>
        </w:tc>
        <w:tc>
          <w:tcPr>
            <w:tcW w:w="743"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10 095</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9 366</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8 900</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7 337</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6 603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764"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Less: Sales of non-financial assets</w:t>
            </w:r>
          </w:p>
        </w:tc>
        <w:tc>
          <w:tcPr>
            <w:tcW w:w="743"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(368)</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(365)</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(416)</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(390)</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764"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Less: Depreciation and amortisation</w:t>
            </w:r>
          </w:p>
        </w:tc>
        <w:tc>
          <w:tcPr>
            <w:tcW w:w="743"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(2 876)</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(2 921)</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(3 033)</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(3 332)</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(3 526)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764"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Less: Other movements in non-financial assets </w:t>
            </w:r>
            <w:r w:rsidRPr="008D5734">
              <w:rPr>
                <w:rFonts w:eastAsiaTheme="minorEastAsia" w:cs="Calibri"/>
                <w:color w:val="000000"/>
                <w:szCs w:val="18"/>
                <w:vertAlign w:val="superscript"/>
                <w:lang w:eastAsia="en-AU"/>
              </w:rPr>
              <w:t>(a)(b)</w:t>
            </w:r>
          </w:p>
        </w:tc>
        <w:tc>
          <w:tcPr>
            <w:tcW w:w="743"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(4 931)</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(4 053)</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(2 371)</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(1 271)</w:t>
            </w:r>
          </w:p>
        </w:tc>
        <w:tc>
          <w:tcPr>
            <w:tcW w:w="816"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(815)</w:t>
            </w:r>
          </w:p>
        </w:tc>
      </w:tr>
      <w:tr w:rsidR="004B6846" w:rsidRPr="008D573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4"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rPr>
                <w:rFonts w:eastAsiaTheme="minorEastAsia" w:cs="Calibri"/>
                <w:bCs/>
                <w:color w:val="000000"/>
                <w:szCs w:val="16"/>
                <w:lang w:eastAsia="en-AU"/>
              </w:rPr>
            </w:pPr>
            <w:r w:rsidRPr="008D5734">
              <w:rPr>
                <w:rFonts w:eastAsiaTheme="minorEastAsia" w:cs="Calibri"/>
                <w:bCs/>
                <w:color w:val="000000"/>
                <w:szCs w:val="16"/>
                <w:lang w:eastAsia="en-AU"/>
              </w:rPr>
              <w:t>Total net acquisition of non-financial assets from transactions</w:t>
            </w:r>
          </w:p>
        </w:tc>
        <w:tc>
          <w:tcPr>
            <w:tcW w:w="743"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D5734">
              <w:rPr>
                <w:rFonts w:eastAsiaTheme="minorEastAsia" w:cs="Calibri"/>
                <w:bCs/>
                <w:color w:val="000000"/>
                <w:szCs w:val="18"/>
                <w:lang w:eastAsia="en-AU"/>
              </w:rPr>
              <w:t>1 921</w:t>
            </w:r>
          </w:p>
        </w:tc>
        <w:tc>
          <w:tcPr>
            <w:tcW w:w="816"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D5734">
              <w:rPr>
                <w:rFonts w:eastAsiaTheme="minorEastAsia" w:cs="Calibri"/>
                <w:bCs/>
                <w:color w:val="000000"/>
                <w:szCs w:val="18"/>
                <w:lang w:eastAsia="en-AU"/>
              </w:rPr>
              <w:t>2 027</w:t>
            </w:r>
          </w:p>
        </w:tc>
        <w:tc>
          <w:tcPr>
            <w:tcW w:w="816"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D5734">
              <w:rPr>
                <w:rFonts w:eastAsiaTheme="minorEastAsia" w:cs="Calibri"/>
                <w:bCs/>
                <w:color w:val="000000"/>
                <w:szCs w:val="18"/>
                <w:lang w:eastAsia="en-AU"/>
              </w:rPr>
              <w:t>3 079</w:t>
            </w:r>
          </w:p>
        </w:tc>
        <w:tc>
          <w:tcPr>
            <w:tcW w:w="816"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D5734">
              <w:rPr>
                <w:rFonts w:eastAsiaTheme="minorEastAsia" w:cs="Calibri"/>
                <w:bCs/>
                <w:color w:val="000000"/>
                <w:szCs w:val="18"/>
                <w:lang w:eastAsia="en-AU"/>
              </w:rPr>
              <w:t>2 345</w:t>
            </w:r>
          </w:p>
        </w:tc>
        <w:tc>
          <w:tcPr>
            <w:tcW w:w="816"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8D5734">
              <w:rPr>
                <w:rFonts w:eastAsiaTheme="minorEastAsia" w:cs="Calibri"/>
                <w:bCs/>
                <w:color w:val="000000"/>
                <w:szCs w:val="18"/>
                <w:lang w:eastAsia="en-AU"/>
              </w:rPr>
              <w:t>1 915</w:t>
            </w:r>
          </w:p>
        </w:tc>
      </w:tr>
    </w:tbl>
    <w:p w:rsidR="004B6846" w:rsidRDefault="004B6846" w:rsidP="00CC0EB7">
      <w:pPr>
        <w:pStyle w:val="Source"/>
      </w:pPr>
      <w:r w:rsidRPr="00D87D22">
        <w:t>Source: Department of Treasury and Finance</w:t>
      </w:r>
    </w:p>
    <w:p w:rsidR="004B6846" w:rsidRDefault="004B6846" w:rsidP="00CC0EB7">
      <w:pPr>
        <w:pStyle w:val="Note"/>
      </w:pPr>
      <w:r>
        <w:t>Notes:</w:t>
      </w:r>
    </w:p>
    <w:p w:rsidR="004B6846" w:rsidRDefault="004B6846" w:rsidP="00CC0EB7">
      <w:pPr>
        <w:pStyle w:val="Note"/>
      </w:pPr>
      <w:r>
        <w:t>(a)</w:t>
      </w:r>
      <w:r>
        <w:tab/>
        <w:t>The other movements in non-financial assets includes the transfer of fixed assets to other sectors of government, State capital contributions to major projects and recognising finance lease arrangements, including from public private partnerships.</w:t>
      </w:r>
    </w:p>
    <w:p w:rsidR="004B6846" w:rsidRPr="00792848" w:rsidRDefault="004B6846" w:rsidP="00CC0EB7">
      <w:pPr>
        <w:pStyle w:val="Note"/>
        <w:rPr>
          <w:rFonts w:cs="Times New Roman"/>
          <w:lang w:eastAsia="en-AU"/>
        </w:rPr>
      </w:pPr>
      <w:r>
        <w:t>(b)</w:t>
      </w:r>
      <w:r>
        <w:tab/>
      </w:r>
      <w:r w:rsidRPr="005367E0">
        <w:t xml:space="preserve">The finance lease acquisitions across </w:t>
      </w:r>
      <w:r>
        <w:t>the forward estimates predominately relate to</w:t>
      </w:r>
      <w:r>
        <w:rPr>
          <w:rFonts w:cs="Times New Roman"/>
          <w:lang w:eastAsia="en-AU"/>
        </w:rPr>
        <w:t xml:space="preserve"> </w:t>
      </w:r>
      <w:r w:rsidRPr="00C203E5">
        <w:t>the</w:t>
      </w:r>
      <w:r>
        <w:t xml:space="preserve"> High Capacity Metro Trains</w:t>
      </w:r>
      <w:r w:rsidRPr="00C203E5">
        <w:t xml:space="preserve"> Project, the </w:t>
      </w:r>
      <w:r>
        <w:t>Western Roads Upgrade,</w:t>
      </w:r>
      <w:r w:rsidRPr="00C203E5">
        <w:t xml:space="preserve"> </w:t>
      </w:r>
      <w:r>
        <w:t>the</w:t>
      </w:r>
      <w:r w:rsidRPr="00C203E5">
        <w:t xml:space="preserve"> </w:t>
      </w:r>
      <w:r>
        <w:t>Casey Hospital E</w:t>
      </w:r>
      <w:r w:rsidRPr="00C203E5">
        <w:t>xpansion</w:t>
      </w:r>
      <w:r>
        <w:t>, the Northern Roads Upgrade and the</w:t>
      </w:r>
      <w:r w:rsidRPr="00C203E5">
        <w:t xml:space="preserve"> South Eastern Roads Upgrade.</w:t>
      </w:r>
    </w:p>
    <w:p w:rsidR="004B6846" w:rsidRDefault="004B6846" w:rsidP="00CC0EB7"/>
    <w:p w:rsidR="004B6846" w:rsidRDefault="004B6846" w:rsidP="00CC0EB7"/>
    <w:bookmarkEnd w:id="49"/>
    <w:p w:rsidR="004B6846" w:rsidRDefault="004B6846">
      <w:pPr>
        <w:keepLines w:val="0"/>
        <w:rPr>
          <w:rFonts w:asciiTheme="majorHAnsi" w:eastAsiaTheme="majorEastAsia" w:hAnsiTheme="majorHAnsi" w:cstheme="majorBidi"/>
          <w:b/>
          <w:spacing w:val="-2"/>
          <w:sz w:val="26"/>
          <w:szCs w:val="26"/>
        </w:rPr>
      </w:pPr>
      <w:r>
        <w:br w:type="page"/>
      </w:r>
    </w:p>
    <w:p w:rsidR="004B6846" w:rsidRDefault="004B6846" w:rsidP="004B6846">
      <w:pPr>
        <w:pStyle w:val="Heading2"/>
        <w:numPr>
          <w:ilvl w:val="1"/>
          <w:numId w:val="19"/>
        </w:numPr>
        <w:sectPr w:rsidR="004B6846" w:rsidSect="00CC0EB7">
          <w:headerReference w:type="even" r:id="rId59"/>
          <w:headerReference w:type="default" r:id="rId60"/>
          <w:headerReference w:type="first" r:id="rId61"/>
          <w:footerReference w:type="first" r:id="rId62"/>
          <w:type w:val="continuous"/>
          <w:pgSz w:w="9979" w:h="14175" w:code="9"/>
          <w:pgMar w:top="850" w:right="1134" w:bottom="850" w:left="1134" w:header="624" w:footer="567" w:gutter="0"/>
          <w:cols w:space="567"/>
          <w:titlePg/>
          <w:docGrid w:linePitch="360"/>
        </w:sectPr>
      </w:pPr>
      <w:r>
        <w:lastRenderedPageBreak/>
        <w:t>MAJOR ASSETS AND INVESTMENTS</w:t>
      </w:r>
    </w:p>
    <w:p w:rsidR="004B6846" w:rsidRDefault="004B6846" w:rsidP="00CC0EB7">
      <w:pPr>
        <w:pStyle w:val="Heading30"/>
        <w:pBdr>
          <w:bottom w:val="single" w:sz="4" w:space="1" w:color="auto"/>
        </w:pBdr>
      </w:pPr>
      <w:r>
        <w:t>Introduction</w:t>
      </w:r>
    </w:p>
    <w:p w:rsidR="004B6846" w:rsidRDefault="004B6846" w:rsidP="00CC0EB7">
      <w:r>
        <w:t>This section outlines the major assets that the general government sector controls from investing activities in the prior, current, and future years.</w:t>
      </w:r>
    </w:p>
    <w:p w:rsidR="004B6846" w:rsidRDefault="004B6846" w:rsidP="00CC0EB7">
      <w:pPr>
        <w:pStyle w:val="Heading30"/>
        <w:pBdr>
          <w:bottom w:val="single" w:sz="4" w:space="1" w:color="auto"/>
        </w:pBdr>
      </w:pPr>
      <w:r>
        <w:br w:type="column"/>
      </w:r>
      <w:r>
        <w:t>Structure</w:t>
      </w:r>
    </w:p>
    <w:p w:rsidR="004B6846" w:rsidRDefault="004B6846" w:rsidP="00C7540B">
      <w:pPr>
        <w:pStyle w:val="TOC9"/>
        <w:rPr>
          <w:rFonts w:eastAsiaTheme="minorEastAsia"/>
          <w:noProof/>
          <w:spacing w:val="0"/>
          <w:lang w:eastAsia="en-AU"/>
        </w:rPr>
      </w:pPr>
      <w:r>
        <w:fldChar w:fldCharType="begin"/>
      </w:r>
      <w:r>
        <w:instrText xml:space="preserve"> TOC \h \z \t "Heading 3 (#),9" \b Section_4 \* MERGEFORMAT </w:instrText>
      </w:r>
      <w:r>
        <w:fldChar w:fldCharType="separate"/>
      </w:r>
      <w:hyperlink w:anchor="_Toc530148069" w:history="1">
        <w:r w:rsidRPr="003E5838">
          <w:rPr>
            <w:rStyle w:val="Hyperlink"/>
            <w:noProof/>
            <w:lang w:val="en-US"/>
          </w:rPr>
          <w:t>4.4.1</w:t>
        </w:r>
        <w:r>
          <w:rPr>
            <w:rFonts w:eastAsiaTheme="minorEastAsia"/>
            <w:noProof/>
            <w:spacing w:val="0"/>
            <w:lang w:eastAsia="en-AU"/>
          </w:rPr>
          <w:tab/>
        </w:r>
        <w:r w:rsidRPr="003E5838">
          <w:rPr>
            <w:rStyle w:val="Hyperlink"/>
            <w:noProof/>
          </w:rPr>
          <w:t xml:space="preserve">Total land, buildings, </w:t>
        </w:r>
        <w:r w:rsidR="00C7540B">
          <w:rPr>
            <w:rStyle w:val="Hyperlink"/>
            <w:noProof/>
          </w:rPr>
          <w:br/>
        </w:r>
        <w:r w:rsidRPr="003E5838">
          <w:rPr>
            <w:rStyle w:val="Hyperlink"/>
            <w:noProof/>
          </w:rPr>
          <w:t>infra</w:t>
        </w:r>
        <w:r>
          <w:rPr>
            <w:rStyle w:val="Hyperlink"/>
            <w:noProof/>
          </w:rPr>
          <w:t xml:space="preserve">structure, plant and </w:t>
        </w:r>
        <w:r w:rsidR="00C7540B">
          <w:rPr>
            <w:rStyle w:val="Hyperlink"/>
            <w:noProof/>
          </w:rPr>
          <w:br/>
        </w:r>
        <w:r>
          <w:rPr>
            <w:rStyle w:val="Hyperlink"/>
            <w:noProof/>
          </w:rPr>
          <w:t>equipment</w:t>
        </w:r>
        <w:r>
          <w:rPr>
            <w:noProof/>
            <w:webHidden/>
          </w:rPr>
          <w:tab/>
        </w:r>
        <w:r>
          <w:rPr>
            <w:noProof/>
            <w:webHidden/>
          </w:rPr>
          <w:fldChar w:fldCharType="begin"/>
        </w:r>
        <w:r>
          <w:rPr>
            <w:noProof/>
            <w:webHidden/>
          </w:rPr>
          <w:instrText xml:space="preserve"> PAGEREF _Toc530148069 \h </w:instrText>
        </w:r>
        <w:r>
          <w:rPr>
            <w:noProof/>
            <w:webHidden/>
          </w:rPr>
        </w:r>
        <w:r>
          <w:rPr>
            <w:noProof/>
            <w:webHidden/>
          </w:rPr>
          <w:fldChar w:fldCharType="separate"/>
        </w:r>
        <w:r w:rsidR="004B094E">
          <w:rPr>
            <w:noProof/>
            <w:webHidden/>
          </w:rPr>
          <w:t>2</w:t>
        </w:r>
        <w:r>
          <w:rPr>
            <w:noProof/>
            <w:webHidden/>
          </w:rPr>
          <w:fldChar w:fldCharType="end"/>
        </w:r>
      </w:hyperlink>
    </w:p>
    <w:p w:rsidR="004B6846" w:rsidRDefault="00F919DB" w:rsidP="00C7540B">
      <w:pPr>
        <w:pStyle w:val="TOC9"/>
        <w:rPr>
          <w:rFonts w:eastAsiaTheme="minorEastAsia"/>
          <w:noProof/>
          <w:spacing w:val="0"/>
          <w:lang w:eastAsia="en-AU"/>
        </w:rPr>
      </w:pPr>
      <w:hyperlink w:anchor="_Toc530148070" w:history="1">
        <w:r w:rsidR="004B6846" w:rsidRPr="003E5838">
          <w:rPr>
            <w:rStyle w:val="Hyperlink"/>
            <w:noProof/>
            <w:lang w:val="en-US"/>
          </w:rPr>
          <w:t>4.4.2</w:t>
        </w:r>
        <w:r w:rsidR="004B6846">
          <w:rPr>
            <w:rFonts w:eastAsiaTheme="minorEastAsia"/>
            <w:noProof/>
            <w:spacing w:val="0"/>
            <w:lang w:eastAsia="en-AU"/>
          </w:rPr>
          <w:tab/>
        </w:r>
        <w:r w:rsidR="004B6846" w:rsidRPr="003E5838">
          <w:rPr>
            <w:rStyle w:val="Hyperlink"/>
            <w:noProof/>
          </w:rPr>
          <w:t>Depreciation</w:t>
        </w:r>
        <w:r w:rsidR="004B6846">
          <w:rPr>
            <w:noProof/>
            <w:webHidden/>
          </w:rPr>
          <w:tab/>
        </w:r>
        <w:r w:rsidR="004B6846">
          <w:rPr>
            <w:noProof/>
            <w:webHidden/>
          </w:rPr>
          <w:fldChar w:fldCharType="begin"/>
        </w:r>
        <w:r w:rsidR="004B6846">
          <w:rPr>
            <w:noProof/>
            <w:webHidden/>
          </w:rPr>
          <w:instrText xml:space="preserve"> PAGEREF _Toc530148070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F919DB" w:rsidP="00C7540B">
      <w:pPr>
        <w:pStyle w:val="TOC9"/>
        <w:rPr>
          <w:rFonts w:eastAsiaTheme="minorEastAsia"/>
          <w:noProof/>
          <w:spacing w:val="0"/>
          <w:lang w:eastAsia="en-AU"/>
        </w:rPr>
      </w:pPr>
      <w:hyperlink w:anchor="_Toc530148071" w:history="1">
        <w:r w:rsidR="004B6846" w:rsidRPr="003E5838">
          <w:rPr>
            <w:rStyle w:val="Hyperlink"/>
            <w:noProof/>
            <w:lang w:val="en-US"/>
          </w:rPr>
          <w:t>4.4.3</w:t>
        </w:r>
        <w:r w:rsidR="004B6846">
          <w:rPr>
            <w:rFonts w:eastAsiaTheme="minorEastAsia"/>
            <w:noProof/>
            <w:spacing w:val="0"/>
            <w:lang w:eastAsia="en-AU"/>
          </w:rPr>
          <w:tab/>
        </w:r>
        <w:r w:rsidR="004B6846" w:rsidRPr="003E5838">
          <w:rPr>
            <w:rStyle w:val="Hyperlink"/>
            <w:noProof/>
          </w:rPr>
          <w:t>Reconciliation of movements in land, buildings, infra</w:t>
        </w:r>
        <w:r w:rsidR="004B6846">
          <w:rPr>
            <w:rStyle w:val="Hyperlink"/>
            <w:noProof/>
          </w:rPr>
          <w:t xml:space="preserve">structure,  </w:t>
        </w:r>
        <w:r w:rsidR="00C7540B">
          <w:rPr>
            <w:rStyle w:val="Hyperlink"/>
            <w:noProof/>
          </w:rPr>
          <w:br/>
        </w:r>
        <w:r w:rsidR="004B6846">
          <w:rPr>
            <w:rStyle w:val="Hyperlink"/>
            <w:noProof/>
          </w:rPr>
          <w:t>plant and equipment</w:t>
        </w:r>
        <w:r w:rsidR="004B6846">
          <w:rPr>
            <w:noProof/>
            <w:webHidden/>
          </w:rPr>
          <w:tab/>
        </w:r>
        <w:r w:rsidR="004B6846">
          <w:rPr>
            <w:noProof/>
            <w:webHidden/>
          </w:rPr>
          <w:fldChar w:fldCharType="begin"/>
        </w:r>
        <w:r w:rsidR="004B6846">
          <w:rPr>
            <w:noProof/>
            <w:webHidden/>
          </w:rPr>
          <w:instrText xml:space="preserve"> PAGEREF _Toc530148071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F919DB" w:rsidP="00C7540B">
      <w:pPr>
        <w:pStyle w:val="TOC9"/>
        <w:rPr>
          <w:rFonts w:eastAsiaTheme="minorEastAsia"/>
          <w:noProof/>
          <w:spacing w:val="0"/>
          <w:lang w:eastAsia="en-AU"/>
        </w:rPr>
      </w:pPr>
      <w:hyperlink w:anchor="_Toc530148072" w:history="1">
        <w:r w:rsidR="004B6846" w:rsidRPr="003E5838">
          <w:rPr>
            <w:rStyle w:val="Hyperlink"/>
            <w:noProof/>
            <w:lang w:val="en-US"/>
          </w:rPr>
          <w:t>4.4.4</w:t>
        </w:r>
        <w:r w:rsidR="004B6846">
          <w:rPr>
            <w:rFonts w:eastAsiaTheme="minorEastAsia"/>
            <w:noProof/>
            <w:spacing w:val="0"/>
            <w:lang w:eastAsia="en-AU"/>
          </w:rPr>
          <w:tab/>
        </w:r>
        <w:r w:rsidR="004B6846" w:rsidRPr="003E5838">
          <w:rPr>
            <w:rStyle w:val="Hyperlink"/>
            <w:noProof/>
          </w:rPr>
          <w:t>Other non-financial assets</w:t>
        </w:r>
        <w:r w:rsidR="004B6846">
          <w:rPr>
            <w:noProof/>
            <w:webHidden/>
          </w:rPr>
          <w:tab/>
        </w:r>
        <w:r w:rsidR="004B6846">
          <w:rPr>
            <w:noProof/>
            <w:webHidden/>
          </w:rPr>
          <w:fldChar w:fldCharType="begin"/>
        </w:r>
        <w:r w:rsidR="004B6846">
          <w:rPr>
            <w:noProof/>
            <w:webHidden/>
          </w:rPr>
          <w:instrText xml:space="preserve"> PAGEREF _Toc530148072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F919DB" w:rsidP="00C7540B">
      <w:pPr>
        <w:pStyle w:val="TOC9"/>
        <w:rPr>
          <w:rFonts w:eastAsiaTheme="minorEastAsia"/>
          <w:noProof/>
          <w:spacing w:val="0"/>
          <w:lang w:eastAsia="en-AU"/>
        </w:rPr>
      </w:pPr>
      <w:hyperlink w:anchor="_Toc530148073" w:history="1">
        <w:r w:rsidR="004B6846" w:rsidRPr="003E5838">
          <w:rPr>
            <w:rStyle w:val="Hyperlink"/>
            <w:noProof/>
            <w:lang w:val="en-US"/>
          </w:rPr>
          <w:t>4.4.5</w:t>
        </w:r>
        <w:r w:rsidR="004B6846">
          <w:rPr>
            <w:rFonts w:eastAsiaTheme="minorEastAsia"/>
            <w:noProof/>
            <w:spacing w:val="0"/>
            <w:lang w:eastAsia="en-AU"/>
          </w:rPr>
          <w:tab/>
        </w:r>
        <w:r w:rsidR="004B6846" w:rsidRPr="003E5838">
          <w:rPr>
            <w:rStyle w:val="Hyperlink"/>
            <w:noProof/>
          </w:rPr>
          <w:t xml:space="preserve">Total assets by classification of </w:t>
        </w:r>
        <w:r w:rsidR="00C7540B">
          <w:rPr>
            <w:rStyle w:val="Hyperlink"/>
            <w:noProof/>
          </w:rPr>
          <w:br/>
        </w:r>
        <w:r w:rsidR="004B6846" w:rsidRPr="003E5838">
          <w:rPr>
            <w:rStyle w:val="Hyperlink"/>
            <w:noProof/>
          </w:rPr>
          <w:t>the functions of government</w:t>
        </w:r>
        <w:r w:rsidR="004B6846">
          <w:rPr>
            <w:noProof/>
            <w:webHidden/>
          </w:rPr>
          <w:tab/>
        </w:r>
        <w:r w:rsidR="004B6846">
          <w:rPr>
            <w:noProof/>
            <w:webHidden/>
          </w:rPr>
          <w:fldChar w:fldCharType="begin"/>
        </w:r>
        <w:r w:rsidR="004B6846">
          <w:rPr>
            <w:noProof/>
            <w:webHidden/>
          </w:rPr>
          <w:instrText xml:space="preserve"> PAGEREF _Toc530148073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4B6846" w:rsidP="00CC0EB7">
      <w:pPr>
        <w:rPr>
          <w:b/>
          <w:bCs/>
          <w:noProof/>
          <w:lang w:val="en-US"/>
        </w:rPr>
        <w:sectPr w:rsidR="004B6846" w:rsidSect="00CC0EB7">
          <w:type w:val="continuous"/>
          <w:pgSz w:w="9979" w:h="14175" w:code="9"/>
          <w:pgMar w:top="850" w:right="1134" w:bottom="850" w:left="1134" w:header="624" w:footer="567" w:gutter="0"/>
          <w:cols w:num="2" w:space="567"/>
          <w:titlePg/>
          <w:docGrid w:linePitch="360"/>
        </w:sectPr>
      </w:pPr>
      <w:r>
        <w:rPr>
          <w:b/>
          <w:bCs/>
          <w:noProof/>
          <w:lang w:val="en-US"/>
        </w:rPr>
        <w:fldChar w:fldCharType="end"/>
      </w:r>
    </w:p>
    <w:p w:rsidR="004B6846" w:rsidRPr="008D5734" w:rsidRDefault="004B6846" w:rsidP="004B6846">
      <w:pPr>
        <w:pStyle w:val="Heading3"/>
        <w:numPr>
          <w:ilvl w:val="2"/>
          <w:numId w:val="19"/>
        </w:numPr>
        <w:spacing w:after="60"/>
        <w:rPr>
          <w:lang w:val="en-US"/>
        </w:rPr>
      </w:pPr>
      <w:bookmarkStart w:id="61" w:name="_Toc530148069"/>
      <w:bookmarkStart w:id="62" w:name="Section_4"/>
      <w:r>
        <w:t xml:space="preserve">Total land, </w:t>
      </w:r>
      <w:r w:rsidRPr="00232E5E">
        <w:t>buildings</w:t>
      </w:r>
      <w:r w:rsidRPr="00833B8D">
        <w:t>, infrastructure</w:t>
      </w:r>
      <w:r>
        <w:t>, plant and equipment</w:t>
      </w:r>
      <w:r>
        <w:tab/>
        <w:t>($ million)</w:t>
      </w:r>
      <w:bookmarkEnd w:id="61"/>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CC0EB7" w:rsidRPr="008D573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Buildings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31 604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31 631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32 030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33 344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36 180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Leased buildings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5 424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5 462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5 291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5 113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4 929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Land and national parks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58 923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58 902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62 376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62 658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64 412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Infrastructure systems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1 408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1 407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1 424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1 393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1 350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Plant, equipment and vehicles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2 548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2 584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2 380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2 086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1 728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Leased plant, equipment and vehicles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Roads and road infrastructure</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22 164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22 015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25 477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25 823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26 278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Leased roads and road infrastructure</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1 355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1 506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1 554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Earthworks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8 290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8 279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9 506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9 646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9 703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Cultural assets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5 639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5 639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5 632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6 301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6 310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 xml:space="preserve">Total land, buildings, infrastructure, plant </w:t>
            </w:r>
            <w:r w:rsidR="00065FD3">
              <w:rPr>
                <w:rFonts w:eastAsiaTheme="minorEastAsia" w:cs="Calibri"/>
                <w:b/>
                <w:bCs/>
                <w:color w:val="000000"/>
                <w:szCs w:val="18"/>
                <w:lang w:eastAsia="en-AU"/>
              </w:rPr>
              <w:br/>
            </w:r>
            <w:r w:rsidRPr="008D5734">
              <w:rPr>
                <w:rFonts w:eastAsiaTheme="minorEastAsia" w:cs="Calibri"/>
                <w:b/>
                <w:bCs/>
                <w:color w:val="000000"/>
                <w:szCs w:val="18"/>
                <w:lang w:eastAsia="en-AU"/>
              </w:rPr>
              <w:t>and equipment</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136 801</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136 721</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145 677</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148 058</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152 615</w:t>
            </w:r>
          </w:p>
        </w:tc>
      </w:tr>
    </w:tbl>
    <w:p w:rsidR="004B6846" w:rsidRDefault="004B6846" w:rsidP="00CC0EB7">
      <w:pPr>
        <w:pStyle w:val="Source"/>
      </w:pPr>
      <w:r w:rsidRPr="00D87D22">
        <w:t>Source: Department of Treasury and Finance</w:t>
      </w:r>
    </w:p>
    <w:p w:rsidR="004B6846" w:rsidRDefault="004B6846" w:rsidP="00CC0EB7"/>
    <w:p w:rsidR="004B6846" w:rsidRPr="00D72444" w:rsidRDefault="004B6846" w:rsidP="00CC0EB7">
      <w:pPr>
        <w:pStyle w:val="Heading10"/>
      </w:pPr>
      <w:r>
        <w:br w:type="page"/>
      </w:r>
    </w:p>
    <w:p w:rsidR="004B6846" w:rsidRPr="008D5734" w:rsidRDefault="004B6846" w:rsidP="004B6846">
      <w:pPr>
        <w:pStyle w:val="Heading3"/>
        <w:numPr>
          <w:ilvl w:val="2"/>
          <w:numId w:val="19"/>
        </w:numPr>
        <w:spacing w:after="60"/>
        <w:rPr>
          <w:lang w:val="en-US"/>
        </w:rPr>
      </w:pPr>
      <w:bookmarkStart w:id="63" w:name="_Toc530148070"/>
      <w:r w:rsidRPr="00232E5E">
        <w:lastRenderedPageBreak/>
        <w:t>Depreciation</w:t>
      </w:r>
      <w:r>
        <w:tab/>
        <w:t>($ million)</w:t>
      </w:r>
      <w:bookmarkEnd w:id="63"/>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CC0EB7" w:rsidRPr="008D573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Buildings </w:t>
            </w:r>
            <w:r w:rsidRPr="008D5734">
              <w:rPr>
                <w:rFonts w:eastAsiaTheme="minorEastAsia" w:cs="Calibri"/>
                <w:color w:val="000000"/>
                <w:szCs w:val="18"/>
                <w:vertAlign w:val="superscript"/>
                <w:lang w:eastAsia="en-AU"/>
              </w:rPr>
              <w:t>(a)</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1 198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1 236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1 302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1 388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1 489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Leased buildings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Infrastructure systems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Plant, equipment and vehicles </w:t>
            </w:r>
            <w:r w:rsidRPr="008D5734">
              <w:rPr>
                <w:rFonts w:eastAsiaTheme="minorEastAsia" w:cs="Calibri"/>
                <w:color w:val="000000"/>
                <w:szCs w:val="18"/>
                <w:vertAlign w:val="superscript"/>
                <w:lang w:eastAsia="en-AU"/>
              </w:rPr>
              <w:t>(a)</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624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619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623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Leased plant, equipment and vehicles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Roads and road networks </w:t>
            </w:r>
            <w:r w:rsidRPr="008D5734">
              <w:rPr>
                <w:rFonts w:eastAsiaTheme="minorEastAsia" w:cs="Calibri"/>
                <w:color w:val="000000"/>
                <w:szCs w:val="18"/>
                <w:vertAlign w:val="superscript"/>
                <w:lang w:eastAsia="en-AU"/>
              </w:rPr>
              <w:t>(a)</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624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623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812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903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Leased roads and road infrastructure</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Cultural assets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Intangible produced assets </w:t>
            </w:r>
            <w:r w:rsidRPr="008D5734">
              <w:rPr>
                <w:rFonts w:eastAsiaTheme="minorEastAsia" w:cs="Calibri"/>
                <w:color w:val="000000"/>
                <w:szCs w:val="18"/>
                <w:vertAlign w:val="superscript"/>
                <w:lang w:eastAsia="en-AU"/>
              </w:rPr>
              <w:t>(b)</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157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159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163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depreciation</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2 876</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2 921</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3 033</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3 332</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3 526</w:t>
            </w:r>
          </w:p>
        </w:tc>
      </w:tr>
    </w:tbl>
    <w:p w:rsidR="004B6846" w:rsidRDefault="004B6846" w:rsidP="00CC0EB7">
      <w:pPr>
        <w:pStyle w:val="Source"/>
      </w:pPr>
      <w:r w:rsidRPr="006F0BE1">
        <w:t>Source: Department of Treasury and Finance</w:t>
      </w:r>
    </w:p>
    <w:p w:rsidR="004B6846" w:rsidRDefault="004B6846" w:rsidP="00CC0EB7">
      <w:pPr>
        <w:pStyle w:val="Note"/>
      </w:pPr>
      <w:r>
        <w:t>Notes:</w:t>
      </w:r>
    </w:p>
    <w:p w:rsidR="004B6846" w:rsidRDefault="004B6846" w:rsidP="00CC0EB7">
      <w:pPr>
        <w:pStyle w:val="Note"/>
      </w:pPr>
      <w:r>
        <w:t>(a)</w:t>
      </w:r>
      <w:r>
        <w:tab/>
        <w:t>Includes estimated depreciation on amounts not yet allocated to projects in 2018-19 to 2021-22.</w:t>
      </w:r>
    </w:p>
    <w:p w:rsidR="004B6846" w:rsidRDefault="004B6846" w:rsidP="00CC0EB7">
      <w:pPr>
        <w:pStyle w:val="Note"/>
      </w:pPr>
      <w:r>
        <w:t>(b)</w:t>
      </w:r>
      <w:r>
        <w:tab/>
        <w:t>Amortisation of intangible non-produced assets is included under other gains/(losses) from other economic flows.</w:t>
      </w:r>
    </w:p>
    <w:p w:rsidR="004B6846" w:rsidRDefault="004B6846" w:rsidP="00CC0EB7"/>
    <w:p w:rsidR="004B6846" w:rsidRPr="008D5734" w:rsidRDefault="004B6846" w:rsidP="004B6846">
      <w:pPr>
        <w:pStyle w:val="Heading3"/>
        <w:numPr>
          <w:ilvl w:val="2"/>
          <w:numId w:val="19"/>
        </w:numPr>
        <w:spacing w:after="60"/>
        <w:rPr>
          <w:lang w:val="en-US"/>
        </w:rPr>
      </w:pPr>
      <w:bookmarkStart w:id="64" w:name="_Toc530148071"/>
      <w:r w:rsidRPr="00232E5E">
        <w:t>Reconciliation</w:t>
      </w:r>
      <w:r>
        <w:t xml:space="preserve"> of movements in land, buildings, infrastructure, </w:t>
      </w:r>
      <w:r>
        <w:br/>
        <w:t xml:space="preserve">plant and equipment </w:t>
      </w:r>
      <w:r w:rsidRPr="002F552E">
        <w:rPr>
          <w:vertAlign w:val="superscript"/>
        </w:rPr>
        <w:t>(a)</w:t>
      </w:r>
      <w:r>
        <w:tab/>
        <w:t>($ million)</w:t>
      </w:r>
      <w:bookmarkEnd w:id="64"/>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CC0EB7" w:rsidRPr="008D573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Carrying amount at the start of the year</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134 141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134 141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136 721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145 677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148 058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 xml:space="preserve">Additions </w:t>
            </w:r>
            <w:r w:rsidRPr="008D5734">
              <w:rPr>
                <w:rFonts w:eastAsiaTheme="minorEastAsia" w:cs="Calibri"/>
                <w:color w:val="000000"/>
                <w:szCs w:val="16"/>
                <w:vertAlign w:val="superscript"/>
                <w:lang w:eastAsia="en-AU"/>
              </w:rPr>
              <w:t>(b)</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10 586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9 798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9 843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7 740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6 484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Disposals at written down value</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(252)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(323)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(270)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 xml:space="preserve">Revaluations </w:t>
            </w:r>
            <w:r w:rsidRPr="008D5734">
              <w:rPr>
                <w:rFonts w:eastAsiaTheme="minorEastAsia" w:cs="Calibri"/>
                <w:color w:val="000000"/>
                <w:szCs w:val="16"/>
                <w:vertAlign w:val="superscript"/>
                <w:lang w:eastAsia="en-AU"/>
              </w:rPr>
              <w:t>(c)</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700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700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6 860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1 441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8D5734">
              <w:rPr>
                <w:rFonts w:eastAsiaTheme="minorEastAsia" w:cs="Calibri"/>
                <w:color w:val="000000"/>
                <w:szCs w:val="16"/>
                <w:lang w:eastAsia="en-AU"/>
              </w:rPr>
              <w:t>3 797</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 xml:space="preserve">Asset transfers </w:t>
            </w:r>
            <w:r w:rsidRPr="008D5734">
              <w:rPr>
                <w:rFonts w:eastAsiaTheme="minorEastAsia" w:cs="Calibri"/>
                <w:color w:val="000000"/>
                <w:szCs w:val="16"/>
                <w:vertAlign w:val="superscript"/>
                <w:lang w:eastAsia="en-AU"/>
              </w:rPr>
              <w:t>(d)</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(5 632)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(4 893)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(4 548)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(3 363)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(2 092)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6"/>
                <w:lang w:eastAsia="en-AU"/>
              </w:rPr>
            </w:pPr>
            <w:r w:rsidRPr="008D5734">
              <w:rPr>
                <w:rFonts w:eastAsiaTheme="minorEastAsia" w:cs="Calibri"/>
                <w:color w:val="000000"/>
                <w:szCs w:val="16"/>
                <w:lang w:eastAsia="en-AU"/>
              </w:rPr>
              <w:t>Depreciation expense</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(2 730)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(2 773)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(2 876)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(3 172)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(3 363)</w:t>
            </w:r>
          </w:p>
        </w:tc>
      </w:tr>
      <w:tr w:rsidR="004B6846" w:rsidRPr="008D573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rPr>
                <w:rFonts w:eastAsiaTheme="minorEastAsia" w:cs="Calibri"/>
                <w:bCs/>
                <w:color w:val="000000"/>
                <w:szCs w:val="16"/>
                <w:lang w:eastAsia="en-AU"/>
              </w:rPr>
            </w:pPr>
            <w:r w:rsidRPr="008D5734">
              <w:rPr>
                <w:rFonts w:eastAsiaTheme="minorEastAsia" w:cs="Calibri"/>
                <w:bCs/>
                <w:color w:val="000000"/>
                <w:szCs w:val="16"/>
                <w:lang w:eastAsia="en-AU"/>
              </w:rPr>
              <w:t>Carrying amount at the end of the year</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8D5734">
              <w:rPr>
                <w:rFonts w:eastAsiaTheme="minorEastAsia" w:cs="Calibri"/>
                <w:bCs/>
                <w:color w:val="000000"/>
                <w:szCs w:val="16"/>
                <w:lang w:eastAsia="en-AU"/>
              </w:rPr>
              <w:t>136 801</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8D5734">
              <w:rPr>
                <w:rFonts w:eastAsiaTheme="minorEastAsia" w:cs="Calibri"/>
                <w:bCs/>
                <w:color w:val="000000"/>
                <w:szCs w:val="16"/>
                <w:lang w:eastAsia="en-AU"/>
              </w:rPr>
              <w:t>136 721</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8D5734">
              <w:rPr>
                <w:rFonts w:eastAsiaTheme="minorEastAsia" w:cs="Calibri"/>
                <w:bCs/>
                <w:color w:val="000000"/>
                <w:szCs w:val="16"/>
                <w:lang w:eastAsia="en-AU"/>
              </w:rPr>
              <w:t>145 677</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8D5734">
              <w:rPr>
                <w:rFonts w:eastAsiaTheme="minorEastAsia" w:cs="Calibri"/>
                <w:bCs/>
                <w:color w:val="000000"/>
                <w:szCs w:val="16"/>
                <w:lang w:eastAsia="en-AU"/>
              </w:rPr>
              <w:t>148 058</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8D5734">
              <w:rPr>
                <w:rFonts w:eastAsiaTheme="minorEastAsia" w:cs="Calibri"/>
                <w:bCs/>
                <w:color w:val="000000"/>
                <w:szCs w:val="16"/>
                <w:lang w:eastAsia="en-AU"/>
              </w:rPr>
              <w:t>152 615</w:t>
            </w:r>
          </w:p>
        </w:tc>
      </w:tr>
    </w:tbl>
    <w:p w:rsidR="004B6846" w:rsidRDefault="004B6846" w:rsidP="00CC0EB7">
      <w:pPr>
        <w:pStyle w:val="Source"/>
      </w:pPr>
      <w:r w:rsidRPr="00D87D22">
        <w:t>Source: Department of Treasury and Finance</w:t>
      </w:r>
    </w:p>
    <w:p w:rsidR="004B6846" w:rsidRDefault="004B6846" w:rsidP="00CC0EB7">
      <w:pPr>
        <w:pStyle w:val="Note"/>
      </w:pPr>
      <w:r>
        <w:t>Notes:</w:t>
      </w:r>
    </w:p>
    <w:p w:rsidR="004B6846" w:rsidRDefault="004B6846" w:rsidP="00CC0EB7">
      <w:pPr>
        <w:pStyle w:val="Note"/>
      </w:pPr>
      <w:r w:rsidRPr="002F552E">
        <w:t>(a</w:t>
      </w:r>
      <w:r>
        <w:t>)</w:t>
      </w:r>
      <w:r>
        <w:tab/>
        <w:t>The reconciliation of movements comprises land and buildings, infrastructure systems, plant, equipment, vehicles, roads, roads infrastructure and cultural assets and excludes intangible assets, investment properties and other non-financial assets.</w:t>
      </w:r>
    </w:p>
    <w:p w:rsidR="004B6846" w:rsidRDefault="004B6846" w:rsidP="00CC0EB7">
      <w:pPr>
        <w:pStyle w:val="Note"/>
      </w:pPr>
      <w:r>
        <w:t>(b)</w:t>
      </w:r>
      <w:r>
        <w:tab/>
        <w:t>Includes assets acquired under finance lease arrangements.</w:t>
      </w:r>
    </w:p>
    <w:p w:rsidR="004B6846" w:rsidRDefault="004B6846" w:rsidP="00CC0EB7">
      <w:pPr>
        <w:pStyle w:val="Note"/>
      </w:pPr>
      <w:r>
        <w:t>(c)</w:t>
      </w:r>
      <w:r>
        <w:tab/>
        <w:t>The 2019-20 amount mainly represents a forecast revaluation of transport assets consistent with the revaluation cycle per the State’s accounting policy.</w:t>
      </w:r>
    </w:p>
    <w:p w:rsidR="004B6846" w:rsidRDefault="004B6846" w:rsidP="00CC0EB7">
      <w:pPr>
        <w:pStyle w:val="Note"/>
      </w:pPr>
      <w:r>
        <w:t>(d)</w:t>
      </w:r>
      <w:r>
        <w:tab/>
        <w:t xml:space="preserve">Represents the transfer of assets to the public non-financial corporations sector. </w:t>
      </w:r>
    </w:p>
    <w:p w:rsidR="004B6846" w:rsidRPr="009E1E6A" w:rsidRDefault="004B6846" w:rsidP="00CC0EB7">
      <w:pPr>
        <w:keepLines w:val="0"/>
      </w:pPr>
      <w:r>
        <w:br w:type="page"/>
      </w:r>
    </w:p>
    <w:p w:rsidR="004B6846" w:rsidRPr="008D5734" w:rsidRDefault="004B6846" w:rsidP="004B6846">
      <w:pPr>
        <w:pStyle w:val="Heading3"/>
        <w:numPr>
          <w:ilvl w:val="2"/>
          <w:numId w:val="19"/>
        </w:numPr>
        <w:spacing w:after="60"/>
        <w:rPr>
          <w:lang w:val="en-US"/>
        </w:rPr>
      </w:pPr>
      <w:bookmarkStart w:id="65" w:name="_Toc530148072"/>
      <w:r>
        <w:lastRenderedPageBreak/>
        <w:t xml:space="preserve">Other </w:t>
      </w:r>
      <w:r w:rsidRPr="00232E5E">
        <w:t>non</w:t>
      </w:r>
      <w:r>
        <w:t>-financial assets</w:t>
      </w:r>
      <w:r>
        <w:tab/>
        <w:t>($ million)</w:t>
      </w:r>
      <w:bookmarkEnd w:id="65"/>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CC0EB7" w:rsidRPr="008D5734" w:rsidTr="00065FD3">
        <w:trPr>
          <w:cnfStyle w:val="100000000000" w:firstRow="1" w:lastRow="0" w:firstColumn="0" w:lastColumn="0" w:oddVBand="0" w:evenVBand="0" w:oddHBand="0" w:evenHBand="0" w:firstRowFirstColumn="0" w:firstRowLastColumn="0" w:lastRowFirstColumn="0" w:lastRowLastColumn="0"/>
          <w:trHeight w:val="311"/>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Intangible produced assets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1 965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2 015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1 978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1 964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1 974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Accumulated depreciation</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(1 135)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(1 138)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(1 250)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(1 385)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(1 524)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Intangible non-produced assets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Accumulated amortisation</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 xml:space="preserve">Total intangibles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906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803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652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523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Investment properties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Biological assets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Other assets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2 166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3 732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4 558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other non-financial assets</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1 978</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2 130</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3 157</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4 574</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5 271</w:t>
            </w:r>
          </w:p>
        </w:tc>
      </w:tr>
    </w:tbl>
    <w:p w:rsidR="004B6846" w:rsidRDefault="004B6846" w:rsidP="00CC0EB7">
      <w:pPr>
        <w:pStyle w:val="Source"/>
      </w:pPr>
      <w:r w:rsidRPr="00D87D22">
        <w:t>Source: Department of Treasury and Finance</w:t>
      </w:r>
    </w:p>
    <w:p w:rsidR="004B6846" w:rsidRDefault="004B6846" w:rsidP="00CC0EB7"/>
    <w:p w:rsidR="004B6846" w:rsidRPr="007448A4" w:rsidRDefault="004B6846" w:rsidP="004B6846">
      <w:pPr>
        <w:pStyle w:val="Heading3"/>
        <w:numPr>
          <w:ilvl w:val="2"/>
          <w:numId w:val="19"/>
        </w:numPr>
        <w:spacing w:after="60"/>
        <w:rPr>
          <w:lang w:val="en-US"/>
        </w:rPr>
      </w:pPr>
      <w:bookmarkStart w:id="66" w:name="_Toc530148073"/>
      <w:r>
        <w:t xml:space="preserve">Total assets by </w:t>
      </w:r>
      <w:r w:rsidRPr="00232E5E">
        <w:t>classification</w:t>
      </w:r>
      <w:r>
        <w:t xml:space="preserve"> of the functions of government</w:t>
      </w:r>
      <w:r w:rsidRPr="0084338A">
        <w:rPr>
          <w:vertAlign w:val="superscript"/>
        </w:rPr>
        <w:t xml:space="preserve"> (a)</w:t>
      </w:r>
      <w:r>
        <w:tab/>
        <w:t>($ million)</w:t>
      </w:r>
      <w:bookmarkEnd w:id="66"/>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CC0EB7" w:rsidRPr="007448A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7448A4" w:rsidRDefault="00CC0EB7" w:rsidP="00CC0EB7">
            <w:pPr>
              <w:autoSpaceDE w:val="0"/>
              <w:autoSpaceDN w:val="0"/>
              <w:adjustRightInd w:val="0"/>
              <w:rPr>
                <w:rFonts w:eastAsiaTheme="minorEastAsia" w:cstheme="majorHAnsi"/>
                <w:iCs/>
                <w:color w:val="FFFFFF"/>
                <w:szCs w:val="16"/>
                <w:lang w:eastAsia="en-AU"/>
              </w:rPr>
            </w:pPr>
            <w:r w:rsidRPr="007448A4">
              <w:rPr>
                <w:rFonts w:eastAsiaTheme="minorEastAsia" w:cstheme="majorHAnsi"/>
                <w:iCs/>
                <w:color w:val="FFFFFF"/>
                <w:szCs w:val="16"/>
                <w:lang w:eastAsia="en-AU"/>
              </w:rPr>
              <w:t xml:space="preserve">  </w:t>
            </w:r>
          </w:p>
        </w:tc>
        <w:tc>
          <w:tcPr>
            <w:tcW w:w="850" w:type="dxa"/>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2018-19</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budget</w:t>
            </w:r>
          </w:p>
        </w:tc>
        <w:tc>
          <w:tcPr>
            <w:tcW w:w="850" w:type="dxa"/>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2018-19</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revised</w:t>
            </w:r>
          </w:p>
        </w:tc>
        <w:tc>
          <w:tcPr>
            <w:tcW w:w="850" w:type="dxa"/>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2019-20</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estimate</w:t>
            </w:r>
          </w:p>
        </w:tc>
        <w:tc>
          <w:tcPr>
            <w:tcW w:w="850" w:type="dxa"/>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2020-21</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estimate</w:t>
            </w:r>
          </w:p>
        </w:tc>
        <w:tc>
          <w:tcPr>
            <w:tcW w:w="850" w:type="dxa"/>
            <w:tcBorders>
              <w:top w:val="nil"/>
              <w:left w:val="nil"/>
              <w:right w:val="nil"/>
            </w:tcBorders>
            <w:shd w:val="solid" w:color="000000" w:fill="auto"/>
          </w:tcPr>
          <w:p w:rsidR="00CC0EB7" w:rsidRPr="007448A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448A4">
              <w:rPr>
                <w:rFonts w:eastAsiaTheme="minorEastAsia" w:cstheme="majorHAnsi"/>
                <w:iCs/>
                <w:color w:val="FFFFFF"/>
                <w:szCs w:val="16"/>
                <w:lang w:eastAsia="en-AU"/>
              </w:rPr>
              <w:t>2021-22</w:t>
            </w:r>
            <w:r>
              <w:rPr>
                <w:rFonts w:eastAsiaTheme="minorEastAsia" w:cstheme="majorHAnsi"/>
                <w:iCs/>
                <w:color w:val="FFFFFF"/>
                <w:szCs w:val="16"/>
                <w:lang w:eastAsia="en-AU"/>
              </w:rPr>
              <w:br/>
            </w:r>
            <w:r w:rsidRPr="007448A4">
              <w:rPr>
                <w:rFonts w:eastAsiaTheme="minorEastAsia" w:cstheme="majorHAnsi"/>
                <w:iCs/>
                <w:color w:val="FFFFFF"/>
                <w:szCs w:val="16"/>
                <w:lang w:eastAsia="en-AU"/>
              </w:rPr>
              <w:t>estimate</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General public services</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2 163</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2 165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2 120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2 086</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2 086</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Public order and safety</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10 050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10 249</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10 885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11 346</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11 473</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Economic affairs</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1 120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1 152</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1 156</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1 152</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1 142</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Environmental protection</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11 926</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11 948</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13 075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13 424</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13 410</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Housing and community amenities</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1 775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1 739</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1 685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1 693</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1 717</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Health</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15 336</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15 436</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15 033</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14 748</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14 408</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Recreation, culture and religion</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7 420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7 415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7 476</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7 515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7 537</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Education</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28 341</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28 367</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28 710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28 562</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31 828</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Social protection</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3 305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3 346</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3 423</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3 471</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3 478</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Transport</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59 283</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59 411</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67 881</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71 303</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71 810</w:t>
            </w:r>
          </w:p>
        </w:tc>
      </w:tr>
      <w:tr w:rsidR="004B6846" w:rsidRPr="007448A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7448A4" w:rsidRDefault="004B6846" w:rsidP="00CC0EB7">
            <w:pPr>
              <w:keepLines w:val="0"/>
              <w:autoSpaceDE w:val="0"/>
              <w:autoSpaceDN w:val="0"/>
              <w:adjustRightInd w:val="0"/>
              <w:rPr>
                <w:rFonts w:eastAsiaTheme="minorEastAsia" w:cstheme="majorHAnsi"/>
                <w:color w:val="000000"/>
                <w:szCs w:val="16"/>
                <w:lang w:eastAsia="en-AU"/>
              </w:rPr>
            </w:pPr>
            <w:r w:rsidRPr="007448A4">
              <w:rPr>
                <w:rFonts w:eastAsiaTheme="minorEastAsia" w:cstheme="majorHAnsi"/>
                <w:color w:val="000000"/>
                <w:szCs w:val="16"/>
                <w:lang w:eastAsia="en-AU"/>
              </w:rPr>
              <w:t xml:space="preserve">Not allocated by purpose </w:t>
            </w:r>
            <w:r w:rsidRPr="007448A4">
              <w:rPr>
                <w:rFonts w:eastAsiaTheme="minorEastAsia" w:cstheme="majorHAnsi"/>
                <w:color w:val="000000"/>
                <w:szCs w:val="16"/>
                <w:vertAlign w:val="superscript"/>
                <w:lang w:eastAsia="en-AU"/>
              </w:rPr>
              <w:t>(b)</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130 995</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129 966</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133 310</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135 322</w:t>
            </w:r>
          </w:p>
        </w:tc>
        <w:tc>
          <w:tcPr>
            <w:tcW w:w="850" w:type="dxa"/>
            <w:tcBorders>
              <w:top w:val="nil"/>
              <w:left w:val="nil"/>
              <w:bottom w:val="nil"/>
              <w:right w:val="nil"/>
            </w:tcBorders>
          </w:tcPr>
          <w:p w:rsidR="004B6846" w:rsidRPr="007448A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448A4">
              <w:rPr>
                <w:rFonts w:eastAsiaTheme="minorEastAsia" w:cstheme="majorHAnsi"/>
                <w:color w:val="000000"/>
                <w:szCs w:val="16"/>
                <w:lang w:eastAsia="en-AU"/>
              </w:rPr>
              <w:t>138 424</w:t>
            </w:r>
          </w:p>
        </w:tc>
      </w:tr>
      <w:tr w:rsidR="004B6846" w:rsidRPr="007448A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7448A4" w:rsidRDefault="004B6846" w:rsidP="00CC0EB7">
            <w:pPr>
              <w:keepLines w:val="0"/>
              <w:autoSpaceDE w:val="0"/>
              <w:autoSpaceDN w:val="0"/>
              <w:adjustRightInd w:val="0"/>
              <w:rPr>
                <w:rFonts w:eastAsiaTheme="minorEastAsia" w:cstheme="majorHAnsi"/>
                <w:bCs/>
                <w:color w:val="000000"/>
                <w:szCs w:val="16"/>
                <w:lang w:eastAsia="en-AU"/>
              </w:rPr>
            </w:pPr>
            <w:r w:rsidRPr="007448A4">
              <w:rPr>
                <w:rFonts w:eastAsiaTheme="minorEastAsia" w:cstheme="majorHAnsi"/>
                <w:bCs/>
                <w:color w:val="000000"/>
                <w:szCs w:val="16"/>
                <w:lang w:eastAsia="en-AU"/>
              </w:rPr>
              <w:t>Total assets by COFOG</w:t>
            </w:r>
          </w:p>
        </w:tc>
        <w:tc>
          <w:tcPr>
            <w:tcW w:w="850" w:type="dxa"/>
            <w:tcBorders>
              <w:top w:val="single" w:sz="6" w:space="0" w:color="000000"/>
              <w:bottom w:val="single" w:sz="12" w:space="0" w:color="000000"/>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448A4">
              <w:rPr>
                <w:rFonts w:eastAsiaTheme="minorEastAsia" w:cstheme="majorHAnsi"/>
                <w:bCs/>
                <w:color w:val="000000"/>
                <w:szCs w:val="16"/>
                <w:lang w:eastAsia="en-AU"/>
              </w:rPr>
              <w:t>271 712</w:t>
            </w:r>
          </w:p>
        </w:tc>
        <w:tc>
          <w:tcPr>
            <w:tcW w:w="850" w:type="dxa"/>
            <w:tcBorders>
              <w:top w:val="single" w:sz="6" w:space="0" w:color="000000"/>
              <w:bottom w:val="single" w:sz="12" w:space="0" w:color="000000"/>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448A4">
              <w:rPr>
                <w:rFonts w:eastAsiaTheme="minorEastAsia" w:cstheme="majorHAnsi"/>
                <w:bCs/>
                <w:color w:val="000000"/>
                <w:szCs w:val="16"/>
                <w:lang w:eastAsia="en-AU"/>
              </w:rPr>
              <w:t>271 194</w:t>
            </w:r>
          </w:p>
        </w:tc>
        <w:tc>
          <w:tcPr>
            <w:tcW w:w="850" w:type="dxa"/>
            <w:tcBorders>
              <w:top w:val="single" w:sz="6" w:space="0" w:color="000000"/>
              <w:bottom w:val="single" w:sz="12" w:space="0" w:color="000000"/>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448A4">
              <w:rPr>
                <w:rFonts w:eastAsiaTheme="minorEastAsia" w:cstheme="majorHAnsi"/>
                <w:bCs/>
                <w:color w:val="000000"/>
                <w:szCs w:val="16"/>
                <w:lang w:eastAsia="en-AU"/>
              </w:rPr>
              <w:t>284 753</w:t>
            </w:r>
          </w:p>
        </w:tc>
        <w:tc>
          <w:tcPr>
            <w:tcW w:w="850" w:type="dxa"/>
            <w:tcBorders>
              <w:top w:val="single" w:sz="6" w:space="0" w:color="000000"/>
              <w:bottom w:val="single" w:sz="12" w:space="0" w:color="000000"/>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448A4">
              <w:rPr>
                <w:rFonts w:eastAsiaTheme="minorEastAsia" w:cstheme="majorHAnsi"/>
                <w:bCs/>
                <w:color w:val="000000"/>
                <w:szCs w:val="16"/>
                <w:lang w:eastAsia="en-AU"/>
              </w:rPr>
              <w:t>290 623</w:t>
            </w:r>
          </w:p>
        </w:tc>
        <w:tc>
          <w:tcPr>
            <w:tcW w:w="850" w:type="dxa"/>
            <w:tcBorders>
              <w:top w:val="single" w:sz="6" w:space="0" w:color="000000"/>
              <w:bottom w:val="single" w:sz="12" w:space="0" w:color="000000"/>
            </w:tcBorders>
          </w:tcPr>
          <w:p w:rsidR="004B6846" w:rsidRPr="007448A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448A4">
              <w:rPr>
                <w:rFonts w:eastAsiaTheme="minorEastAsia" w:cstheme="majorHAnsi"/>
                <w:bCs/>
                <w:color w:val="000000"/>
                <w:szCs w:val="16"/>
                <w:lang w:eastAsia="en-AU"/>
              </w:rPr>
              <w:t>297 315</w:t>
            </w:r>
          </w:p>
        </w:tc>
      </w:tr>
    </w:tbl>
    <w:p w:rsidR="004B6846" w:rsidRPr="00006F5A" w:rsidRDefault="004B6846" w:rsidP="00CC0EB7">
      <w:pPr>
        <w:pStyle w:val="Source"/>
      </w:pPr>
      <w:r>
        <w:rPr>
          <w:rFonts w:eastAsiaTheme="majorEastAsia" w:cstheme="majorBidi"/>
          <w:b/>
          <w:bCs/>
          <w:sz w:val="22"/>
          <w:szCs w:val="26"/>
        </w:rPr>
        <w:fldChar w:fldCharType="begin"/>
      </w:r>
      <w:r>
        <w:instrText xml:space="preserve"> LINK </w:instrText>
      </w:r>
      <w:r w:rsidR="003C6991">
        <w:instrText xml:space="preserve">Excel.Sheet.12 "\\\\PDCPTPRDFIL01\\DTFDATA02$\\SECURED\\Rawdata\\Eco_Statement\\2018-19\\Financial Statements\\Srims exports\\EcoSRIMS_EFS_COFOG.xlsx" Total_assets_by_COFOG!Total_assets_by_COFOG </w:instrText>
      </w:r>
      <w:r>
        <w:instrText xml:space="preserve">\f 4 \r \* MERGEFORMAT \Id 1585 </w:instrText>
      </w:r>
      <w:r>
        <w:rPr>
          <w:rFonts w:eastAsiaTheme="majorEastAsia" w:cstheme="majorBidi"/>
          <w:b/>
          <w:bCs/>
          <w:sz w:val="22"/>
          <w:szCs w:val="26"/>
        </w:rPr>
        <w:fldChar w:fldCharType="end"/>
      </w:r>
      <w:r w:rsidRPr="00D87D22">
        <w:t>Source: Department of Treasury and Finance</w:t>
      </w:r>
    </w:p>
    <w:p w:rsidR="004B6846" w:rsidRDefault="004B6846" w:rsidP="00CC0EB7">
      <w:pPr>
        <w:pStyle w:val="Note"/>
      </w:pPr>
      <w:r>
        <w:t>Notes:</w:t>
      </w:r>
    </w:p>
    <w:p w:rsidR="004B6846" w:rsidRDefault="004B6846" w:rsidP="00CC0EB7">
      <w:pPr>
        <w:pStyle w:val="Note"/>
      </w:pPr>
      <w:r>
        <w:t>(a)</w:t>
      </w:r>
      <w:r>
        <w:tab/>
      </w:r>
      <w:r w:rsidRPr="0007131F">
        <w:t xml:space="preserve">The </w:t>
      </w:r>
      <w:r>
        <w:t>COFOG</w:t>
      </w:r>
      <w:r w:rsidRPr="0007131F">
        <w:t xml:space="preserve"> framework</w:t>
      </w:r>
      <w:r>
        <w:t xml:space="preserve"> has replaced the former GPC</w:t>
      </w:r>
      <w:r w:rsidRPr="0007131F">
        <w:t xml:space="preserve"> framework under the new ABS GFS Manual.</w:t>
      </w:r>
      <w:r>
        <w:t xml:space="preserve"> </w:t>
      </w:r>
      <w:r w:rsidRPr="0007131F">
        <w:t xml:space="preserve">This </w:t>
      </w:r>
      <w:r>
        <w:t>was</w:t>
      </w:r>
      <w:r w:rsidRPr="0007131F">
        <w:t xml:space="preserve"> implemented for the first time in the </w:t>
      </w:r>
      <w:r w:rsidRPr="00F3055C">
        <w:rPr>
          <w:i w:val="0"/>
        </w:rPr>
        <w:t>2018-19 Budget</w:t>
      </w:r>
      <w:r w:rsidRPr="0007131F">
        <w:t xml:space="preserve">. </w:t>
      </w:r>
      <w:r>
        <w:t xml:space="preserve">Note 1.7.5 of Budget Paper No.5 of the </w:t>
      </w:r>
      <w:r>
        <w:rPr>
          <w:i w:val="0"/>
        </w:rPr>
        <w:t>2018-19</w:t>
      </w:r>
      <w:r w:rsidRPr="00812D30">
        <w:rPr>
          <w:i w:val="0"/>
        </w:rPr>
        <w:t xml:space="preserve"> </w:t>
      </w:r>
      <w:r>
        <w:rPr>
          <w:i w:val="0"/>
        </w:rPr>
        <w:t>Budget</w:t>
      </w:r>
      <w:r>
        <w:t xml:space="preserve"> provides definitions and descriptions of the COFOG.</w:t>
      </w:r>
    </w:p>
    <w:p w:rsidR="004B6846" w:rsidRPr="002F552E" w:rsidRDefault="004B6846" w:rsidP="00CC0EB7">
      <w:pPr>
        <w:pStyle w:val="Note"/>
      </w:pPr>
      <w:r>
        <w:t>(b)</w:t>
      </w:r>
      <w:r>
        <w:tab/>
        <w:t>Represents financial assets which are not able to be allocated by purpose. This mainly includes balances relating to the general government sector’s investment in other sector entities.</w:t>
      </w:r>
    </w:p>
    <w:bookmarkEnd w:id="62"/>
    <w:p w:rsidR="004B6846" w:rsidRDefault="004B6846">
      <w:pPr>
        <w:keepLines w:val="0"/>
      </w:pPr>
      <w:r>
        <w:br w:type="page"/>
      </w:r>
    </w:p>
    <w:p w:rsidR="004B6846" w:rsidRDefault="004B6846" w:rsidP="004B6846">
      <w:pPr>
        <w:pStyle w:val="Heading2"/>
        <w:numPr>
          <w:ilvl w:val="1"/>
          <w:numId w:val="19"/>
        </w:numPr>
        <w:sectPr w:rsidR="004B6846" w:rsidSect="00CC0EB7">
          <w:type w:val="continuous"/>
          <w:pgSz w:w="9979" w:h="14175" w:code="9"/>
          <w:pgMar w:top="850" w:right="1134" w:bottom="850" w:left="1134" w:header="624" w:footer="567" w:gutter="0"/>
          <w:cols w:space="567"/>
          <w:titlePg/>
          <w:docGrid w:linePitch="360"/>
        </w:sectPr>
      </w:pPr>
      <w:r w:rsidRPr="00232E5E">
        <w:lastRenderedPageBreak/>
        <w:t>FINANCING STATE OPERATIONS</w:t>
      </w:r>
    </w:p>
    <w:p w:rsidR="004B6846" w:rsidRPr="00FD555B" w:rsidRDefault="004B6846" w:rsidP="00065FD3">
      <w:pPr>
        <w:pStyle w:val="Heading30"/>
        <w:pBdr>
          <w:bottom w:val="single" w:sz="4" w:space="1" w:color="auto"/>
        </w:pBdr>
      </w:pPr>
      <w:r w:rsidRPr="00FD555B">
        <w:t>Introduction</w:t>
      </w:r>
    </w:p>
    <w:p w:rsidR="004B6846" w:rsidRDefault="004B6846" w:rsidP="00CC0EB7">
      <w:r>
        <w:t>State operations are financed through a variety of means. Recurrent operations are generally financed from cash flows from operating activities (see consolidated cash flow statement). Asset investment operations are generally financed from a combination of surplus cash flows from operating activities, asset sales, advances and borrowings.</w:t>
      </w:r>
    </w:p>
    <w:p w:rsidR="004B6846" w:rsidRDefault="004B6846" w:rsidP="00CC0EB7">
      <w:r>
        <w:t>This section provides information on the balances related to the financing of the general government sector’s operations.</w:t>
      </w:r>
    </w:p>
    <w:p w:rsidR="004B6846" w:rsidRPr="00FD555B" w:rsidRDefault="004B6846" w:rsidP="00065FD3">
      <w:pPr>
        <w:pStyle w:val="Heading30"/>
        <w:pBdr>
          <w:bottom w:val="single" w:sz="4" w:space="1" w:color="auto"/>
        </w:pBdr>
      </w:pPr>
      <w:r>
        <w:br w:type="column"/>
      </w:r>
      <w:r w:rsidRPr="00FD555B">
        <w:t>Structure</w:t>
      </w:r>
    </w:p>
    <w:p w:rsidR="004B6846" w:rsidRDefault="004B6846" w:rsidP="00C7540B">
      <w:pPr>
        <w:pStyle w:val="TOC9"/>
        <w:rPr>
          <w:rFonts w:eastAsiaTheme="minorEastAsia"/>
          <w:noProof/>
          <w:spacing w:val="0"/>
          <w:lang w:eastAsia="en-AU"/>
        </w:rPr>
      </w:pPr>
      <w:r>
        <w:fldChar w:fldCharType="begin"/>
      </w:r>
      <w:r>
        <w:instrText xml:space="preserve"> TOC \h \z \t "Heading 3 (#),9" \b Section_5 \* MERGEFORMAT </w:instrText>
      </w:r>
      <w:r>
        <w:fldChar w:fldCharType="separate"/>
      </w:r>
      <w:hyperlink w:anchor="_Toc530148112" w:history="1">
        <w:r w:rsidRPr="009512BF">
          <w:rPr>
            <w:rStyle w:val="Hyperlink"/>
            <w:noProof/>
            <w:lang w:val="en-US"/>
          </w:rPr>
          <w:t>4.5.1</w:t>
        </w:r>
        <w:r>
          <w:rPr>
            <w:rFonts w:eastAsiaTheme="minorEastAsia"/>
            <w:noProof/>
            <w:spacing w:val="0"/>
            <w:lang w:eastAsia="en-AU"/>
          </w:rPr>
          <w:tab/>
        </w:r>
        <w:r>
          <w:rPr>
            <w:rStyle w:val="Hyperlink"/>
            <w:noProof/>
          </w:rPr>
          <w:t>Borrowings</w:t>
        </w:r>
        <w:r>
          <w:rPr>
            <w:noProof/>
            <w:webHidden/>
          </w:rPr>
          <w:tab/>
        </w:r>
        <w:r>
          <w:rPr>
            <w:noProof/>
            <w:webHidden/>
          </w:rPr>
          <w:fldChar w:fldCharType="begin"/>
        </w:r>
        <w:r>
          <w:rPr>
            <w:noProof/>
            <w:webHidden/>
          </w:rPr>
          <w:instrText xml:space="preserve"> PAGEREF _Toc530148112 \h </w:instrText>
        </w:r>
        <w:r>
          <w:rPr>
            <w:noProof/>
            <w:webHidden/>
          </w:rPr>
        </w:r>
        <w:r>
          <w:rPr>
            <w:noProof/>
            <w:webHidden/>
          </w:rPr>
          <w:fldChar w:fldCharType="separate"/>
        </w:r>
        <w:r w:rsidR="004B094E">
          <w:rPr>
            <w:noProof/>
            <w:webHidden/>
          </w:rPr>
          <w:t>2</w:t>
        </w:r>
        <w:r>
          <w:rPr>
            <w:noProof/>
            <w:webHidden/>
          </w:rPr>
          <w:fldChar w:fldCharType="end"/>
        </w:r>
      </w:hyperlink>
    </w:p>
    <w:p w:rsidR="004B6846" w:rsidRDefault="00F919DB" w:rsidP="00C7540B">
      <w:pPr>
        <w:pStyle w:val="TOC9"/>
        <w:rPr>
          <w:rFonts w:eastAsiaTheme="minorEastAsia"/>
          <w:noProof/>
          <w:spacing w:val="0"/>
          <w:lang w:eastAsia="en-AU"/>
        </w:rPr>
      </w:pPr>
      <w:hyperlink w:anchor="_Toc530148113" w:history="1">
        <w:r w:rsidR="004B6846" w:rsidRPr="009512BF">
          <w:rPr>
            <w:rStyle w:val="Hyperlink"/>
            <w:noProof/>
            <w:lang w:val="en-US"/>
          </w:rPr>
          <w:t>4.5.2</w:t>
        </w:r>
        <w:r w:rsidR="004B6846">
          <w:rPr>
            <w:rFonts w:eastAsiaTheme="minorEastAsia"/>
            <w:noProof/>
            <w:spacing w:val="0"/>
            <w:lang w:eastAsia="en-AU"/>
          </w:rPr>
          <w:tab/>
        </w:r>
        <w:r w:rsidR="004B6846" w:rsidRPr="009512BF">
          <w:rPr>
            <w:rStyle w:val="Hyperlink"/>
            <w:noProof/>
          </w:rPr>
          <w:t>Advances paid and investments, loans and placements</w:t>
        </w:r>
        <w:r w:rsidR="004B6846">
          <w:rPr>
            <w:noProof/>
            <w:webHidden/>
          </w:rPr>
          <w:tab/>
        </w:r>
        <w:r w:rsidR="004B6846">
          <w:rPr>
            <w:noProof/>
            <w:webHidden/>
          </w:rPr>
          <w:fldChar w:fldCharType="begin"/>
        </w:r>
        <w:r w:rsidR="004B6846">
          <w:rPr>
            <w:noProof/>
            <w:webHidden/>
          </w:rPr>
          <w:instrText xml:space="preserve"> PAGEREF _Toc530148113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F919DB" w:rsidP="00C7540B">
      <w:pPr>
        <w:pStyle w:val="TOC9"/>
        <w:rPr>
          <w:rFonts w:eastAsiaTheme="minorEastAsia"/>
          <w:noProof/>
          <w:spacing w:val="0"/>
          <w:lang w:eastAsia="en-AU"/>
        </w:rPr>
      </w:pPr>
      <w:hyperlink w:anchor="_Toc530148114" w:history="1">
        <w:r w:rsidR="004B6846" w:rsidRPr="009512BF">
          <w:rPr>
            <w:rStyle w:val="Hyperlink"/>
            <w:noProof/>
            <w:lang w:val="en-US"/>
          </w:rPr>
          <w:t>4.5.3</w:t>
        </w:r>
        <w:r w:rsidR="004B6846">
          <w:rPr>
            <w:rFonts w:eastAsiaTheme="minorEastAsia"/>
            <w:noProof/>
            <w:spacing w:val="0"/>
            <w:lang w:eastAsia="en-AU"/>
          </w:rPr>
          <w:tab/>
        </w:r>
        <w:r w:rsidR="004B6846">
          <w:rPr>
            <w:rStyle w:val="Hyperlink"/>
            <w:noProof/>
          </w:rPr>
          <w:t>Interest expense</w:t>
        </w:r>
        <w:r w:rsidR="004B6846">
          <w:rPr>
            <w:noProof/>
            <w:webHidden/>
          </w:rPr>
          <w:tab/>
        </w:r>
        <w:r w:rsidR="004B6846">
          <w:rPr>
            <w:noProof/>
            <w:webHidden/>
          </w:rPr>
          <w:fldChar w:fldCharType="begin"/>
        </w:r>
        <w:r w:rsidR="004B6846">
          <w:rPr>
            <w:noProof/>
            <w:webHidden/>
          </w:rPr>
          <w:instrText xml:space="preserve"> PAGEREF _Toc530148114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4B6846" w:rsidP="00CC0EB7">
      <w:pPr>
        <w:rPr>
          <w:b/>
          <w:bCs/>
          <w:noProof/>
          <w:lang w:val="en-US"/>
        </w:rPr>
        <w:sectPr w:rsidR="004B6846" w:rsidSect="00CC0EB7">
          <w:type w:val="continuous"/>
          <w:pgSz w:w="9979" w:h="14175" w:code="9"/>
          <w:pgMar w:top="850" w:right="1134" w:bottom="850" w:left="1134" w:header="624" w:footer="567" w:gutter="0"/>
          <w:cols w:num="2" w:space="567"/>
          <w:titlePg/>
          <w:docGrid w:linePitch="360"/>
        </w:sectPr>
      </w:pPr>
      <w:r>
        <w:rPr>
          <w:b/>
          <w:bCs/>
          <w:noProof/>
          <w:lang w:val="en-US"/>
        </w:rPr>
        <w:fldChar w:fldCharType="end"/>
      </w:r>
    </w:p>
    <w:p w:rsidR="004B6846" w:rsidRDefault="004B6846" w:rsidP="00CC0EB7"/>
    <w:p w:rsidR="004B6846" w:rsidRPr="008D5734" w:rsidRDefault="004B6846" w:rsidP="004B6846">
      <w:pPr>
        <w:pStyle w:val="Heading3"/>
        <w:numPr>
          <w:ilvl w:val="2"/>
          <w:numId w:val="19"/>
        </w:numPr>
        <w:spacing w:after="60"/>
        <w:rPr>
          <w:lang w:val="en-US"/>
        </w:rPr>
      </w:pPr>
      <w:bookmarkStart w:id="67" w:name="_Toc530148112"/>
      <w:bookmarkStart w:id="68" w:name="Section_5"/>
      <w:r w:rsidRPr="00564877">
        <w:rPr>
          <w:rStyle w:val="Heading3Char0"/>
          <w:b/>
          <w:bCs/>
          <w:sz w:val="22"/>
        </w:rPr>
        <w:t>Borrowings</w:t>
      </w:r>
      <w:r>
        <w:tab/>
        <w:t>($ million)</w:t>
      </w:r>
      <w:bookmarkEnd w:id="67"/>
    </w:p>
    <w:tbl>
      <w:tblPr>
        <w:tblStyle w:val="DTFTable"/>
        <w:tblW w:w="0" w:type="auto"/>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CC0EB7" w:rsidRPr="008D573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065FD3">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Current borrowings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065FD3">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Domestic borrowings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3 613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1 113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1 113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1 113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1 113</w:t>
            </w:r>
          </w:p>
        </w:tc>
      </w:tr>
      <w:tr w:rsidR="004B6846" w:rsidRPr="008D5734" w:rsidTr="00065FD3">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Finance lease liabilities </w:t>
            </w:r>
            <w:r w:rsidRPr="008D5734">
              <w:rPr>
                <w:rFonts w:eastAsiaTheme="minorEastAsia" w:cs="Calibri"/>
                <w:color w:val="000000"/>
                <w:szCs w:val="18"/>
                <w:vertAlign w:val="superscript"/>
                <w:lang w:eastAsia="en-AU"/>
              </w:rPr>
              <w:t>(a)</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408</w:t>
            </w:r>
          </w:p>
        </w:tc>
      </w:tr>
      <w:tr w:rsidR="004B6846" w:rsidRPr="008D5734" w:rsidTr="00065FD3">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Derivative financial instruments</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184</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264</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330</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322</w:t>
            </w:r>
          </w:p>
        </w:tc>
      </w:tr>
      <w:tr w:rsidR="004B6846" w:rsidRPr="008D5734" w:rsidTr="00065FD3">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current borrowings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3 887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1 562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1 584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1 669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1 843</w:t>
            </w:r>
          </w:p>
        </w:tc>
      </w:tr>
      <w:tr w:rsidR="004B6846" w:rsidRPr="008D5734" w:rsidTr="00065FD3">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Non-current borrowings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065FD3">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Domestic borrowings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25 179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23 168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27 973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30 361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32 005</w:t>
            </w:r>
          </w:p>
        </w:tc>
      </w:tr>
      <w:tr w:rsidR="004B6846" w:rsidRPr="008D5734" w:rsidTr="00065FD3">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Finance lease liabilities </w:t>
            </w:r>
            <w:r w:rsidRPr="008D5734">
              <w:rPr>
                <w:rFonts w:eastAsiaTheme="minorEastAsia" w:cs="Calibri"/>
                <w:color w:val="000000"/>
                <w:szCs w:val="18"/>
                <w:vertAlign w:val="superscript"/>
                <w:lang w:eastAsia="en-AU"/>
              </w:rPr>
              <w:t>(a)</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9 685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9 685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10 493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10 733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10 666</w:t>
            </w:r>
          </w:p>
        </w:tc>
      </w:tr>
      <w:tr w:rsidR="004B6846" w:rsidRPr="008D5734" w:rsidTr="00065FD3">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Derivative financial instruments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107</w:t>
            </w:r>
          </w:p>
        </w:tc>
      </w:tr>
      <w:tr w:rsidR="004B6846" w:rsidRPr="008D5734" w:rsidTr="00065FD3">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non-current borrowings</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34 971</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32 960</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38 574</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41 202</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42 778</w:t>
            </w:r>
          </w:p>
        </w:tc>
      </w:tr>
      <w:tr w:rsidR="004B6846" w:rsidRPr="008D5734" w:rsidTr="00065FD3">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borrowings</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38 859</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34 522</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40 158</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42 870</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44 621</w:t>
            </w:r>
          </w:p>
        </w:tc>
      </w:tr>
    </w:tbl>
    <w:p w:rsidR="004B6846" w:rsidRDefault="004B6846" w:rsidP="00CC0EB7">
      <w:pPr>
        <w:pStyle w:val="Source"/>
      </w:pPr>
      <w:r w:rsidRPr="00D87D22">
        <w:t>Source: Department of Treasury and Finance</w:t>
      </w:r>
    </w:p>
    <w:p w:rsidR="004B6846" w:rsidRDefault="004B6846" w:rsidP="00CC0EB7">
      <w:pPr>
        <w:pStyle w:val="Note"/>
      </w:pPr>
      <w:r>
        <w:t>Note:</w:t>
      </w:r>
    </w:p>
    <w:p w:rsidR="004B6846" w:rsidRDefault="004B6846" w:rsidP="00CC0EB7">
      <w:pPr>
        <w:pStyle w:val="Note"/>
      </w:pPr>
      <w:r>
        <w:t>(a)</w:t>
      </w:r>
      <w:r>
        <w:tab/>
        <w:t xml:space="preserve">Further detailed disclosures on finance lease liabilities can be found in the </w:t>
      </w:r>
      <w:r>
        <w:rPr>
          <w:i w:val="0"/>
        </w:rPr>
        <w:t>2017-18</w:t>
      </w:r>
      <w:r w:rsidRPr="0020172C">
        <w:rPr>
          <w:i w:val="0"/>
        </w:rPr>
        <w:t xml:space="preserve"> Financial Report</w:t>
      </w:r>
      <w:r>
        <w:t xml:space="preserve"> for the State of Victoria.</w:t>
      </w:r>
    </w:p>
    <w:p w:rsidR="004B6846" w:rsidRDefault="004B6846" w:rsidP="00CC0EB7"/>
    <w:p w:rsidR="004B6846" w:rsidRPr="00B41AC3" w:rsidRDefault="004B6846" w:rsidP="00CC0EB7">
      <w:pPr>
        <w:pStyle w:val="Heading10"/>
      </w:pPr>
      <w:r>
        <w:br w:type="page"/>
      </w:r>
    </w:p>
    <w:p w:rsidR="004B6846" w:rsidRPr="008D5734" w:rsidRDefault="004B6846" w:rsidP="004B6846">
      <w:pPr>
        <w:pStyle w:val="Heading3"/>
        <w:numPr>
          <w:ilvl w:val="2"/>
          <w:numId w:val="19"/>
        </w:numPr>
        <w:spacing w:after="60"/>
        <w:rPr>
          <w:lang w:val="en-US"/>
        </w:rPr>
      </w:pPr>
      <w:bookmarkStart w:id="69" w:name="_Toc530148113"/>
      <w:r>
        <w:lastRenderedPageBreak/>
        <w:t>Advances paid and investments, loans and placements</w:t>
      </w:r>
      <w:r>
        <w:tab/>
        <w:t>($ million)</w:t>
      </w:r>
      <w:bookmarkEnd w:id="69"/>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2"/>
      </w:tblGrid>
      <w:tr w:rsidR="00CC0EB7" w:rsidRPr="008D573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2"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7767" w:type="dxa"/>
            <w:gridSpan w:val="6"/>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lang w:eastAsia="en-AU"/>
              </w:rPr>
            </w:pPr>
            <w:r w:rsidRPr="008D5734">
              <w:rPr>
                <w:rFonts w:eastAsiaTheme="minorEastAsia" w:cs="Calibri"/>
                <w:b/>
                <w:bCs/>
                <w:color w:val="000000"/>
                <w:szCs w:val="18"/>
                <w:lang w:eastAsia="en-AU"/>
              </w:rPr>
              <w:t>Current advances paid and investments, loans and placements</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Loans and advances paid</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1 742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1 891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1 303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605</w:t>
            </w:r>
          </w:p>
        </w:tc>
        <w:tc>
          <w:tcPr>
            <w:tcW w:w="852"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Equities and managed investment schemes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1 171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1 191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1 210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1 258</w:t>
            </w:r>
          </w:p>
        </w:tc>
        <w:tc>
          <w:tcPr>
            <w:tcW w:w="852"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1 275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Australian dollar term deposits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1 159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1 159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1 127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1 146</w:t>
            </w:r>
          </w:p>
        </w:tc>
        <w:tc>
          <w:tcPr>
            <w:tcW w:w="852"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1 154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Debt securities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852"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Derivative financial instruments</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w:t>
            </w:r>
          </w:p>
        </w:tc>
        <w:tc>
          <w:tcPr>
            <w:tcW w:w="852"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current advances paid and investments, loans and placements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4 084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4 251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3 685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3 074</w:t>
            </w:r>
          </w:p>
        </w:tc>
        <w:tc>
          <w:tcPr>
            <w:tcW w:w="852"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2 636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7767" w:type="dxa"/>
            <w:gridSpan w:val="6"/>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lang w:eastAsia="en-AU"/>
              </w:rPr>
            </w:pPr>
            <w:r w:rsidRPr="008D5734">
              <w:rPr>
                <w:rFonts w:eastAsiaTheme="minorEastAsia" w:cs="Calibri"/>
                <w:b/>
                <w:bCs/>
                <w:color w:val="000000"/>
                <w:szCs w:val="18"/>
                <w:lang w:eastAsia="en-AU"/>
              </w:rPr>
              <w:t>Non-current advances paid and investments, loans and placements</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Loans and advances paid</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6 546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6 634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5 338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4 738</w:t>
            </w:r>
          </w:p>
        </w:tc>
        <w:tc>
          <w:tcPr>
            <w:tcW w:w="852"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4 667</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Equities and managed investment schemes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1 096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1 084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1 498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1 560</w:t>
            </w:r>
          </w:p>
        </w:tc>
        <w:tc>
          <w:tcPr>
            <w:tcW w:w="852"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1 583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Australian dollar term deposits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728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728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900</w:t>
            </w:r>
          </w:p>
        </w:tc>
        <w:tc>
          <w:tcPr>
            <w:tcW w:w="852"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1 131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Debt securities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w:t>
            </w:r>
          </w:p>
        </w:tc>
        <w:tc>
          <w:tcPr>
            <w:tcW w:w="852"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Derivative financial instruments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852"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non-current advances paid and investments, loans and placements</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8 402</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8 478</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7 663</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7 230</w:t>
            </w:r>
          </w:p>
        </w:tc>
        <w:tc>
          <w:tcPr>
            <w:tcW w:w="852"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7 413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 xml:space="preserve">Total advances paid and investments, </w:t>
            </w:r>
            <w:r w:rsidR="00A767A3">
              <w:rPr>
                <w:rFonts w:eastAsiaTheme="minorEastAsia" w:cs="Calibri"/>
                <w:b/>
                <w:bCs/>
                <w:color w:val="000000"/>
                <w:szCs w:val="18"/>
                <w:lang w:eastAsia="en-AU"/>
              </w:rPr>
              <w:br/>
            </w:r>
            <w:r w:rsidRPr="008D5734">
              <w:rPr>
                <w:rFonts w:eastAsiaTheme="minorEastAsia" w:cs="Calibri"/>
                <w:b/>
                <w:bCs/>
                <w:color w:val="000000"/>
                <w:szCs w:val="18"/>
                <w:lang w:eastAsia="en-AU"/>
              </w:rPr>
              <w:t>loans and placements</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12 486</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12 729</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11 348</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10 304</w:t>
            </w:r>
          </w:p>
        </w:tc>
        <w:tc>
          <w:tcPr>
            <w:tcW w:w="852"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10 049</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Represented by:</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2"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Advances paid</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8 289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8 524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6 641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5 342</w:t>
            </w:r>
          </w:p>
        </w:tc>
        <w:tc>
          <w:tcPr>
            <w:tcW w:w="852"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4 796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Investments, loans and placements</w:t>
            </w:r>
          </w:p>
        </w:tc>
        <w:tc>
          <w:tcPr>
            <w:tcW w:w="850" w:type="dxa"/>
            <w:tcBorders>
              <w:top w:val="nil"/>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4 197</w:t>
            </w:r>
          </w:p>
        </w:tc>
        <w:tc>
          <w:tcPr>
            <w:tcW w:w="850" w:type="dxa"/>
            <w:tcBorders>
              <w:top w:val="nil"/>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4 204</w:t>
            </w:r>
          </w:p>
        </w:tc>
        <w:tc>
          <w:tcPr>
            <w:tcW w:w="850" w:type="dxa"/>
            <w:tcBorders>
              <w:top w:val="nil"/>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4 707</w:t>
            </w:r>
          </w:p>
        </w:tc>
        <w:tc>
          <w:tcPr>
            <w:tcW w:w="850" w:type="dxa"/>
            <w:tcBorders>
              <w:top w:val="nil"/>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4 962</w:t>
            </w:r>
          </w:p>
        </w:tc>
        <w:tc>
          <w:tcPr>
            <w:tcW w:w="852" w:type="dxa"/>
            <w:tcBorders>
              <w:top w:val="nil"/>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5 253</w:t>
            </w:r>
          </w:p>
        </w:tc>
      </w:tr>
    </w:tbl>
    <w:p w:rsidR="004B6846" w:rsidRDefault="004B6846" w:rsidP="00CC0EB7">
      <w:pPr>
        <w:pStyle w:val="Source"/>
      </w:pPr>
      <w:r w:rsidRPr="00D87D22">
        <w:t>Source: Department of Treasury and Finance</w:t>
      </w:r>
    </w:p>
    <w:p w:rsidR="004B6846" w:rsidRPr="00B41AC3" w:rsidRDefault="004B6846" w:rsidP="00CC0EB7"/>
    <w:p w:rsidR="004B6846" w:rsidRPr="008D5734" w:rsidRDefault="004B6846" w:rsidP="004B6846">
      <w:pPr>
        <w:pStyle w:val="Heading3"/>
        <w:numPr>
          <w:ilvl w:val="2"/>
          <w:numId w:val="19"/>
        </w:numPr>
        <w:spacing w:after="60"/>
        <w:rPr>
          <w:lang w:val="en-US"/>
        </w:rPr>
      </w:pPr>
      <w:bookmarkStart w:id="70" w:name="_Toc530148114"/>
      <w:r>
        <w:t>Interest expense</w:t>
      </w:r>
      <w:r>
        <w:tab/>
        <w:t>($ million)</w:t>
      </w:r>
      <w:bookmarkEnd w:id="70"/>
    </w:p>
    <w:tbl>
      <w:tblPr>
        <w:tblStyle w:val="DTFTable"/>
        <w:tblW w:w="7780" w:type="dxa"/>
        <w:tblInd w:w="45" w:type="dxa"/>
        <w:tblLayout w:type="fixed"/>
        <w:tblCellMar>
          <w:left w:w="45" w:type="dxa"/>
          <w:right w:w="45" w:type="dxa"/>
        </w:tblCellMar>
        <w:tblLook w:val="06A0" w:firstRow="1" w:lastRow="0" w:firstColumn="1" w:lastColumn="0" w:noHBand="1" w:noVBand="1"/>
      </w:tblPr>
      <w:tblGrid>
        <w:gridCol w:w="3725"/>
        <w:gridCol w:w="811"/>
        <w:gridCol w:w="811"/>
        <w:gridCol w:w="811"/>
        <w:gridCol w:w="811"/>
        <w:gridCol w:w="811"/>
      </w:tblGrid>
      <w:tr w:rsidR="00CC0EB7" w:rsidRPr="008D573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725"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811"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11"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11"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11"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11"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72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Interest on interest-bearing liabilities</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1 266</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1 186</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1 227</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1 269</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8D5734">
              <w:rPr>
                <w:rFonts w:eastAsiaTheme="minorEastAsia" w:cs="Arial"/>
                <w:color w:val="000000"/>
                <w:szCs w:val="18"/>
                <w:lang w:eastAsia="en-AU"/>
              </w:rPr>
              <w:t>1 302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72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Finance charges on finance leases</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864</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867</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870</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906</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921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72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Discount interest on payables</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w:t>
            </w:r>
          </w:p>
        </w:tc>
        <w:tc>
          <w:tcPr>
            <w:tcW w:w="811"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725"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interest expense</w:t>
            </w:r>
          </w:p>
        </w:tc>
        <w:tc>
          <w:tcPr>
            <w:tcW w:w="811"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2 167</w:t>
            </w:r>
          </w:p>
        </w:tc>
        <w:tc>
          <w:tcPr>
            <w:tcW w:w="811"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2 090</w:t>
            </w:r>
          </w:p>
        </w:tc>
        <w:tc>
          <w:tcPr>
            <w:tcW w:w="811"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2 133</w:t>
            </w:r>
          </w:p>
        </w:tc>
        <w:tc>
          <w:tcPr>
            <w:tcW w:w="811"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2 211</w:t>
            </w:r>
          </w:p>
        </w:tc>
        <w:tc>
          <w:tcPr>
            <w:tcW w:w="811"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8D5734">
              <w:rPr>
                <w:rFonts w:eastAsiaTheme="minorEastAsia" w:cs="Arial"/>
                <w:b/>
                <w:bCs/>
                <w:color w:val="000000"/>
                <w:szCs w:val="18"/>
                <w:lang w:eastAsia="en-AU"/>
              </w:rPr>
              <w:t>2 260</w:t>
            </w:r>
          </w:p>
        </w:tc>
      </w:tr>
    </w:tbl>
    <w:p w:rsidR="004B6846" w:rsidRDefault="004B6846" w:rsidP="00CC0EB7">
      <w:pPr>
        <w:pStyle w:val="Source"/>
      </w:pPr>
      <w:r w:rsidRPr="00D87D22">
        <w:t>Source: Department of Treasury and Finance</w:t>
      </w:r>
    </w:p>
    <w:p w:rsidR="004B6846" w:rsidRDefault="004B6846" w:rsidP="00CC0EB7"/>
    <w:bookmarkEnd w:id="68"/>
    <w:p w:rsidR="004B6846" w:rsidRDefault="004B6846" w:rsidP="00CC0EB7"/>
    <w:p w:rsidR="004B6846" w:rsidRDefault="004B6846">
      <w:pPr>
        <w:keepLines w:val="0"/>
        <w:rPr>
          <w:rFonts w:asciiTheme="majorHAnsi" w:eastAsiaTheme="majorEastAsia" w:hAnsiTheme="majorHAnsi" w:cstheme="majorBidi"/>
          <w:b/>
          <w:spacing w:val="-2"/>
          <w:sz w:val="26"/>
          <w:szCs w:val="26"/>
        </w:rPr>
      </w:pPr>
      <w:r>
        <w:br w:type="page"/>
      </w:r>
    </w:p>
    <w:p w:rsidR="004B6846" w:rsidRDefault="004B6846" w:rsidP="004B6846">
      <w:pPr>
        <w:pStyle w:val="Heading2"/>
        <w:numPr>
          <w:ilvl w:val="1"/>
          <w:numId w:val="19"/>
        </w:numPr>
      </w:pPr>
      <w:r w:rsidRPr="00232E5E">
        <w:lastRenderedPageBreak/>
        <w:t>OTHER ASSETS AND LIABILITIES</w:t>
      </w:r>
    </w:p>
    <w:p w:rsidR="004B6846" w:rsidRDefault="004B6846" w:rsidP="004B6846">
      <w:pPr>
        <w:pStyle w:val="Heading2"/>
        <w:numPr>
          <w:ilvl w:val="1"/>
          <w:numId w:val="19"/>
        </w:numPr>
        <w:sectPr w:rsidR="004B6846" w:rsidSect="00CC0EB7">
          <w:type w:val="continuous"/>
          <w:pgSz w:w="9979" w:h="14175" w:code="9"/>
          <w:pgMar w:top="850" w:right="1134" w:bottom="850" w:left="1134" w:header="624" w:footer="567" w:gutter="0"/>
          <w:cols w:space="567"/>
          <w:titlePg/>
          <w:docGrid w:linePitch="360"/>
        </w:sectPr>
      </w:pPr>
    </w:p>
    <w:p w:rsidR="004B6846" w:rsidRDefault="004B6846" w:rsidP="00CC0EB7">
      <w:pPr>
        <w:pStyle w:val="Heading30"/>
        <w:pBdr>
          <w:bottom w:val="single" w:sz="4" w:space="1" w:color="auto"/>
        </w:pBdr>
      </w:pPr>
      <w:r>
        <w:t>Introduction</w:t>
      </w:r>
    </w:p>
    <w:p w:rsidR="004B6846" w:rsidRDefault="004B6846" w:rsidP="00CC0EB7">
      <w:r>
        <w:t>This section sets out other assets and liabilities that arise from the general government’s operations.</w:t>
      </w:r>
    </w:p>
    <w:p w:rsidR="004B6846" w:rsidRDefault="004B6846" w:rsidP="00CC0EB7">
      <w:pPr>
        <w:pStyle w:val="Heading30"/>
        <w:pBdr>
          <w:bottom w:val="single" w:sz="4" w:space="1" w:color="auto"/>
        </w:pBdr>
      </w:pPr>
      <w:r>
        <w:br w:type="column"/>
      </w:r>
      <w:r>
        <w:t>Structure</w:t>
      </w:r>
    </w:p>
    <w:p w:rsidR="004B6846" w:rsidRDefault="004B6846" w:rsidP="00C7540B">
      <w:pPr>
        <w:pStyle w:val="TOC9"/>
        <w:rPr>
          <w:rFonts w:eastAsiaTheme="minorEastAsia"/>
          <w:noProof/>
          <w:spacing w:val="0"/>
          <w:lang w:eastAsia="en-AU"/>
        </w:rPr>
      </w:pPr>
      <w:r>
        <w:fldChar w:fldCharType="begin"/>
      </w:r>
      <w:r>
        <w:instrText xml:space="preserve"> TOC \h \z \t "Heading 3 (#),9" \b Section_6 \* MERGEFORMAT </w:instrText>
      </w:r>
      <w:r>
        <w:fldChar w:fldCharType="separate"/>
      </w:r>
      <w:hyperlink w:anchor="_Toc530148234" w:history="1">
        <w:r w:rsidRPr="00F27108">
          <w:rPr>
            <w:rStyle w:val="Hyperlink"/>
            <w:noProof/>
            <w:lang w:val="en-US"/>
          </w:rPr>
          <w:t>4.6.1</w:t>
        </w:r>
        <w:r>
          <w:rPr>
            <w:rFonts w:eastAsiaTheme="minorEastAsia"/>
            <w:noProof/>
            <w:spacing w:val="0"/>
            <w:lang w:eastAsia="en-AU"/>
          </w:rPr>
          <w:tab/>
        </w:r>
        <w:r w:rsidRPr="00F27108">
          <w:rPr>
            <w:rStyle w:val="Hyperlink"/>
            <w:noProof/>
          </w:rPr>
          <w:t xml:space="preserve">Investments in other sector </w:t>
        </w:r>
        <w:r w:rsidR="00C7540B">
          <w:rPr>
            <w:rStyle w:val="Hyperlink"/>
            <w:noProof/>
          </w:rPr>
          <w:br/>
        </w:r>
        <w:r w:rsidRPr="00F27108">
          <w:rPr>
            <w:rStyle w:val="Hyperlink"/>
            <w:noProof/>
          </w:rPr>
          <w:t>entities</w:t>
        </w:r>
        <w:r>
          <w:rPr>
            <w:noProof/>
            <w:webHidden/>
          </w:rPr>
          <w:tab/>
        </w:r>
        <w:r>
          <w:rPr>
            <w:noProof/>
            <w:webHidden/>
          </w:rPr>
          <w:fldChar w:fldCharType="begin"/>
        </w:r>
        <w:r>
          <w:rPr>
            <w:noProof/>
            <w:webHidden/>
          </w:rPr>
          <w:instrText xml:space="preserve"> PAGEREF _Toc530148234 \h </w:instrText>
        </w:r>
        <w:r>
          <w:rPr>
            <w:noProof/>
            <w:webHidden/>
          </w:rPr>
        </w:r>
        <w:r>
          <w:rPr>
            <w:noProof/>
            <w:webHidden/>
          </w:rPr>
          <w:fldChar w:fldCharType="separate"/>
        </w:r>
        <w:r w:rsidR="004B094E">
          <w:rPr>
            <w:noProof/>
            <w:webHidden/>
          </w:rPr>
          <w:t>2</w:t>
        </w:r>
        <w:r>
          <w:rPr>
            <w:noProof/>
            <w:webHidden/>
          </w:rPr>
          <w:fldChar w:fldCharType="end"/>
        </w:r>
      </w:hyperlink>
    </w:p>
    <w:p w:rsidR="004B6846" w:rsidRDefault="00F919DB" w:rsidP="00C7540B">
      <w:pPr>
        <w:pStyle w:val="TOC9"/>
        <w:rPr>
          <w:rFonts w:eastAsiaTheme="minorEastAsia"/>
          <w:noProof/>
          <w:spacing w:val="0"/>
          <w:lang w:eastAsia="en-AU"/>
        </w:rPr>
      </w:pPr>
      <w:hyperlink w:anchor="_Toc530148235" w:history="1">
        <w:r w:rsidR="004B6846" w:rsidRPr="00F27108">
          <w:rPr>
            <w:rStyle w:val="Hyperlink"/>
            <w:noProof/>
            <w:lang w:val="en-US"/>
          </w:rPr>
          <w:t>4.6.2</w:t>
        </w:r>
        <w:r w:rsidR="004B6846">
          <w:rPr>
            <w:rFonts w:eastAsiaTheme="minorEastAsia"/>
            <w:noProof/>
            <w:spacing w:val="0"/>
            <w:lang w:eastAsia="en-AU"/>
          </w:rPr>
          <w:tab/>
        </w:r>
        <w:r w:rsidR="004B6846">
          <w:rPr>
            <w:rStyle w:val="Hyperlink"/>
            <w:noProof/>
          </w:rPr>
          <w:t>Payables</w:t>
        </w:r>
        <w:r w:rsidR="004B6846">
          <w:rPr>
            <w:noProof/>
            <w:webHidden/>
          </w:rPr>
          <w:tab/>
        </w:r>
        <w:r w:rsidR="004B6846">
          <w:rPr>
            <w:noProof/>
            <w:webHidden/>
          </w:rPr>
          <w:fldChar w:fldCharType="begin"/>
        </w:r>
        <w:r w:rsidR="004B6846">
          <w:rPr>
            <w:noProof/>
            <w:webHidden/>
          </w:rPr>
          <w:instrText xml:space="preserve"> PAGEREF _Toc530148235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F919DB" w:rsidP="00C7540B">
      <w:pPr>
        <w:pStyle w:val="TOC9"/>
        <w:rPr>
          <w:rFonts w:eastAsiaTheme="minorEastAsia"/>
          <w:noProof/>
          <w:spacing w:val="0"/>
          <w:lang w:eastAsia="en-AU"/>
        </w:rPr>
      </w:pPr>
      <w:hyperlink w:anchor="_Toc530148236" w:history="1">
        <w:r w:rsidR="004B6846" w:rsidRPr="00F27108">
          <w:rPr>
            <w:rStyle w:val="Hyperlink"/>
            <w:noProof/>
          </w:rPr>
          <w:t>4.6.3</w:t>
        </w:r>
        <w:r w:rsidR="004B6846">
          <w:rPr>
            <w:rFonts w:eastAsiaTheme="minorEastAsia"/>
            <w:noProof/>
            <w:spacing w:val="0"/>
            <w:lang w:eastAsia="en-AU"/>
          </w:rPr>
          <w:tab/>
        </w:r>
        <w:r w:rsidR="004B6846" w:rsidRPr="00F27108">
          <w:rPr>
            <w:rStyle w:val="Hyperlink"/>
            <w:noProof/>
          </w:rPr>
          <w:t>Superannuation</w:t>
        </w:r>
        <w:r w:rsidR="004B6846">
          <w:rPr>
            <w:noProof/>
            <w:webHidden/>
          </w:rPr>
          <w:tab/>
        </w:r>
        <w:r w:rsidR="004B6846">
          <w:rPr>
            <w:noProof/>
            <w:webHidden/>
          </w:rPr>
          <w:fldChar w:fldCharType="begin"/>
        </w:r>
        <w:r w:rsidR="004B6846">
          <w:rPr>
            <w:noProof/>
            <w:webHidden/>
          </w:rPr>
          <w:instrText xml:space="preserve"> PAGEREF _Toc530148236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4B6846" w:rsidP="00CC0EB7">
      <w:pPr>
        <w:rPr>
          <w:b/>
          <w:bCs/>
          <w:noProof/>
          <w:lang w:val="en-US"/>
        </w:rPr>
        <w:sectPr w:rsidR="004B6846" w:rsidSect="00CC0EB7">
          <w:type w:val="continuous"/>
          <w:pgSz w:w="9979" w:h="14175" w:code="9"/>
          <w:pgMar w:top="850" w:right="1134" w:bottom="850" w:left="1134" w:header="624" w:footer="567" w:gutter="0"/>
          <w:cols w:num="2" w:space="567"/>
          <w:titlePg/>
          <w:docGrid w:linePitch="360"/>
        </w:sectPr>
      </w:pPr>
      <w:r>
        <w:rPr>
          <w:b/>
          <w:bCs/>
          <w:noProof/>
          <w:lang w:val="en-US"/>
        </w:rPr>
        <w:fldChar w:fldCharType="end"/>
      </w:r>
    </w:p>
    <w:p w:rsidR="004B6846" w:rsidRPr="008D5734" w:rsidRDefault="004B6846" w:rsidP="004B6846">
      <w:pPr>
        <w:pStyle w:val="Heading3"/>
        <w:numPr>
          <w:ilvl w:val="2"/>
          <w:numId w:val="19"/>
        </w:numPr>
        <w:spacing w:after="60"/>
        <w:rPr>
          <w:lang w:val="en-US"/>
        </w:rPr>
      </w:pPr>
      <w:bookmarkStart w:id="71" w:name="_Toc530148234"/>
      <w:bookmarkStart w:id="72" w:name="Section_6"/>
      <w:r>
        <w:t>Investments in other sector entities</w:t>
      </w:r>
      <w:r>
        <w:tab/>
        <w:t>($ million)</w:t>
      </w:r>
      <w:bookmarkEnd w:id="71"/>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CC0EB7" w:rsidRPr="008D573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Balance of investment in PNFC and PFC sectors at beginning of period</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101 253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101 253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108 405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113 084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115 823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Net contributions to other sectors by owner</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5 749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5 130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3 528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2 205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1 846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Revaluation gain/(loss) for period</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2 021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1 152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Investment in other sector entities at end of period</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107 036</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108 405</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113 084</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115 823</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117 145</w:t>
            </w:r>
          </w:p>
        </w:tc>
      </w:tr>
    </w:tbl>
    <w:p w:rsidR="004B6846" w:rsidRDefault="004B6846" w:rsidP="00CC0EB7">
      <w:pPr>
        <w:pStyle w:val="Source"/>
      </w:pPr>
      <w:r w:rsidRPr="00D87D22">
        <w:t>Source: Department of Treasury and Finance</w:t>
      </w:r>
    </w:p>
    <w:p w:rsidR="004B6846" w:rsidRPr="00B41AC3" w:rsidRDefault="004B6846" w:rsidP="00CC0EB7"/>
    <w:p w:rsidR="004B6846" w:rsidRPr="008D5734" w:rsidRDefault="004B6846" w:rsidP="004B6846">
      <w:pPr>
        <w:pStyle w:val="Heading3"/>
        <w:numPr>
          <w:ilvl w:val="2"/>
          <w:numId w:val="19"/>
        </w:numPr>
        <w:spacing w:after="60"/>
        <w:rPr>
          <w:lang w:val="en-US"/>
        </w:rPr>
      </w:pPr>
      <w:bookmarkStart w:id="73" w:name="_Toc530148235"/>
      <w:r>
        <w:t>Payables</w:t>
      </w:r>
      <w:r>
        <w:tab/>
        <w:t>($ million)</w:t>
      </w:r>
      <w:bookmarkEnd w:id="73"/>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CC0EB7" w:rsidRPr="008D5734" w:rsidTr="00065FD3">
        <w:trPr>
          <w:cnfStyle w:val="100000000000" w:firstRow="1" w:lastRow="0" w:firstColumn="0" w:lastColumn="0" w:oddVBand="0" w:evenVBand="0" w:oddHBand="0" w:evenHBand="0" w:firstRowFirstColumn="0" w:firstRowLastColumn="0" w:lastRowFirstColumn="0" w:lastRowLastColumn="0"/>
          <w:trHeight w:val="125"/>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iCs/>
                <w:color w:val="FFFFFF"/>
                <w:lang w:eastAsia="en-AU"/>
              </w:rPr>
            </w:pPr>
            <w:r w:rsidRPr="008D5734">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Current payables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Accounts payable and accrued expenses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4 129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4 060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4 057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4 146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3 534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Accrued taxes payable</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Unearned income</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663</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675</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670</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667</w:t>
            </w:r>
          </w:p>
        </w:tc>
        <w:tc>
          <w:tcPr>
            <w:tcW w:w="850" w:type="dxa"/>
            <w:tcBorders>
              <w:top w:val="nil"/>
              <w:left w:val="nil"/>
              <w:bottom w:val="single" w:sz="6"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current payables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4 853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4 796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4 788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4 875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4 261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Non-current payables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Accounts payable and other payables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Unearned income</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3 600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4 457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4 183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3 909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D5734">
              <w:rPr>
                <w:rFonts w:eastAsiaTheme="minorEastAsia" w:cs="Calibri"/>
                <w:color w:val="000000"/>
                <w:szCs w:val="18"/>
                <w:lang w:eastAsia="en-AU"/>
              </w:rPr>
              <w:t>3 635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non-current payables</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3 785</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4 642</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4 370</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3 989</w:t>
            </w:r>
          </w:p>
        </w:tc>
        <w:tc>
          <w:tcPr>
            <w:tcW w:w="850" w:type="dxa"/>
            <w:tcBorders>
              <w:top w:val="single" w:sz="6" w:space="0" w:color="000000"/>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3 711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rPr>
                <w:rFonts w:eastAsiaTheme="minorEastAsia" w:cs="Calibri"/>
                <w:b/>
                <w:bCs/>
                <w:color w:val="000000"/>
                <w:szCs w:val="18"/>
                <w:lang w:eastAsia="en-AU"/>
              </w:rPr>
            </w:pPr>
            <w:r w:rsidRPr="008D5734">
              <w:rPr>
                <w:rFonts w:eastAsiaTheme="minorEastAsia" w:cs="Calibri"/>
                <w:b/>
                <w:bCs/>
                <w:color w:val="000000"/>
                <w:szCs w:val="18"/>
                <w:lang w:eastAsia="en-AU"/>
              </w:rPr>
              <w:t>Total payables</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8 638</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9 438</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9 157</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8 864</w:t>
            </w:r>
          </w:p>
        </w:tc>
        <w:tc>
          <w:tcPr>
            <w:tcW w:w="850" w:type="dxa"/>
            <w:tcBorders>
              <w:top w:val="single" w:sz="6" w:space="0" w:color="000000"/>
              <w:left w:val="nil"/>
              <w:bottom w:val="single" w:sz="12" w:space="0" w:color="000000"/>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8D5734">
              <w:rPr>
                <w:rFonts w:eastAsiaTheme="minorEastAsia" w:cs="Calibri"/>
                <w:b/>
                <w:bCs/>
                <w:color w:val="000000"/>
                <w:szCs w:val="18"/>
                <w:lang w:eastAsia="en-AU"/>
              </w:rPr>
              <w:t>7 972</w:t>
            </w:r>
          </w:p>
        </w:tc>
      </w:tr>
    </w:tbl>
    <w:p w:rsidR="004B6846" w:rsidRDefault="004B6846" w:rsidP="00CC0EB7">
      <w:pPr>
        <w:pStyle w:val="Source"/>
      </w:pPr>
      <w:r w:rsidRPr="00D87D22">
        <w:t>Source: Department of Treasury and Finance</w:t>
      </w:r>
    </w:p>
    <w:p w:rsidR="004B6846" w:rsidRDefault="004B6846" w:rsidP="00CC0EB7"/>
    <w:p w:rsidR="004B6846" w:rsidRPr="00B41AC3" w:rsidRDefault="004B6846" w:rsidP="00CC0EB7">
      <w:pPr>
        <w:pStyle w:val="Heading10"/>
      </w:pPr>
      <w:r>
        <w:br w:type="page"/>
      </w:r>
    </w:p>
    <w:p w:rsidR="004B6846" w:rsidRPr="00100807" w:rsidRDefault="004B6846" w:rsidP="004B6846">
      <w:pPr>
        <w:pStyle w:val="Heading3"/>
        <w:numPr>
          <w:ilvl w:val="2"/>
          <w:numId w:val="19"/>
        </w:numPr>
        <w:spacing w:after="60"/>
      </w:pPr>
      <w:bookmarkStart w:id="74" w:name="_Toc530148236"/>
      <w:r w:rsidRPr="00100807">
        <w:lastRenderedPageBreak/>
        <w:t>Superannuation</w:t>
      </w:r>
      <w:bookmarkEnd w:id="74"/>
    </w:p>
    <w:p w:rsidR="004B6846" w:rsidRPr="008D5734" w:rsidRDefault="004B6846" w:rsidP="00CC0EB7">
      <w:pPr>
        <w:pStyle w:val="TableHeading"/>
        <w:rPr>
          <w:bCs/>
          <w:lang w:val="en-US"/>
        </w:rPr>
      </w:pPr>
      <w:r>
        <w:t>Reconciliation of the superannuation liabilities</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CC0EB7" w:rsidRPr="008D5734" w:rsidTr="00065FD3">
        <w:trPr>
          <w:cnfStyle w:val="100000000000" w:firstRow="1" w:lastRow="0" w:firstColumn="0" w:lastColumn="0" w:oddVBand="0" w:evenVBand="0" w:oddHBand="0" w:evenHBand="0" w:firstRowFirstColumn="0" w:firstRowLastColumn="0" w:lastRowFirstColumn="0" w:lastRowLastColumn="0"/>
          <w:trHeight w:val="59"/>
          <w:tblHeader/>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right w:val="nil"/>
            </w:tcBorders>
            <w:shd w:val="solid" w:color="000000" w:fill="auto"/>
          </w:tcPr>
          <w:p w:rsidR="00CC0EB7" w:rsidRPr="008D5734" w:rsidRDefault="00CC0EB7" w:rsidP="00CC0EB7">
            <w:pPr>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single" w:sz="6" w:space="0" w:color="auto"/>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2018-19</w:t>
            </w:r>
            <w:r>
              <w:rPr>
                <w:rFonts w:eastAsiaTheme="minorEastAsia" w:cs="Calibri"/>
                <w:iCs/>
                <w:color w:val="FFFFFF"/>
                <w:szCs w:val="20"/>
                <w:lang w:eastAsia="en-AU"/>
              </w:rPr>
              <w:br/>
            </w:r>
            <w:r w:rsidRPr="008D5734">
              <w:rPr>
                <w:rFonts w:eastAsiaTheme="minorEastAsia" w:cs="Calibri"/>
                <w:iCs/>
                <w:color w:val="FFFFFF"/>
                <w:szCs w:val="20"/>
                <w:lang w:eastAsia="en-AU"/>
              </w:rPr>
              <w:t>budget</w:t>
            </w:r>
          </w:p>
        </w:tc>
        <w:tc>
          <w:tcPr>
            <w:tcW w:w="850" w:type="dxa"/>
            <w:tcBorders>
              <w:top w:val="single" w:sz="6" w:space="0" w:color="auto"/>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2018-19</w:t>
            </w:r>
            <w:r>
              <w:rPr>
                <w:rFonts w:eastAsiaTheme="minorEastAsia" w:cs="Calibri"/>
                <w:iCs/>
                <w:color w:val="FFFFFF"/>
                <w:szCs w:val="20"/>
                <w:lang w:eastAsia="en-AU"/>
              </w:rPr>
              <w:br/>
            </w:r>
            <w:r w:rsidRPr="008D5734">
              <w:rPr>
                <w:rFonts w:eastAsiaTheme="minorEastAsia" w:cs="Calibri"/>
                <w:iCs/>
                <w:color w:val="FFFFFF"/>
                <w:szCs w:val="20"/>
                <w:lang w:eastAsia="en-AU"/>
              </w:rPr>
              <w:t>revised</w:t>
            </w:r>
          </w:p>
        </w:tc>
        <w:tc>
          <w:tcPr>
            <w:tcW w:w="850" w:type="dxa"/>
            <w:tcBorders>
              <w:top w:val="single" w:sz="6" w:space="0" w:color="auto"/>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2019-20</w:t>
            </w:r>
            <w:r>
              <w:rPr>
                <w:rFonts w:eastAsiaTheme="minorEastAsia" w:cs="Calibri"/>
                <w:iCs/>
                <w:color w:val="FFFFFF"/>
                <w:szCs w:val="20"/>
                <w:lang w:eastAsia="en-AU"/>
              </w:rPr>
              <w:br/>
            </w:r>
            <w:r w:rsidRPr="008D5734">
              <w:rPr>
                <w:rFonts w:eastAsiaTheme="minorEastAsia" w:cs="Calibri"/>
                <w:iCs/>
                <w:color w:val="FFFFFF"/>
                <w:szCs w:val="20"/>
                <w:lang w:eastAsia="en-AU"/>
              </w:rPr>
              <w:t>estimate</w:t>
            </w:r>
          </w:p>
        </w:tc>
        <w:tc>
          <w:tcPr>
            <w:tcW w:w="850" w:type="dxa"/>
            <w:tcBorders>
              <w:top w:val="single" w:sz="6" w:space="0" w:color="auto"/>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2020-21</w:t>
            </w:r>
            <w:r>
              <w:rPr>
                <w:rFonts w:eastAsiaTheme="minorEastAsia" w:cs="Calibri"/>
                <w:iCs/>
                <w:color w:val="FFFFFF"/>
                <w:szCs w:val="20"/>
                <w:lang w:eastAsia="en-AU"/>
              </w:rPr>
              <w:br/>
            </w:r>
            <w:r w:rsidRPr="008D5734">
              <w:rPr>
                <w:rFonts w:eastAsiaTheme="minorEastAsia" w:cs="Calibri"/>
                <w:iCs/>
                <w:color w:val="FFFFFF"/>
                <w:szCs w:val="20"/>
                <w:lang w:eastAsia="en-AU"/>
              </w:rPr>
              <w:t>estimate</w:t>
            </w:r>
          </w:p>
        </w:tc>
        <w:tc>
          <w:tcPr>
            <w:tcW w:w="850" w:type="dxa"/>
            <w:tcBorders>
              <w:top w:val="single" w:sz="6" w:space="0" w:color="auto"/>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2021-22</w:t>
            </w:r>
            <w:r>
              <w:rPr>
                <w:rFonts w:eastAsiaTheme="minorEastAsia" w:cs="Calibri"/>
                <w:iCs/>
                <w:color w:val="FFFFFF"/>
                <w:szCs w:val="20"/>
                <w:lang w:eastAsia="en-AU"/>
              </w:rPr>
              <w:br/>
            </w:r>
            <w:r w:rsidRPr="008D5734">
              <w:rPr>
                <w:rFonts w:eastAsiaTheme="minorEastAsia" w:cs="Calibri"/>
                <w:iCs/>
                <w:color w:val="FFFFFF"/>
                <w:szCs w:val="20"/>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20"/>
                <w:lang w:eastAsia="en-AU"/>
              </w:rPr>
            </w:pPr>
            <w:r w:rsidRPr="008D5734">
              <w:rPr>
                <w:rFonts w:eastAsiaTheme="minorEastAsia" w:cs="Calibri"/>
                <w:b/>
                <w:bCs/>
                <w:color w:val="000000"/>
                <w:szCs w:val="20"/>
                <w:lang w:eastAsia="en-AU"/>
              </w:rPr>
              <w:t>Emergency Services and State Super</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Defined benefit obligation</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43 001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42 119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41 710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41 262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40 795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 xml:space="preserve">Tax liability </w:t>
            </w:r>
            <w:r w:rsidRPr="008D5734">
              <w:rPr>
                <w:rFonts w:eastAsiaTheme="minorEastAsia" w:cs="Calibri"/>
                <w:color w:val="000000"/>
                <w:szCs w:val="20"/>
                <w:vertAlign w:val="superscript"/>
                <w:lang w:eastAsia="en-AU"/>
              </w:rPr>
              <w:t>(a)</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2 438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2 438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2 338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2 235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2 140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Plan assets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(22 398)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(22 487)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(23 053)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(23 609)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(24 100)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rPr>
                <w:rFonts w:eastAsiaTheme="minorEastAsia" w:cs="Calibri"/>
                <w:b/>
                <w:bCs/>
                <w:color w:val="000000"/>
                <w:szCs w:val="20"/>
                <w:lang w:eastAsia="en-AU"/>
              </w:rPr>
            </w:pPr>
            <w:r w:rsidRPr="008D5734">
              <w:rPr>
                <w:rFonts w:eastAsiaTheme="minorEastAsia" w:cs="Calibri"/>
                <w:b/>
                <w:bCs/>
                <w:color w:val="000000"/>
                <w:szCs w:val="20"/>
                <w:lang w:eastAsia="en-AU"/>
              </w:rPr>
              <w:t>Net liability/(asset)</w:t>
            </w:r>
          </w:p>
        </w:tc>
        <w:tc>
          <w:tcPr>
            <w:tcW w:w="850"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23 042</w:t>
            </w:r>
          </w:p>
        </w:tc>
        <w:tc>
          <w:tcPr>
            <w:tcW w:w="850"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22 071</w:t>
            </w:r>
          </w:p>
        </w:tc>
        <w:tc>
          <w:tcPr>
            <w:tcW w:w="850"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20 995</w:t>
            </w:r>
          </w:p>
        </w:tc>
        <w:tc>
          <w:tcPr>
            <w:tcW w:w="850"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19 888</w:t>
            </w:r>
          </w:p>
        </w:tc>
        <w:tc>
          <w:tcPr>
            <w:tcW w:w="850"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18 835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20"/>
                <w:lang w:eastAsia="en-AU"/>
              </w:rPr>
            </w:pPr>
            <w:r w:rsidRPr="008D5734">
              <w:rPr>
                <w:rFonts w:eastAsiaTheme="minorEastAsia" w:cs="Calibri"/>
                <w:b/>
                <w:bCs/>
                <w:color w:val="000000"/>
                <w:szCs w:val="20"/>
                <w:lang w:eastAsia="en-AU"/>
              </w:rPr>
              <w:t xml:space="preserve">Other funds </w:t>
            </w:r>
            <w:r w:rsidRPr="008D5734">
              <w:rPr>
                <w:rFonts w:eastAsiaTheme="minorEastAsia" w:cs="Calibri"/>
                <w:b/>
                <w:bCs/>
                <w:color w:val="000000"/>
                <w:szCs w:val="20"/>
                <w:vertAlign w:val="superscript"/>
                <w:lang w:eastAsia="en-AU"/>
              </w:rPr>
              <w:t>(b)</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Defined benefit obligation</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2 125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2 157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2 161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2 164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2 183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 xml:space="preserve">Tax liability </w:t>
            </w:r>
            <w:r w:rsidRPr="008D5734">
              <w:rPr>
                <w:rFonts w:eastAsiaTheme="minorEastAsia" w:cs="Calibri"/>
                <w:color w:val="000000"/>
                <w:szCs w:val="20"/>
                <w:vertAlign w:val="superscript"/>
                <w:lang w:eastAsia="en-AU"/>
              </w:rPr>
              <w:t>(a)</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Plan assets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(1 002)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(960)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(936)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(912)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(891)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rPr>
                <w:rFonts w:eastAsiaTheme="minorEastAsia" w:cs="Calibri"/>
                <w:b/>
                <w:bCs/>
                <w:color w:val="000000"/>
                <w:szCs w:val="20"/>
                <w:lang w:eastAsia="en-AU"/>
              </w:rPr>
            </w:pPr>
            <w:r w:rsidRPr="008D5734">
              <w:rPr>
                <w:rFonts w:eastAsiaTheme="minorEastAsia" w:cs="Calibri"/>
                <w:b/>
                <w:bCs/>
                <w:color w:val="000000"/>
                <w:szCs w:val="20"/>
                <w:lang w:eastAsia="en-AU"/>
              </w:rPr>
              <w:t>Net liability/(asset)</w:t>
            </w:r>
          </w:p>
        </w:tc>
        <w:tc>
          <w:tcPr>
            <w:tcW w:w="850"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1 123</w:t>
            </w:r>
          </w:p>
        </w:tc>
        <w:tc>
          <w:tcPr>
            <w:tcW w:w="850"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1 197</w:t>
            </w:r>
          </w:p>
        </w:tc>
        <w:tc>
          <w:tcPr>
            <w:tcW w:w="850"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1 225</w:t>
            </w:r>
          </w:p>
        </w:tc>
        <w:tc>
          <w:tcPr>
            <w:tcW w:w="850"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1 251</w:t>
            </w:r>
          </w:p>
        </w:tc>
        <w:tc>
          <w:tcPr>
            <w:tcW w:w="850"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1 292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20"/>
                <w:lang w:eastAsia="en-AU"/>
              </w:rPr>
            </w:pPr>
            <w:r w:rsidRPr="008D5734">
              <w:rPr>
                <w:rFonts w:eastAsiaTheme="minorEastAsia" w:cs="Calibri"/>
                <w:b/>
                <w:bCs/>
                <w:color w:val="000000"/>
                <w:szCs w:val="20"/>
                <w:lang w:eastAsia="en-AU"/>
              </w:rPr>
              <w:t>Total superannuation</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Defined benefit obligation</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45 126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44 276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43 871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43 426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42 978</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 xml:space="preserve">Tax liability </w:t>
            </w:r>
            <w:r w:rsidRPr="008D5734">
              <w:rPr>
                <w:rFonts w:eastAsiaTheme="minorEastAsia" w:cs="Calibri"/>
                <w:color w:val="000000"/>
                <w:szCs w:val="20"/>
                <w:vertAlign w:val="superscript"/>
                <w:lang w:eastAsia="en-AU"/>
              </w:rPr>
              <w:t>(a)</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2 438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2 438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2 338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2 235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2 140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Plan assets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(23 400)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(23 446)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(23 989)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(24 522)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(24 991)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rPr>
                <w:rFonts w:eastAsiaTheme="minorEastAsia" w:cs="Calibri"/>
                <w:b/>
                <w:bCs/>
                <w:color w:val="000000"/>
                <w:szCs w:val="20"/>
                <w:lang w:eastAsia="en-AU"/>
              </w:rPr>
            </w:pPr>
            <w:r w:rsidRPr="008D5734">
              <w:rPr>
                <w:rFonts w:eastAsiaTheme="minorEastAsia" w:cs="Calibri"/>
                <w:b/>
                <w:bCs/>
                <w:color w:val="000000"/>
                <w:szCs w:val="20"/>
                <w:lang w:eastAsia="en-AU"/>
              </w:rPr>
              <w:t>Superannuation liability</w:t>
            </w:r>
          </w:p>
        </w:tc>
        <w:tc>
          <w:tcPr>
            <w:tcW w:w="850"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24 164</w:t>
            </w:r>
          </w:p>
        </w:tc>
        <w:tc>
          <w:tcPr>
            <w:tcW w:w="850"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23 268</w:t>
            </w:r>
          </w:p>
        </w:tc>
        <w:tc>
          <w:tcPr>
            <w:tcW w:w="850"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22 220</w:t>
            </w:r>
          </w:p>
        </w:tc>
        <w:tc>
          <w:tcPr>
            <w:tcW w:w="850"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21 139</w:t>
            </w:r>
          </w:p>
        </w:tc>
        <w:tc>
          <w:tcPr>
            <w:tcW w:w="850"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20 127</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20"/>
                <w:lang w:eastAsia="en-AU"/>
              </w:rPr>
            </w:pPr>
            <w:r w:rsidRPr="008D5734">
              <w:rPr>
                <w:rFonts w:eastAsiaTheme="minorEastAsia" w:cs="Calibri"/>
                <w:b/>
                <w:bCs/>
                <w:color w:val="000000"/>
                <w:szCs w:val="20"/>
                <w:lang w:eastAsia="en-AU"/>
              </w:rPr>
              <w:t>Represented by:</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Current liability</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1 082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1 082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1 075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1 007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1 095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Non-current liability</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23 083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22 187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21 144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20 132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19 032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shd w:val="solid" w:color="FFFFFF" w:fill="auto"/>
          </w:tcPr>
          <w:p w:rsidR="004B6846" w:rsidRPr="008D5734" w:rsidRDefault="004B6846" w:rsidP="00CC0EB7">
            <w:pPr>
              <w:keepLines w:val="0"/>
              <w:autoSpaceDE w:val="0"/>
              <w:autoSpaceDN w:val="0"/>
              <w:adjustRightInd w:val="0"/>
              <w:rPr>
                <w:rFonts w:eastAsiaTheme="minorEastAsia" w:cs="Calibri"/>
                <w:b/>
                <w:bCs/>
                <w:color w:val="000000"/>
                <w:szCs w:val="20"/>
                <w:lang w:eastAsia="en-AU"/>
              </w:rPr>
            </w:pPr>
            <w:r w:rsidRPr="008D5734">
              <w:rPr>
                <w:rFonts w:eastAsiaTheme="minorEastAsia" w:cs="Calibri"/>
                <w:b/>
                <w:bCs/>
                <w:color w:val="000000"/>
                <w:szCs w:val="20"/>
                <w:lang w:eastAsia="en-AU"/>
              </w:rPr>
              <w:t>Total superannuation liability</w:t>
            </w:r>
          </w:p>
        </w:tc>
        <w:tc>
          <w:tcPr>
            <w:tcW w:w="850" w:type="dxa"/>
            <w:tcBorders>
              <w:top w:val="single" w:sz="6" w:space="0" w:color="auto"/>
              <w:left w:val="nil"/>
              <w:bottom w:val="single" w:sz="12"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24 164</w:t>
            </w:r>
          </w:p>
        </w:tc>
        <w:tc>
          <w:tcPr>
            <w:tcW w:w="850" w:type="dxa"/>
            <w:tcBorders>
              <w:top w:val="single" w:sz="6" w:space="0" w:color="auto"/>
              <w:left w:val="nil"/>
              <w:bottom w:val="single" w:sz="12"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23 268</w:t>
            </w:r>
          </w:p>
        </w:tc>
        <w:tc>
          <w:tcPr>
            <w:tcW w:w="850" w:type="dxa"/>
            <w:tcBorders>
              <w:top w:val="single" w:sz="6" w:space="0" w:color="auto"/>
              <w:left w:val="nil"/>
              <w:bottom w:val="single" w:sz="12"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22 220</w:t>
            </w:r>
          </w:p>
        </w:tc>
        <w:tc>
          <w:tcPr>
            <w:tcW w:w="850" w:type="dxa"/>
            <w:tcBorders>
              <w:top w:val="single" w:sz="6" w:space="0" w:color="auto"/>
              <w:left w:val="nil"/>
              <w:bottom w:val="single" w:sz="12"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21 139</w:t>
            </w:r>
          </w:p>
        </w:tc>
        <w:tc>
          <w:tcPr>
            <w:tcW w:w="850" w:type="dxa"/>
            <w:tcBorders>
              <w:top w:val="single" w:sz="6" w:space="0" w:color="auto"/>
              <w:left w:val="nil"/>
              <w:bottom w:val="single" w:sz="12"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20 127</w:t>
            </w:r>
          </w:p>
        </w:tc>
      </w:tr>
    </w:tbl>
    <w:p w:rsidR="004B6846" w:rsidRPr="00685E7E" w:rsidRDefault="004B6846" w:rsidP="00CC0EB7">
      <w:pPr>
        <w:pStyle w:val="Source"/>
        <w:rPr>
          <w:bCs/>
          <w:lang w:val="en-US"/>
        </w:rPr>
      </w:pPr>
      <w:r>
        <w:fldChar w:fldCharType="begin"/>
      </w:r>
      <w:r>
        <w:instrText xml:space="preserve"> LINK </w:instrText>
      </w:r>
      <w:r w:rsidR="003C6991">
        <w:instrText xml:space="preserve">Excel.Sheet.12 "\\\\PDCPTPRDFIL01\\DTFDATA02$\\SECURED\\Rawdata\\Eco_Statement\\2018-19\\Financial Statements\\Eco_2018_19_Superannuation.xlsx" Super!Super_d </w:instrText>
      </w:r>
      <w:r>
        <w:instrText xml:space="preserve">\f 4 \r \* MERGEFORMAT \Id 1581 </w:instrText>
      </w:r>
      <w:r>
        <w:fldChar w:fldCharType="end"/>
      </w:r>
      <w:r w:rsidRPr="00D87D22">
        <w:t>Source: Department of Treasury and Finance</w:t>
      </w:r>
    </w:p>
    <w:p w:rsidR="004B6846" w:rsidRDefault="004B6846" w:rsidP="00CC0EB7">
      <w:pPr>
        <w:pStyle w:val="Note"/>
      </w:pPr>
      <w:r>
        <w:t>Notes:</w:t>
      </w:r>
    </w:p>
    <w:p w:rsidR="004B6846" w:rsidRDefault="004B6846" w:rsidP="00CC0EB7">
      <w:pPr>
        <w:pStyle w:val="Note"/>
      </w:pPr>
      <w:r>
        <w:t>(a)</w:t>
      </w:r>
      <w:r>
        <w:tab/>
        <w:t>Tax liability represents the present value of tax payments on contributions that are expected to be required to fund accrued benefits.</w:t>
      </w:r>
    </w:p>
    <w:p w:rsidR="004B6846" w:rsidRPr="00AE2253" w:rsidRDefault="004B6846" w:rsidP="00CC0EB7">
      <w:pPr>
        <w:pStyle w:val="Note"/>
      </w:pPr>
      <w:r>
        <w:t>(b)</w:t>
      </w:r>
      <w:r>
        <w:tab/>
        <w:t>Other funds include constitutionally protected schemes and the State’s share of liabilities of the Defined Benefit Scheme of the Health Super Fund.</w:t>
      </w:r>
    </w:p>
    <w:p w:rsidR="004B6846" w:rsidRDefault="004B6846" w:rsidP="00CC0EB7">
      <w:pPr>
        <w:keepLines w:val="0"/>
      </w:pPr>
    </w:p>
    <w:p w:rsidR="004B6846" w:rsidRDefault="004B6846" w:rsidP="00CC0EB7">
      <w:r>
        <w:t xml:space="preserve">See Note 4.3.2 </w:t>
      </w:r>
      <w:r w:rsidRPr="006B42C1">
        <w:rPr>
          <w:i/>
        </w:rPr>
        <w:t xml:space="preserve">Superannuation expense and other superannuation expenses </w:t>
      </w:r>
      <w:r>
        <w:t>for further information on superannuation assumptions.</w:t>
      </w:r>
    </w:p>
    <w:p w:rsidR="004B6846" w:rsidRDefault="004B6846" w:rsidP="00CC0EB7">
      <w:pPr>
        <w:keepLines w:val="0"/>
        <w:rPr>
          <w:rFonts w:asciiTheme="majorHAnsi" w:hAnsiTheme="majorHAnsi"/>
          <w:b/>
          <w:sz w:val="20"/>
          <w:szCs w:val="20"/>
        </w:rPr>
      </w:pPr>
      <w:r>
        <w:br w:type="page"/>
      </w:r>
    </w:p>
    <w:p w:rsidR="004B6846" w:rsidRPr="008D5734" w:rsidRDefault="004B6846" w:rsidP="00CC0EB7">
      <w:pPr>
        <w:pStyle w:val="TableHeading"/>
        <w:rPr>
          <w:bCs/>
          <w:lang w:val="en-US"/>
        </w:rPr>
      </w:pPr>
      <w:r w:rsidRPr="00771D23">
        <w:lastRenderedPageBreak/>
        <w:t>Reconciliation of the present value of the defined benefit obligation</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CC0EB7" w:rsidRPr="008D5734" w:rsidTr="00065FD3">
        <w:trPr>
          <w:cnfStyle w:val="100000000000" w:firstRow="1" w:lastRow="0" w:firstColumn="0" w:lastColumn="0" w:oddVBand="0" w:evenVBand="0" w:oddHBand="0" w:evenHBand="0" w:firstRowFirstColumn="0" w:firstRowLastColumn="0" w:lastRowFirstColumn="0" w:lastRowLastColumn="0"/>
          <w:trHeight w:val="196"/>
          <w:tblHeader/>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right w:val="nil"/>
            </w:tcBorders>
            <w:shd w:val="solid" w:color="000000" w:fill="auto"/>
          </w:tcPr>
          <w:p w:rsidR="00CC0EB7" w:rsidRPr="008D5734" w:rsidRDefault="00CC0EB7" w:rsidP="00CC0EB7">
            <w:pPr>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single" w:sz="6" w:space="0" w:color="auto"/>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2018-19</w:t>
            </w:r>
            <w:r>
              <w:rPr>
                <w:rFonts w:eastAsiaTheme="minorEastAsia" w:cs="Calibri"/>
                <w:iCs/>
                <w:color w:val="FFFFFF"/>
                <w:szCs w:val="20"/>
                <w:lang w:eastAsia="en-AU"/>
              </w:rPr>
              <w:br/>
            </w:r>
            <w:r w:rsidRPr="008D5734">
              <w:rPr>
                <w:rFonts w:eastAsiaTheme="minorEastAsia" w:cs="Calibri"/>
                <w:iCs/>
                <w:color w:val="FFFFFF"/>
                <w:szCs w:val="20"/>
                <w:lang w:eastAsia="en-AU"/>
              </w:rPr>
              <w:t>budget</w:t>
            </w:r>
          </w:p>
        </w:tc>
        <w:tc>
          <w:tcPr>
            <w:tcW w:w="850" w:type="dxa"/>
            <w:tcBorders>
              <w:top w:val="single" w:sz="6" w:space="0" w:color="auto"/>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2018-19</w:t>
            </w:r>
            <w:r>
              <w:rPr>
                <w:rFonts w:eastAsiaTheme="minorEastAsia" w:cs="Calibri"/>
                <w:iCs/>
                <w:color w:val="FFFFFF"/>
                <w:szCs w:val="20"/>
                <w:lang w:eastAsia="en-AU"/>
              </w:rPr>
              <w:br/>
            </w:r>
            <w:r w:rsidRPr="008D5734">
              <w:rPr>
                <w:rFonts w:eastAsiaTheme="minorEastAsia" w:cs="Calibri"/>
                <w:iCs/>
                <w:color w:val="FFFFFF"/>
                <w:szCs w:val="20"/>
                <w:lang w:eastAsia="en-AU"/>
              </w:rPr>
              <w:t>revised</w:t>
            </w:r>
          </w:p>
        </w:tc>
        <w:tc>
          <w:tcPr>
            <w:tcW w:w="850" w:type="dxa"/>
            <w:tcBorders>
              <w:top w:val="single" w:sz="6" w:space="0" w:color="auto"/>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2019-20</w:t>
            </w:r>
            <w:r>
              <w:rPr>
                <w:rFonts w:eastAsiaTheme="minorEastAsia" w:cs="Calibri"/>
                <w:iCs/>
                <w:color w:val="FFFFFF"/>
                <w:szCs w:val="20"/>
                <w:lang w:eastAsia="en-AU"/>
              </w:rPr>
              <w:br/>
            </w:r>
            <w:r w:rsidRPr="008D5734">
              <w:rPr>
                <w:rFonts w:eastAsiaTheme="minorEastAsia" w:cs="Calibri"/>
                <w:iCs/>
                <w:color w:val="FFFFFF"/>
                <w:szCs w:val="20"/>
                <w:lang w:eastAsia="en-AU"/>
              </w:rPr>
              <w:t>estimate</w:t>
            </w:r>
          </w:p>
        </w:tc>
        <w:tc>
          <w:tcPr>
            <w:tcW w:w="850" w:type="dxa"/>
            <w:tcBorders>
              <w:top w:val="single" w:sz="6" w:space="0" w:color="auto"/>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2020-21</w:t>
            </w:r>
            <w:r>
              <w:rPr>
                <w:rFonts w:eastAsiaTheme="minorEastAsia" w:cs="Calibri"/>
                <w:iCs/>
                <w:color w:val="FFFFFF"/>
                <w:szCs w:val="20"/>
                <w:lang w:eastAsia="en-AU"/>
              </w:rPr>
              <w:br/>
            </w:r>
            <w:r w:rsidRPr="008D5734">
              <w:rPr>
                <w:rFonts w:eastAsiaTheme="minorEastAsia" w:cs="Calibri"/>
                <w:iCs/>
                <w:color w:val="FFFFFF"/>
                <w:szCs w:val="20"/>
                <w:lang w:eastAsia="en-AU"/>
              </w:rPr>
              <w:t>estimate</w:t>
            </w:r>
          </w:p>
        </w:tc>
        <w:tc>
          <w:tcPr>
            <w:tcW w:w="850" w:type="dxa"/>
            <w:tcBorders>
              <w:top w:val="single" w:sz="6" w:space="0" w:color="auto"/>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2021-22</w:t>
            </w:r>
            <w:r>
              <w:rPr>
                <w:rFonts w:eastAsiaTheme="minorEastAsia" w:cs="Calibri"/>
                <w:iCs/>
                <w:color w:val="FFFFFF"/>
                <w:szCs w:val="20"/>
                <w:lang w:eastAsia="en-AU"/>
              </w:rPr>
              <w:br/>
            </w:r>
            <w:r w:rsidRPr="008D5734">
              <w:rPr>
                <w:rFonts w:eastAsiaTheme="minorEastAsia" w:cs="Calibri"/>
                <w:iCs/>
                <w:color w:val="FFFFFF"/>
                <w:szCs w:val="20"/>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20"/>
                <w:lang w:eastAsia="en-AU"/>
              </w:rPr>
            </w:pPr>
            <w:r w:rsidRPr="008D5734">
              <w:rPr>
                <w:rFonts w:eastAsiaTheme="minorEastAsia" w:cs="Calibri"/>
                <w:b/>
                <w:bCs/>
                <w:color w:val="000000"/>
                <w:szCs w:val="20"/>
                <w:lang w:eastAsia="en-AU"/>
              </w:rPr>
              <w:t>Opening balance of defined benefit obligation</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48 151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48 151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46 715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46 208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45 661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Current service cost</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918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1 000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992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1 002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1 051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Interest expense</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1 270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1 314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1 287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1 272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1 257</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Contributions by plan participants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203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Actuarial and other adjustments to unfunded superannuation liability</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(917)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Benefits paid</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(2 968)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(3 036)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(2 984)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(3 017)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(3 044)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rPr>
                <w:rFonts w:eastAsiaTheme="minorEastAsia" w:cs="Calibri"/>
                <w:b/>
                <w:bCs/>
                <w:color w:val="000000"/>
                <w:szCs w:val="20"/>
                <w:lang w:eastAsia="en-AU"/>
              </w:rPr>
            </w:pPr>
            <w:r w:rsidRPr="008D5734">
              <w:rPr>
                <w:rFonts w:eastAsiaTheme="minorEastAsia" w:cs="Calibri"/>
                <w:b/>
                <w:bCs/>
                <w:color w:val="000000"/>
                <w:szCs w:val="20"/>
                <w:lang w:eastAsia="en-AU"/>
              </w:rPr>
              <w:t>Closing balance of defined benefit obligation</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47 564</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46 715</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46 208</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45 661</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45 117</w:t>
            </w:r>
          </w:p>
        </w:tc>
      </w:tr>
    </w:tbl>
    <w:p w:rsidR="004B6846" w:rsidRPr="00685E7E" w:rsidRDefault="004B6846" w:rsidP="00CC0EB7">
      <w:pPr>
        <w:pStyle w:val="Source"/>
        <w:rPr>
          <w:bCs/>
          <w:lang w:val="en-US"/>
        </w:rPr>
      </w:pPr>
      <w:r>
        <w:fldChar w:fldCharType="begin"/>
      </w:r>
      <w:r>
        <w:instrText xml:space="preserve"> LINK </w:instrText>
      </w:r>
      <w:r w:rsidR="003C6991">
        <w:instrText xml:space="preserve">Excel.Sheet.12 "\\\\PDCPTPRDFIL01\\DTFDATA02$\\SECURED\\Rawdata\\Eco_Statement\\2018-19\\Financial Statements\\Eco_2018_19_Superannuation.xlsx" Super!Super_b </w:instrText>
      </w:r>
      <w:r>
        <w:instrText xml:space="preserve">\f 4 \r \* MERGEFORMAT \Id 1583 </w:instrText>
      </w:r>
      <w:r>
        <w:fldChar w:fldCharType="end"/>
      </w:r>
      <w:r w:rsidRPr="00D87D22">
        <w:t>Source: Department of Treasury and Finance</w:t>
      </w:r>
    </w:p>
    <w:p w:rsidR="004B6846" w:rsidRDefault="004B6846" w:rsidP="00CC0EB7"/>
    <w:p w:rsidR="004B6846" w:rsidRPr="008D5734" w:rsidRDefault="004B6846" w:rsidP="00CC0EB7">
      <w:pPr>
        <w:pStyle w:val="TableHeading"/>
        <w:rPr>
          <w:bCs/>
          <w:lang w:val="en-US"/>
        </w:rPr>
      </w:pPr>
      <w:r w:rsidRPr="00771D23">
        <w:t>Reconciliation of the fair value of superannuation plan assets</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CC0EB7" w:rsidRPr="008D5734" w:rsidTr="00065FD3">
        <w:trPr>
          <w:cnfStyle w:val="100000000000" w:firstRow="1" w:lastRow="0" w:firstColumn="0" w:lastColumn="0" w:oddVBand="0" w:evenVBand="0" w:oddHBand="0" w:evenHBand="0" w:firstRowFirstColumn="0" w:firstRowLastColumn="0" w:lastRowFirstColumn="0" w:lastRowLastColumn="0"/>
          <w:trHeight w:val="59"/>
          <w:tblHeader/>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right w:val="nil"/>
            </w:tcBorders>
            <w:shd w:val="solid" w:color="000000" w:fill="auto"/>
          </w:tcPr>
          <w:p w:rsidR="00CC0EB7" w:rsidRPr="008D5734" w:rsidRDefault="00CC0EB7" w:rsidP="00CC0EB7">
            <w:pPr>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 xml:space="preserve">  </w:t>
            </w:r>
          </w:p>
        </w:tc>
        <w:tc>
          <w:tcPr>
            <w:tcW w:w="850" w:type="dxa"/>
            <w:tcBorders>
              <w:top w:val="single" w:sz="6" w:space="0" w:color="auto"/>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2018-19</w:t>
            </w:r>
            <w:r>
              <w:rPr>
                <w:rFonts w:eastAsiaTheme="minorEastAsia" w:cs="Calibri"/>
                <w:iCs/>
                <w:color w:val="FFFFFF"/>
                <w:szCs w:val="20"/>
                <w:lang w:eastAsia="en-AU"/>
              </w:rPr>
              <w:br/>
            </w:r>
            <w:r w:rsidRPr="008D5734">
              <w:rPr>
                <w:rFonts w:eastAsiaTheme="minorEastAsia" w:cs="Calibri"/>
                <w:iCs/>
                <w:color w:val="FFFFFF"/>
                <w:szCs w:val="20"/>
                <w:lang w:eastAsia="en-AU"/>
              </w:rPr>
              <w:t>budget</w:t>
            </w:r>
          </w:p>
        </w:tc>
        <w:tc>
          <w:tcPr>
            <w:tcW w:w="850" w:type="dxa"/>
            <w:tcBorders>
              <w:top w:val="single" w:sz="6" w:space="0" w:color="auto"/>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2018-19</w:t>
            </w:r>
            <w:r>
              <w:rPr>
                <w:rFonts w:eastAsiaTheme="minorEastAsia" w:cs="Calibri"/>
                <w:iCs/>
                <w:color w:val="FFFFFF"/>
                <w:szCs w:val="20"/>
                <w:lang w:eastAsia="en-AU"/>
              </w:rPr>
              <w:br/>
            </w:r>
            <w:r w:rsidRPr="008D5734">
              <w:rPr>
                <w:rFonts w:eastAsiaTheme="minorEastAsia" w:cs="Calibri"/>
                <w:iCs/>
                <w:color w:val="FFFFFF"/>
                <w:szCs w:val="20"/>
                <w:lang w:eastAsia="en-AU"/>
              </w:rPr>
              <w:t>revised</w:t>
            </w:r>
          </w:p>
        </w:tc>
        <w:tc>
          <w:tcPr>
            <w:tcW w:w="850" w:type="dxa"/>
            <w:tcBorders>
              <w:top w:val="single" w:sz="6" w:space="0" w:color="auto"/>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2019-20</w:t>
            </w:r>
            <w:r>
              <w:rPr>
                <w:rFonts w:eastAsiaTheme="minorEastAsia" w:cs="Calibri"/>
                <w:iCs/>
                <w:color w:val="FFFFFF"/>
                <w:szCs w:val="20"/>
                <w:lang w:eastAsia="en-AU"/>
              </w:rPr>
              <w:br/>
            </w:r>
            <w:r w:rsidRPr="008D5734">
              <w:rPr>
                <w:rFonts w:eastAsiaTheme="minorEastAsia" w:cs="Calibri"/>
                <w:iCs/>
                <w:color w:val="FFFFFF"/>
                <w:szCs w:val="20"/>
                <w:lang w:eastAsia="en-AU"/>
              </w:rPr>
              <w:t>estimate</w:t>
            </w:r>
          </w:p>
        </w:tc>
        <w:tc>
          <w:tcPr>
            <w:tcW w:w="850" w:type="dxa"/>
            <w:tcBorders>
              <w:top w:val="single" w:sz="6" w:space="0" w:color="auto"/>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2020-21</w:t>
            </w:r>
            <w:r>
              <w:rPr>
                <w:rFonts w:eastAsiaTheme="minorEastAsia" w:cs="Calibri"/>
                <w:iCs/>
                <w:color w:val="FFFFFF"/>
                <w:szCs w:val="20"/>
                <w:lang w:eastAsia="en-AU"/>
              </w:rPr>
              <w:br/>
            </w:r>
            <w:r w:rsidRPr="008D5734">
              <w:rPr>
                <w:rFonts w:eastAsiaTheme="minorEastAsia" w:cs="Calibri"/>
                <w:iCs/>
                <w:color w:val="FFFFFF"/>
                <w:szCs w:val="20"/>
                <w:lang w:eastAsia="en-AU"/>
              </w:rPr>
              <w:t>estimate</w:t>
            </w:r>
          </w:p>
        </w:tc>
        <w:tc>
          <w:tcPr>
            <w:tcW w:w="850" w:type="dxa"/>
            <w:tcBorders>
              <w:top w:val="single" w:sz="6" w:space="0" w:color="auto"/>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2021-22</w:t>
            </w:r>
            <w:r>
              <w:rPr>
                <w:rFonts w:eastAsiaTheme="minorEastAsia" w:cs="Calibri"/>
                <w:iCs/>
                <w:color w:val="FFFFFF"/>
                <w:szCs w:val="20"/>
                <w:lang w:eastAsia="en-AU"/>
              </w:rPr>
              <w:br/>
            </w:r>
            <w:r w:rsidRPr="008D5734">
              <w:rPr>
                <w:rFonts w:eastAsiaTheme="minorEastAsia" w:cs="Calibri"/>
                <w:iCs/>
                <w:color w:val="FFFFFF"/>
                <w:szCs w:val="20"/>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szCs w:val="20"/>
                <w:lang w:eastAsia="en-AU"/>
              </w:rPr>
            </w:pPr>
            <w:r w:rsidRPr="008D5734">
              <w:rPr>
                <w:rFonts w:eastAsiaTheme="minorEastAsia" w:cs="Calibri"/>
                <w:b/>
                <w:bCs/>
                <w:color w:val="000000"/>
                <w:szCs w:val="20"/>
                <w:lang w:eastAsia="en-AU"/>
              </w:rPr>
              <w:t>Opening balance of plan assets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22 946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22 946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23 446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23 989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24 522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Interest income</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607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626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648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663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676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 xml:space="preserve">Return on plan assets not included in </w:t>
            </w:r>
            <w:r w:rsidR="00A767A3">
              <w:rPr>
                <w:rFonts w:eastAsiaTheme="minorEastAsia" w:cs="Calibri"/>
                <w:color w:val="000000"/>
                <w:szCs w:val="20"/>
                <w:lang w:eastAsia="en-AU"/>
              </w:rPr>
              <w:br/>
            </w:r>
            <w:r w:rsidRPr="008D5734">
              <w:rPr>
                <w:rFonts w:eastAsiaTheme="minorEastAsia" w:cs="Calibri"/>
                <w:color w:val="000000"/>
                <w:szCs w:val="20"/>
                <w:lang w:eastAsia="en-AU"/>
              </w:rPr>
              <w:t>interest income</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1 014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1 080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1 053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1 074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1 094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Employer contributions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1 607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1 629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1 627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1 618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1 550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Contributions by plan participants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203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20"/>
                <w:lang w:eastAsia="en-AU"/>
              </w:rPr>
            </w:pPr>
            <w:r w:rsidRPr="008D5734">
              <w:rPr>
                <w:rFonts w:eastAsiaTheme="minorEastAsia" w:cs="Calibri"/>
                <w:color w:val="000000"/>
                <w:szCs w:val="20"/>
                <w:lang w:eastAsia="en-AU"/>
              </w:rPr>
              <w:t>Benefits paid (including tax paid)</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(2 968)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(3 036)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(2 984)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(3 017)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8D5734">
              <w:rPr>
                <w:rFonts w:eastAsiaTheme="minorEastAsia" w:cs="Calibri"/>
                <w:color w:val="000000"/>
                <w:szCs w:val="20"/>
                <w:lang w:eastAsia="en-AU"/>
              </w:rPr>
              <w:t>(3 044)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rPr>
                <w:rFonts w:eastAsiaTheme="minorEastAsia" w:cs="Calibri"/>
                <w:b/>
                <w:bCs/>
                <w:color w:val="000000"/>
                <w:szCs w:val="20"/>
                <w:lang w:eastAsia="en-AU"/>
              </w:rPr>
            </w:pPr>
            <w:r w:rsidRPr="008D5734">
              <w:rPr>
                <w:rFonts w:eastAsiaTheme="minorEastAsia" w:cs="Calibri"/>
                <w:b/>
                <w:bCs/>
                <w:color w:val="000000"/>
                <w:szCs w:val="20"/>
                <w:lang w:eastAsia="en-AU"/>
              </w:rPr>
              <w:t>Closing balance of plan assets</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23 400</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23 446</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23 989</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24 522</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8D5734">
              <w:rPr>
                <w:rFonts w:eastAsiaTheme="minorEastAsia" w:cs="Calibri"/>
                <w:b/>
                <w:bCs/>
                <w:color w:val="000000"/>
                <w:szCs w:val="20"/>
                <w:lang w:eastAsia="en-AU"/>
              </w:rPr>
              <w:t>24 991</w:t>
            </w:r>
          </w:p>
        </w:tc>
      </w:tr>
    </w:tbl>
    <w:p w:rsidR="004B6846" w:rsidRPr="00B41AC3" w:rsidRDefault="004B6846" w:rsidP="00CC0EB7">
      <w:pPr>
        <w:pStyle w:val="Source"/>
      </w:pPr>
      <w:r w:rsidRPr="00D87D22">
        <w:t>Source: Department of Treasury and Finance</w:t>
      </w:r>
    </w:p>
    <w:bookmarkEnd w:id="72"/>
    <w:p w:rsidR="004B6846" w:rsidRDefault="004B6846">
      <w:pPr>
        <w:keepLines w:val="0"/>
      </w:pPr>
      <w:r>
        <w:br w:type="page"/>
      </w:r>
    </w:p>
    <w:p w:rsidR="004B6846" w:rsidRDefault="004B6846" w:rsidP="004B6846">
      <w:pPr>
        <w:pStyle w:val="Heading2"/>
        <w:numPr>
          <w:ilvl w:val="1"/>
          <w:numId w:val="19"/>
        </w:numPr>
        <w:sectPr w:rsidR="004B6846" w:rsidSect="00CC0EB7">
          <w:type w:val="continuous"/>
          <w:pgSz w:w="9979" w:h="14175" w:code="9"/>
          <w:pgMar w:top="850" w:right="1134" w:bottom="850" w:left="1134" w:header="624" w:footer="567" w:gutter="0"/>
          <w:cols w:space="567"/>
          <w:titlePg/>
          <w:docGrid w:linePitch="360"/>
        </w:sectPr>
      </w:pPr>
      <w:r>
        <w:lastRenderedPageBreak/>
        <w:t>OTHER DISCLOSURES</w:t>
      </w:r>
    </w:p>
    <w:p w:rsidR="004B6846" w:rsidRDefault="004B6846" w:rsidP="00065FD3">
      <w:pPr>
        <w:pStyle w:val="Heading30"/>
        <w:pBdr>
          <w:bottom w:val="single" w:sz="4" w:space="1" w:color="auto"/>
        </w:pBdr>
      </w:pPr>
      <w:r>
        <w:t>Introduction</w:t>
      </w:r>
    </w:p>
    <w:p w:rsidR="004B6846" w:rsidRDefault="004B6846" w:rsidP="00CC0EB7">
      <w:r>
        <w:t>This section includes several additional disclosures that assist the understanding of the Estimated Financial Statements.</w:t>
      </w:r>
    </w:p>
    <w:p w:rsidR="004B6846" w:rsidRDefault="004B6846" w:rsidP="00CC0EB7">
      <w:pPr>
        <w:pStyle w:val="Heading30"/>
        <w:pBdr>
          <w:bottom w:val="single" w:sz="4" w:space="1" w:color="auto"/>
        </w:pBdr>
      </w:pPr>
      <w:r>
        <w:br w:type="column"/>
      </w:r>
      <w:r>
        <w:t>Structure</w:t>
      </w:r>
    </w:p>
    <w:p w:rsidR="004B6846" w:rsidRDefault="004B6846" w:rsidP="00C7540B">
      <w:pPr>
        <w:pStyle w:val="TOC9"/>
        <w:rPr>
          <w:rFonts w:eastAsiaTheme="minorEastAsia"/>
          <w:noProof/>
          <w:spacing w:val="0"/>
          <w:lang w:eastAsia="en-AU"/>
        </w:rPr>
      </w:pPr>
      <w:r>
        <w:fldChar w:fldCharType="begin"/>
      </w:r>
      <w:r>
        <w:instrText xml:space="preserve"> TOC \h \z \t "Heading 3 (#),9" \b Section_7 \* MERGEFORMAT </w:instrText>
      </w:r>
      <w:r>
        <w:fldChar w:fldCharType="separate"/>
      </w:r>
      <w:hyperlink w:anchor="_Toc530148454" w:history="1">
        <w:r w:rsidRPr="00432DFC">
          <w:rPr>
            <w:rStyle w:val="Hyperlink"/>
            <w:noProof/>
            <w:lang w:val="en-US"/>
          </w:rPr>
          <w:t>4.7.1</w:t>
        </w:r>
        <w:r>
          <w:rPr>
            <w:rFonts w:eastAsiaTheme="minorEastAsia"/>
            <w:noProof/>
            <w:spacing w:val="0"/>
            <w:lang w:eastAsia="en-AU"/>
          </w:rPr>
          <w:tab/>
        </w:r>
        <w:r w:rsidRPr="00432DFC">
          <w:rPr>
            <w:rStyle w:val="Hyperlink"/>
            <w:noProof/>
          </w:rPr>
          <w:t>Other gains/(los</w:t>
        </w:r>
        <w:r>
          <w:rPr>
            <w:rStyle w:val="Hyperlink"/>
            <w:noProof/>
          </w:rPr>
          <w:t>ses) from other economic flows</w:t>
        </w:r>
        <w:r>
          <w:rPr>
            <w:noProof/>
            <w:webHidden/>
          </w:rPr>
          <w:tab/>
        </w:r>
        <w:r>
          <w:rPr>
            <w:noProof/>
            <w:webHidden/>
          </w:rPr>
          <w:fldChar w:fldCharType="begin"/>
        </w:r>
        <w:r>
          <w:rPr>
            <w:noProof/>
            <w:webHidden/>
          </w:rPr>
          <w:instrText xml:space="preserve"> PAGEREF _Toc530148454 \h </w:instrText>
        </w:r>
        <w:r>
          <w:rPr>
            <w:noProof/>
            <w:webHidden/>
          </w:rPr>
        </w:r>
        <w:r>
          <w:rPr>
            <w:noProof/>
            <w:webHidden/>
          </w:rPr>
          <w:fldChar w:fldCharType="separate"/>
        </w:r>
        <w:r w:rsidR="004B094E">
          <w:rPr>
            <w:noProof/>
            <w:webHidden/>
          </w:rPr>
          <w:t>2</w:t>
        </w:r>
        <w:r>
          <w:rPr>
            <w:noProof/>
            <w:webHidden/>
          </w:rPr>
          <w:fldChar w:fldCharType="end"/>
        </w:r>
      </w:hyperlink>
    </w:p>
    <w:p w:rsidR="004B6846" w:rsidRDefault="00F919DB" w:rsidP="00C7540B">
      <w:pPr>
        <w:pStyle w:val="TOC9"/>
        <w:rPr>
          <w:rFonts w:eastAsiaTheme="minorEastAsia"/>
          <w:noProof/>
          <w:spacing w:val="0"/>
          <w:lang w:eastAsia="en-AU"/>
        </w:rPr>
      </w:pPr>
      <w:hyperlink w:anchor="_Toc530148455" w:history="1">
        <w:r w:rsidR="004B6846" w:rsidRPr="00432DFC">
          <w:rPr>
            <w:rStyle w:val="Hyperlink"/>
            <w:noProof/>
            <w:lang w:val="en-US"/>
          </w:rPr>
          <w:t>4.7.2</w:t>
        </w:r>
        <w:r w:rsidR="004B6846">
          <w:rPr>
            <w:rFonts w:eastAsiaTheme="minorEastAsia"/>
            <w:noProof/>
            <w:spacing w:val="0"/>
            <w:lang w:eastAsia="en-AU"/>
          </w:rPr>
          <w:tab/>
        </w:r>
        <w:r w:rsidR="004B6846" w:rsidRPr="00432DFC">
          <w:rPr>
            <w:rStyle w:val="Hyperlink"/>
            <w:noProof/>
          </w:rPr>
          <w:t>Reconciliation t</w:t>
        </w:r>
        <w:r w:rsidR="004B6846">
          <w:rPr>
            <w:rStyle w:val="Hyperlink"/>
            <w:noProof/>
          </w:rPr>
          <w:t>o Government Finance Statistics</w:t>
        </w:r>
        <w:r w:rsidR="004B6846">
          <w:rPr>
            <w:noProof/>
            <w:webHidden/>
          </w:rPr>
          <w:tab/>
        </w:r>
        <w:r w:rsidR="004B6846">
          <w:rPr>
            <w:noProof/>
            <w:webHidden/>
          </w:rPr>
          <w:fldChar w:fldCharType="begin"/>
        </w:r>
        <w:r w:rsidR="004B6846">
          <w:rPr>
            <w:noProof/>
            <w:webHidden/>
          </w:rPr>
          <w:instrText xml:space="preserve"> PAGEREF _Toc530148455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F919DB" w:rsidP="00C7540B">
      <w:pPr>
        <w:pStyle w:val="TOC9"/>
        <w:rPr>
          <w:rFonts w:eastAsiaTheme="minorEastAsia"/>
          <w:noProof/>
          <w:spacing w:val="0"/>
          <w:lang w:eastAsia="en-AU"/>
        </w:rPr>
      </w:pPr>
      <w:hyperlink w:anchor="_Toc530148456" w:history="1">
        <w:r w:rsidR="004B6846" w:rsidRPr="00432DFC">
          <w:rPr>
            <w:rStyle w:val="Hyperlink"/>
            <w:noProof/>
          </w:rPr>
          <w:t>4.7.3</w:t>
        </w:r>
        <w:r w:rsidR="004B6846">
          <w:rPr>
            <w:rFonts w:eastAsiaTheme="minorEastAsia"/>
            <w:noProof/>
            <w:spacing w:val="0"/>
            <w:lang w:eastAsia="en-AU"/>
          </w:rPr>
          <w:tab/>
        </w:r>
        <w:r w:rsidR="004B6846" w:rsidRPr="00432DFC">
          <w:rPr>
            <w:rStyle w:val="Hyperlink"/>
            <w:noProof/>
          </w:rPr>
          <w:t>Financial instruments</w:t>
        </w:r>
        <w:r w:rsidR="004B6846">
          <w:rPr>
            <w:noProof/>
            <w:webHidden/>
          </w:rPr>
          <w:tab/>
        </w:r>
        <w:r w:rsidR="004B6846">
          <w:rPr>
            <w:noProof/>
            <w:webHidden/>
          </w:rPr>
          <w:fldChar w:fldCharType="begin"/>
        </w:r>
        <w:r w:rsidR="004B6846">
          <w:rPr>
            <w:noProof/>
            <w:webHidden/>
          </w:rPr>
          <w:instrText xml:space="preserve"> PAGEREF _Toc530148456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F919DB" w:rsidP="00C7540B">
      <w:pPr>
        <w:pStyle w:val="TOC9"/>
        <w:rPr>
          <w:rFonts w:eastAsiaTheme="minorEastAsia"/>
          <w:noProof/>
          <w:spacing w:val="0"/>
          <w:lang w:eastAsia="en-AU"/>
        </w:rPr>
      </w:pPr>
      <w:hyperlink w:anchor="_Toc530148457" w:history="1">
        <w:r w:rsidR="004B6846" w:rsidRPr="00432DFC">
          <w:rPr>
            <w:rStyle w:val="Hyperlink"/>
            <w:noProof/>
          </w:rPr>
          <w:t>4.7.4</w:t>
        </w:r>
        <w:r w:rsidR="004B6846">
          <w:rPr>
            <w:rFonts w:eastAsiaTheme="minorEastAsia"/>
            <w:noProof/>
            <w:spacing w:val="0"/>
            <w:lang w:eastAsia="en-AU"/>
          </w:rPr>
          <w:tab/>
        </w:r>
        <w:r w:rsidR="004B6846" w:rsidRPr="00432DFC">
          <w:rPr>
            <w:rStyle w:val="Hyperlink"/>
            <w:noProof/>
          </w:rPr>
          <w:t>Prospective accounting and reporting changes</w:t>
        </w:r>
        <w:r w:rsidR="004B6846">
          <w:rPr>
            <w:noProof/>
            <w:webHidden/>
          </w:rPr>
          <w:tab/>
        </w:r>
        <w:r w:rsidR="004B6846">
          <w:rPr>
            <w:noProof/>
            <w:webHidden/>
          </w:rPr>
          <w:fldChar w:fldCharType="begin"/>
        </w:r>
        <w:r w:rsidR="004B6846">
          <w:rPr>
            <w:noProof/>
            <w:webHidden/>
          </w:rPr>
          <w:instrText xml:space="preserve"> PAGEREF _Toc530148457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F919DB" w:rsidP="00C7540B">
      <w:pPr>
        <w:pStyle w:val="TOC9"/>
        <w:rPr>
          <w:rFonts w:eastAsiaTheme="minorEastAsia"/>
          <w:noProof/>
          <w:spacing w:val="0"/>
          <w:lang w:eastAsia="en-AU"/>
        </w:rPr>
      </w:pPr>
      <w:hyperlink w:anchor="_Toc530148458" w:history="1">
        <w:r w:rsidR="004B6846" w:rsidRPr="00432DFC">
          <w:rPr>
            <w:rStyle w:val="Hyperlink"/>
            <w:noProof/>
          </w:rPr>
          <w:t>4.7.5</w:t>
        </w:r>
        <w:r w:rsidR="004B6846">
          <w:rPr>
            <w:rFonts w:eastAsiaTheme="minorEastAsia"/>
            <w:noProof/>
            <w:spacing w:val="0"/>
            <w:lang w:eastAsia="en-AU"/>
          </w:rPr>
          <w:tab/>
        </w:r>
        <w:r w:rsidR="004B6846" w:rsidRPr="00432DFC">
          <w:rPr>
            <w:rStyle w:val="Hyperlink"/>
            <w:noProof/>
          </w:rPr>
          <w:t>Controlled entities</w:t>
        </w:r>
        <w:r w:rsidR="004B6846">
          <w:rPr>
            <w:noProof/>
            <w:webHidden/>
          </w:rPr>
          <w:tab/>
        </w:r>
        <w:r w:rsidR="004B6846">
          <w:rPr>
            <w:noProof/>
            <w:webHidden/>
          </w:rPr>
          <w:fldChar w:fldCharType="begin"/>
        </w:r>
        <w:r w:rsidR="004B6846">
          <w:rPr>
            <w:noProof/>
            <w:webHidden/>
          </w:rPr>
          <w:instrText xml:space="preserve"> PAGEREF _Toc530148458 \h </w:instrText>
        </w:r>
        <w:r w:rsidR="004B6846">
          <w:rPr>
            <w:noProof/>
            <w:webHidden/>
          </w:rPr>
        </w:r>
        <w:r w:rsidR="004B6846">
          <w:rPr>
            <w:noProof/>
            <w:webHidden/>
          </w:rPr>
          <w:fldChar w:fldCharType="separate"/>
        </w:r>
        <w:r w:rsidR="004B094E">
          <w:rPr>
            <w:noProof/>
            <w:webHidden/>
          </w:rPr>
          <w:t>2</w:t>
        </w:r>
        <w:r w:rsidR="004B6846">
          <w:rPr>
            <w:noProof/>
            <w:webHidden/>
          </w:rPr>
          <w:fldChar w:fldCharType="end"/>
        </w:r>
      </w:hyperlink>
    </w:p>
    <w:p w:rsidR="004B6846" w:rsidRDefault="004B6846" w:rsidP="00CC0EB7">
      <w:r>
        <w:rPr>
          <w:noProof/>
          <w:lang w:val="en-US"/>
        </w:rPr>
        <w:fldChar w:fldCharType="end"/>
      </w:r>
    </w:p>
    <w:p w:rsidR="004B6846" w:rsidRDefault="004B6846" w:rsidP="00CC0EB7">
      <w:pPr>
        <w:sectPr w:rsidR="004B6846" w:rsidSect="00CC0EB7">
          <w:type w:val="continuous"/>
          <w:pgSz w:w="9979" w:h="14175" w:code="9"/>
          <w:pgMar w:top="850" w:right="1134" w:bottom="850" w:left="1134" w:header="624" w:footer="567" w:gutter="0"/>
          <w:cols w:num="2" w:space="567"/>
          <w:titlePg/>
          <w:docGrid w:linePitch="360"/>
        </w:sectPr>
      </w:pPr>
    </w:p>
    <w:p w:rsidR="004B6846" w:rsidRPr="008D5734" w:rsidRDefault="004B6846" w:rsidP="004B6846">
      <w:pPr>
        <w:pStyle w:val="Heading3"/>
        <w:numPr>
          <w:ilvl w:val="2"/>
          <w:numId w:val="19"/>
        </w:numPr>
        <w:spacing w:after="60"/>
        <w:rPr>
          <w:lang w:val="en-US"/>
        </w:rPr>
      </w:pPr>
      <w:bookmarkStart w:id="75" w:name="_Toc496606682"/>
      <w:bookmarkStart w:id="76" w:name="_Toc530148454"/>
      <w:bookmarkStart w:id="77" w:name="Section_7"/>
      <w:r w:rsidRPr="0010447C">
        <w:rPr>
          <w:rStyle w:val="Heading3Char0"/>
          <w:b/>
          <w:bCs/>
          <w:sz w:val="22"/>
        </w:rPr>
        <w:t>Other</w:t>
      </w:r>
      <w:r w:rsidRPr="00207ACA">
        <w:rPr>
          <w:rStyle w:val="Heading3Char0"/>
        </w:rPr>
        <w:t xml:space="preserve"> </w:t>
      </w:r>
      <w:r w:rsidRPr="0010447C">
        <w:t>gains/(losses) from other economic flows</w:t>
      </w:r>
      <w:r>
        <w:tab/>
        <w:t>($ million)</w:t>
      </w:r>
      <w:bookmarkEnd w:id="75"/>
      <w:bookmarkEnd w:id="76"/>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628"/>
        <w:gridCol w:w="737"/>
        <w:gridCol w:w="850"/>
        <w:gridCol w:w="850"/>
        <w:gridCol w:w="850"/>
        <w:gridCol w:w="850"/>
      </w:tblGrid>
      <w:tr w:rsidR="00CC0EB7" w:rsidRPr="008D5734" w:rsidTr="00065FD3">
        <w:trPr>
          <w:cnfStyle w:val="100000000000" w:firstRow="1" w:lastRow="0" w:firstColumn="0" w:lastColumn="0" w:oddVBand="0" w:evenVBand="0" w:oddHBand="0" w:evenHBand="0" w:firstRowFirstColumn="0" w:firstRowLastColumn="0" w:lastRowFirstColumn="0" w:lastRowLastColumn="0"/>
          <w:trHeight w:val="84"/>
          <w:tblHeader/>
        </w:trPr>
        <w:tc>
          <w:tcPr>
            <w:cnfStyle w:val="001000000000" w:firstRow="0" w:lastRow="0" w:firstColumn="1" w:lastColumn="0" w:oddVBand="0" w:evenVBand="0" w:oddHBand="0" w:evenHBand="0" w:firstRowFirstColumn="0" w:firstRowLastColumn="0" w:lastRowFirstColumn="0" w:lastRowLastColumn="0"/>
            <w:tcW w:w="3628" w:type="dxa"/>
            <w:tcBorders>
              <w:top w:val="nil"/>
              <w:left w:val="nil"/>
              <w:right w:val="nil"/>
            </w:tcBorders>
            <w:shd w:val="solid" w:color="000000" w:fill="auto"/>
          </w:tcPr>
          <w:p w:rsidR="00CC0EB7" w:rsidRPr="008D5734" w:rsidRDefault="00CC0EB7" w:rsidP="00CC0EB7">
            <w:pPr>
              <w:autoSpaceDE w:val="0"/>
              <w:autoSpaceDN w:val="0"/>
              <w:adjustRightInd w:val="0"/>
              <w:jc w:val="center"/>
              <w:rPr>
                <w:rFonts w:eastAsiaTheme="minorEastAsia" w:cs="Calibri"/>
                <w:iCs/>
                <w:color w:val="FFFFFF"/>
                <w:lang w:eastAsia="en-AU"/>
              </w:rPr>
            </w:pPr>
            <w:r w:rsidRPr="008D5734">
              <w:rPr>
                <w:rFonts w:eastAsiaTheme="minorEastAsia" w:cs="Calibri"/>
                <w:iCs/>
                <w:color w:val="FFFFFF"/>
                <w:lang w:eastAsia="en-AU"/>
              </w:rPr>
              <w:t xml:space="preserve">  </w:t>
            </w:r>
          </w:p>
        </w:tc>
        <w:tc>
          <w:tcPr>
            <w:tcW w:w="737"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2018-19</w:t>
            </w:r>
            <w:r>
              <w:rPr>
                <w:rFonts w:eastAsiaTheme="minorEastAsia" w:cs="Calibri"/>
                <w:iCs/>
                <w:color w:val="FFFFFF"/>
                <w:szCs w:val="18"/>
                <w:lang w:eastAsia="en-AU"/>
              </w:rPr>
              <w:br/>
            </w:r>
            <w:r w:rsidRPr="008D5734">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2019-20</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2020-21</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8D5734">
              <w:rPr>
                <w:rFonts w:eastAsiaTheme="minorEastAsia" w:cs="Calibri"/>
                <w:iCs/>
                <w:color w:val="FFFFFF"/>
                <w:szCs w:val="18"/>
                <w:lang w:eastAsia="en-AU"/>
              </w:rPr>
              <w:t>2021-22</w:t>
            </w:r>
            <w:r>
              <w:rPr>
                <w:rFonts w:eastAsiaTheme="minorEastAsia" w:cs="Calibri"/>
                <w:iCs/>
                <w:color w:val="FFFFFF"/>
                <w:szCs w:val="18"/>
                <w:lang w:eastAsia="en-AU"/>
              </w:rPr>
              <w:br/>
            </w:r>
            <w:r w:rsidRPr="008D5734">
              <w:rPr>
                <w:rFonts w:eastAsiaTheme="minorEastAsia" w:cs="Calibri"/>
                <w:iCs/>
                <w:color w:val="FFFFFF"/>
                <w:szCs w:val="18"/>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28"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Net (increase)/decrease in provision for doubtful receivables</w:t>
            </w:r>
          </w:p>
        </w:tc>
        <w:tc>
          <w:tcPr>
            <w:tcW w:w="737"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(208)</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(225)</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28"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Amortisation of intangible non-produced assets</w:t>
            </w:r>
          </w:p>
        </w:tc>
        <w:tc>
          <w:tcPr>
            <w:tcW w:w="737"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28"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Bad debts written off</w:t>
            </w:r>
          </w:p>
        </w:tc>
        <w:tc>
          <w:tcPr>
            <w:tcW w:w="737"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(129)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(129)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(133)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628"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szCs w:val="18"/>
                <w:lang w:eastAsia="en-AU"/>
              </w:rPr>
            </w:pPr>
            <w:r w:rsidRPr="008D5734">
              <w:rPr>
                <w:rFonts w:eastAsiaTheme="minorEastAsia" w:cs="Calibri"/>
                <w:color w:val="000000"/>
                <w:szCs w:val="18"/>
                <w:lang w:eastAsia="en-AU"/>
              </w:rPr>
              <w:t xml:space="preserve">Other gains/(losses) </w:t>
            </w:r>
          </w:p>
        </w:tc>
        <w:tc>
          <w:tcPr>
            <w:tcW w:w="737"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w:t>
            </w:r>
          </w:p>
        </w:tc>
      </w:tr>
      <w:tr w:rsidR="004B6846" w:rsidRPr="008D573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rPr>
                <w:rFonts w:eastAsiaTheme="minorEastAsia" w:cs="Calibri"/>
                <w:bCs/>
                <w:color w:val="000000"/>
                <w:szCs w:val="18"/>
                <w:lang w:eastAsia="en-AU"/>
              </w:rPr>
            </w:pPr>
            <w:r w:rsidRPr="008D5734">
              <w:rPr>
                <w:rFonts w:eastAsiaTheme="minorEastAsia" w:cs="Calibri"/>
                <w:bCs/>
                <w:color w:val="000000"/>
                <w:szCs w:val="18"/>
                <w:lang w:eastAsia="en-AU"/>
              </w:rPr>
              <w:t xml:space="preserve">Total other gains/(losses) from other </w:t>
            </w:r>
            <w:r w:rsidR="00A767A3">
              <w:rPr>
                <w:rFonts w:eastAsiaTheme="minorEastAsia" w:cs="Calibri"/>
                <w:bCs/>
                <w:color w:val="000000"/>
                <w:szCs w:val="18"/>
                <w:lang w:eastAsia="en-AU"/>
              </w:rPr>
              <w:br/>
            </w:r>
            <w:r w:rsidRPr="008D5734">
              <w:rPr>
                <w:rFonts w:eastAsiaTheme="minorEastAsia" w:cs="Calibri"/>
                <w:bCs/>
                <w:color w:val="000000"/>
                <w:szCs w:val="18"/>
                <w:lang w:eastAsia="en-AU"/>
              </w:rPr>
              <w:t>economic flows</w:t>
            </w:r>
          </w:p>
        </w:tc>
        <w:tc>
          <w:tcPr>
            <w:tcW w:w="737"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(345)</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(347)</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(355)</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(343)</w:t>
            </w:r>
          </w:p>
        </w:tc>
        <w:tc>
          <w:tcPr>
            <w:tcW w:w="850" w:type="dxa"/>
            <w:tcBorders>
              <w:top w:val="single" w:sz="6" w:space="0" w:color="000000"/>
              <w:bottom w:val="single" w:sz="12" w:space="0" w:color="000000"/>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(362)</w:t>
            </w:r>
          </w:p>
        </w:tc>
      </w:tr>
    </w:tbl>
    <w:p w:rsidR="004B6846" w:rsidRDefault="004B6846" w:rsidP="00CC0EB7">
      <w:pPr>
        <w:pStyle w:val="Source"/>
      </w:pPr>
      <w:r w:rsidRPr="00D87D22">
        <w:t>Source: Department of Treasury and Finance</w:t>
      </w:r>
    </w:p>
    <w:p w:rsidR="004B6846" w:rsidRPr="00B41AC3" w:rsidRDefault="004B6846" w:rsidP="00CC0EB7">
      <w:pPr>
        <w:keepLines w:val="0"/>
      </w:pPr>
      <w:r>
        <w:br w:type="page"/>
      </w:r>
    </w:p>
    <w:p w:rsidR="004B6846" w:rsidRPr="008D5734" w:rsidRDefault="004B6846" w:rsidP="004B6846">
      <w:pPr>
        <w:pStyle w:val="Heading3"/>
        <w:numPr>
          <w:ilvl w:val="2"/>
          <w:numId w:val="19"/>
        </w:numPr>
        <w:spacing w:after="60"/>
        <w:rPr>
          <w:lang w:val="en-US"/>
        </w:rPr>
      </w:pPr>
      <w:bookmarkStart w:id="78" w:name="_Toc496606683"/>
      <w:bookmarkStart w:id="79" w:name="_Toc530148455"/>
      <w:r w:rsidRPr="00A35BCB">
        <w:lastRenderedPageBreak/>
        <w:t xml:space="preserve">Reconciliation to Government Finance Statistics </w:t>
      </w:r>
      <w:r w:rsidRPr="00A35BCB">
        <w:rPr>
          <w:vertAlign w:val="superscript"/>
        </w:rPr>
        <w:t>(a)(b)</w:t>
      </w:r>
      <w:r w:rsidRPr="00A35BCB">
        <w:tab/>
        <w:t>($ million)</w:t>
      </w:r>
      <w:bookmarkEnd w:id="78"/>
      <w:bookmarkEnd w:id="79"/>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CC0EB7" w:rsidRPr="008D5734" w:rsidTr="00065FD3">
        <w:trPr>
          <w:cnfStyle w:val="100000000000" w:firstRow="1" w:lastRow="0" w:firstColumn="0" w:lastColumn="0" w:oddVBand="0" w:evenVBand="0" w:oddHBand="0" w:evenHBand="0" w:firstRowFirstColumn="0" w:firstRowLastColumn="0" w:lastRowFirstColumn="0" w:lastRowLastColumn="0"/>
          <w:trHeight w:val="169"/>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8D5734" w:rsidRDefault="00CC0EB7" w:rsidP="00CC0EB7">
            <w:pPr>
              <w:autoSpaceDE w:val="0"/>
              <w:autoSpaceDN w:val="0"/>
              <w:adjustRightInd w:val="0"/>
              <w:rPr>
                <w:rFonts w:eastAsiaTheme="minorEastAsia" w:cs="Calibri"/>
                <w:b/>
                <w:bCs/>
                <w:color w:val="FFFFFF"/>
                <w:lang w:eastAsia="en-AU"/>
              </w:rPr>
            </w:pPr>
            <w:r w:rsidRPr="008D5734">
              <w:rPr>
                <w:rFonts w:eastAsiaTheme="minorEastAsia" w:cs="Calibri"/>
                <w:b/>
                <w:bCs/>
                <w:color w:val="FFFFFF"/>
                <w:lang w:eastAsia="en-AU"/>
              </w:rPr>
              <w:t xml:space="preserve"> </w:t>
            </w:r>
            <w:r w:rsidRPr="008D5734">
              <w:rPr>
                <w:rFonts w:eastAsiaTheme="minorEastAsia" w:cs="Calibri"/>
                <w:color w:val="FFFFFF"/>
                <w:lang w:eastAsia="en-AU"/>
              </w:rPr>
              <w:t xml:space="preserve"> </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2018-19</w:t>
            </w:r>
            <w:r>
              <w:rPr>
                <w:rFonts w:eastAsiaTheme="minorEastAsia" w:cs="Calibri"/>
                <w:iCs/>
                <w:color w:val="FFFFFF"/>
                <w:szCs w:val="20"/>
                <w:lang w:eastAsia="en-AU"/>
              </w:rPr>
              <w:br/>
            </w:r>
            <w:r w:rsidRPr="008D5734">
              <w:rPr>
                <w:rFonts w:eastAsiaTheme="minorEastAsia" w:cs="Calibri"/>
                <w:iCs/>
                <w:color w:val="FFFFFF"/>
                <w:szCs w:val="20"/>
                <w:lang w:eastAsia="en-AU"/>
              </w:rPr>
              <w:t>budget</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2018-19</w:t>
            </w:r>
            <w:r>
              <w:rPr>
                <w:rFonts w:eastAsiaTheme="minorEastAsia" w:cs="Calibri"/>
                <w:iCs/>
                <w:color w:val="FFFFFF"/>
                <w:szCs w:val="20"/>
                <w:lang w:eastAsia="en-AU"/>
              </w:rPr>
              <w:br/>
            </w:r>
            <w:r w:rsidRPr="008D5734">
              <w:rPr>
                <w:rFonts w:eastAsiaTheme="minorEastAsia" w:cs="Calibri"/>
                <w:iCs/>
                <w:color w:val="FFFFFF"/>
                <w:szCs w:val="20"/>
                <w:lang w:eastAsia="en-AU"/>
              </w:rPr>
              <w:t>revised</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2019-20</w:t>
            </w:r>
            <w:r>
              <w:rPr>
                <w:rFonts w:eastAsiaTheme="minorEastAsia" w:cs="Calibri"/>
                <w:iCs/>
                <w:color w:val="FFFFFF"/>
                <w:szCs w:val="20"/>
                <w:lang w:eastAsia="en-AU"/>
              </w:rPr>
              <w:br/>
            </w:r>
            <w:r w:rsidRPr="008D5734">
              <w:rPr>
                <w:rFonts w:eastAsiaTheme="minorEastAsia" w:cs="Calibri"/>
                <w:iCs/>
                <w:color w:val="FFFFFF"/>
                <w:szCs w:val="20"/>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2020-21</w:t>
            </w:r>
            <w:r>
              <w:rPr>
                <w:rFonts w:eastAsiaTheme="minorEastAsia" w:cs="Calibri"/>
                <w:iCs/>
                <w:color w:val="FFFFFF"/>
                <w:szCs w:val="20"/>
                <w:lang w:eastAsia="en-AU"/>
              </w:rPr>
              <w:br/>
            </w:r>
            <w:r w:rsidRPr="008D5734">
              <w:rPr>
                <w:rFonts w:eastAsiaTheme="minorEastAsia" w:cs="Calibri"/>
                <w:iCs/>
                <w:color w:val="FFFFFF"/>
                <w:szCs w:val="20"/>
                <w:lang w:eastAsia="en-AU"/>
              </w:rPr>
              <w:t>estimate</w:t>
            </w:r>
          </w:p>
        </w:tc>
        <w:tc>
          <w:tcPr>
            <w:tcW w:w="850" w:type="dxa"/>
            <w:tcBorders>
              <w:top w:val="nil"/>
              <w:left w:val="nil"/>
              <w:right w:val="nil"/>
            </w:tcBorders>
            <w:shd w:val="solid" w:color="000000" w:fill="auto"/>
          </w:tcPr>
          <w:p w:rsidR="00CC0EB7" w:rsidRPr="008D5734" w:rsidRDefault="00CC0EB7"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8D5734">
              <w:rPr>
                <w:rFonts w:eastAsiaTheme="minorEastAsia" w:cs="Calibri"/>
                <w:iCs/>
                <w:color w:val="FFFFFF"/>
                <w:szCs w:val="20"/>
                <w:lang w:eastAsia="en-AU"/>
              </w:rPr>
              <w:t>2021-22</w:t>
            </w:r>
            <w:r>
              <w:rPr>
                <w:rFonts w:eastAsiaTheme="minorEastAsia" w:cs="Calibri"/>
                <w:iCs/>
                <w:color w:val="FFFFFF"/>
                <w:szCs w:val="20"/>
                <w:lang w:eastAsia="en-AU"/>
              </w:rPr>
              <w:br/>
            </w:r>
            <w:r w:rsidRPr="008D5734">
              <w:rPr>
                <w:rFonts w:eastAsiaTheme="minorEastAsia" w:cs="Calibri"/>
                <w:iCs/>
                <w:color w:val="FFFFFF"/>
                <w:szCs w:val="20"/>
                <w:lang w:eastAsia="en-AU"/>
              </w:rPr>
              <w:t>estimate</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lang w:eastAsia="en-AU"/>
              </w:rPr>
            </w:pPr>
            <w:r w:rsidRPr="008D5734">
              <w:rPr>
                <w:rFonts w:eastAsiaTheme="minorEastAsia" w:cs="Calibri"/>
                <w:b/>
                <w:bCs/>
                <w:color w:val="000000"/>
                <w:lang w:eastAsia="en-AU"/>
              </w:rPr>
              <w:t xml:space="preserve">Net result from transactions – </w:t>
            </w:r>
            <w:r w:rsidR="00065FD3">
              <w:rPr>
                <w:rFonts w:eastAsiaTheme="minorEastAsia" w:cs="Calibri"/>
                <w:b/>
                <w:bCs/>
                <w:color w:val="000000"/>
                <w:lang w:eastAsia="en-AU"/>
              </w:rPr>
              <w:br/>
            </w:r>
            <w:r w:rsidRPr="008D5734">
              <w:rPr>
                <w:rFonts w:eastAsiaTheme="minorEastAsia" w:cs="Calibri"/>
                <w:b/>
                <w:bCs/>
                <w:color w:val="000000"/>
                <w:lang w:eastAsia="en-AU"/>
              </w:rPr>
              <w:t>net operating balance</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1 380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2 241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1 725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2 677</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2 984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i/>
                <w:iCs/>
                <w:color w:val="000000"/>
                <w:lang w:eastAsia="en-AU"/>
              </w:rPr>
            </w:pPr>
            <w:r w:rsidRPr="008D5734">
              <w:rPr>
                <w:rFonts w:eastAsiaTheme="minorEastAsia" w:cs="Calibri"/>
                <w:i/>
                <w:iCs/>
                <w:color w:val="000000"/>
                <w:lang w:eastAsia="en-AU"/>
              </w:rPr>
              <w:t>Convergence differences: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lang w:eastAsia="en-AU"/>
              </w:rPr>
            </w:pPr>
            <w:r w:rsidRPr="008D5734">
              <w:rPr>
                <w:rFonts w:eastAsiaTheme="minorEastAsia" w:cs="Calibri"/>
                <w:color w:val="000000"/>
                <w:lang w:eastAsia="en-AU"/>
              </w:rPr>
              <w:t xml:space="preserve">Licence fees </w:t>
            </w:r>
            <w:r w:rsidRPr="008D5734">
              <w:rPr>
                <w:rFonts w:eastAsiaTheme="minorEastAsia" w:cs="Calibri"/>
                <w:color w:val="000000"/>
                <w:vertAlign w:val="superscript"/>
                <w:lang w:eastAsia="en-AU"/>
              </w:rPr>
              <w:t>(c)</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rPr>
                <w:rFonts w:eastAsiaTheme="minorEastAsia" w:cs="Calibri"/>
                <w:i/>
                <w:iCs/>
                <w:color w:val="000000"/>
                <w:lang w:eastAsia="en-AU"/>
              </w:rPr>
            </w:pPr>
            <w:r w:rsidRPr="008D5734">
              <w:rPr>
                <w:rFonts w:eastAsiaTheme="minorEastAsia" w:cs="Calibri"/>
                <w:i/>
                <w:iCs/>
                <w:color w:val="000000"/>
                <w:lang w:eastAsia="en-AU"/>
              </w:rPr>
              <w:t>plus total convergence difference:</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rPr>
                <w:rFonts w:eastAsiaTheme="minorEastAsia" w:cs="Calibri"/>
                <w:b/>
                <w:bCs/>
                <w:color w:val="000000"/>
                <w:lang w:eastAsia="en-AU"/>
              </w:rPr>
            </w:pPr>
            <w:r w:rsidRPr="008D5734">
              <w:rPr>
                <w:rFonts w:eastAsiaTheme="minorEastAsia" w:cs="Calibri"/>
                <w:b/>
                <w:bCs/>
                <w:color w:val="000000"/>
                <w:lang w:eastAsia="en-AU"/>
              </w:rPr>
              <w:t xml:space="preserve">GFS net operating balance </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1 432</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2 293</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1 777</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2 729</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3 036</w:t>
            </w:r>
          </w:p>
        </w:tc>
      </w:tr>
      <w:tr w:rsidR="004B6846" w:rsidRPr="008D5734" w:rsidTr="00CC0EB7">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lang w:eastAsia="en-AU"/>
              </w:rPr>
            </w:pPr>
            <w:r w:rsidRPr="008D5734">
              <w:rPr>
                <w:rFonts w:eastAsiaTheme="minorEastAsia" w:cs="Calibri"/>
                <w:b/>
                <w:bCs/>
                <w:color w:val="000000"/>
                <w:lang w:eastAsia="en-AU"/>
              </w:rPr>
              <w:t>Net lending/(borrowing)</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(541)</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214</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(1 355)</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332</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1 070</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i/>
                <w:iCs/>
                <w:color w:val="000000"/>
                <w:lang w:eastAsia="en-AU"/>
              </w:rPr>
            </w:pPr>
            <w:r w:rsidRPr="008D5734">
              <w:rPr>
                <w:rFonts w:eastAsiaTheme="minorEastAsia" w:cs="Calibri"/>
                <w:i/>
                <w:iCs/>
                <w:color w:val="000000"/>
                <w:lang w:eastAsia="en-AU"/>
              </w:rPr>
              <w:t>Convergence differences:</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lang w:eastAsia="en-AU"/>
              </w:rPr>
            </w:pPr>
            <w:r w:rsidRPr="008D5734">
              <w:rPr>
                <w:rFonts w:eastAsiaTheme="minorEastAsia" w:cs="Calibri"/>
                <w:color w:val="000000"/>
                <w:lang w:eastAsia="en-AU"/>
              </w:rPr>
              <w:t xml:space="preserve">Licence fees </w:t>
            </w:r>
            <w:r w:rsidRPr="008D5734">
              <w:rPr>
                <w:rFonts w:eastAsiaTheme="minorEastAsia" w:cs="Calibri"/>
                <w:color w:val="000000"/>
                <w:vertAlign w:val="superscript"/>
                <w:lang w:eastAsia="en-AU"/>
              </w:rPr>
              <w:t>(c)</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rPr>
                <w:rFonts w:eastAsiaTheme="minorEastAsia" w:cs="Calibri"/>
                <w:i/>
                <w:iCs/>
                <w:color w:val="000000"/>
                <w:lang w:eastAsia="en-AU"/>
              </w:rPr>
            </w:pPr>
            <w:r w:rsidRPr="008D5734">
              <w:rPr>
                <w:rFonts w:eastAsiaTheme="minorEastAsia" w:cs="Calibri"/>
                <w:i/>
                <w:iCs/>
                <w:color w:val="000000"/>
                <w:lang w:eastAsia="en-AU"/>
              </w:rPr>
              <w:t>plus total convergence difference:</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rPr>
                <w:rFonts w:eastAsiaTheme="minorEastAsia" w:cs="Calibri"/>
                <w:b/>
                <w:bCs/>
                <w:color w:val="000000"/>
                <w:lang w:eastAsia="en-AU"/>
              </w:rPr>
            </w:pPr>
            <w:r w:rsidRPr="008D5734">
              <w:rPr>
                <w:rFonts w:eastAsiaTheme="minorEastAsia" w:cs="Calibri"/>
                <w:b/>
                <w:bCs/>
                <w:color w:val="000000"/>
                <w:lang w:eastAsia="en-AU"/>
              </w:rPr>
              <w:t xml:space="preserve">GFS net lending/(borrowing) </w:t>
            </w:r>
          </w:p>
        </w:tc>
        <w:tc>
          <w:tcPr>
            <w:tcW w:w="850" w:type="dxa"/>
            <w:tcBorders>
              <w:top w:val="single" w:sz="6" w:space="0" w:color="auto"/>
              <w:left w:val="nil"/>
              <w:bottom w:val="single" w:sz="12"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(489)</w:t>
            </w:r>
          </w:p>
        </w:tc>
        <w:tc>
          <w:tcPr>
            <w:tcW w:w="850" w:type="dxa"/>
            <w:tcBorders>
              <w:top w:val="single" w:sz="6" w:space="0" w:color="auto"/>
              <w:left w:val="nil"/>
              <w:bottom w:val="single" w:sz="12"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266</w:t>
            </w:r>
          </w:p>
        </w:tc>
        <w:tc>
          <w:tcPr>
            <w:tcW w:w="850" w:type="dxa"/>
            <w:tcBorders>
              <w:top w:val="single" w:sz="6" w:space="0" w:color="auto"/>
              <w:left w:val="nil"/>
              <w:bottom w:val="single" w:sz="12"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(1 302)</w:t>
            </w:r>
          </w:p>
        </w:tc>
        <w:tc>
          <w:tcPr>
            <w:tcW w:w="850" w:type="dxa"/>
            <w:tcBorders>
              <w:top w:val="single" w:sz="6" w:space="0" w:color="auto"/>
              <w:left w:val="nil"/>
              <w:bottom w:val="single" w:sz="12"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384</w:t>
            </w:r>
          </w:p>
        </w:tc>
        <w:tc>
          <w:tcPr>
            <w:tcW w:w="850" w:type="dxa"/>
            <w:tcBorders>
              <w:top w:val="single" w:sz="6" w:space="0" w:color="auto"/>
              <w:left w:val="nil"/>
              <w:bottom w:val="single" w:sz="12"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1 122</w:t>
            </w:r>
          </w:p>
        </w:tc>
      </w:tr>
      <w:tr w:rsidR="004B6846" w:rsidRPr="008D5734" w:rsidTr="00CC0EB7">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lang w:eastAsia="en-AU"/>
              </w:rPr>
            </w:pPr>
            <w:r w:rsidRPr="008D5734">
              <w:rPr>
                <w:rFonts w:eastAsiaTheme="minorEastAsia" w:cs="Calibri"/>
                <w:b/>
                <w:bCs/>
                <w:color w:val="000000"/>
                <w:lang w:eastAsia="en-AU"/>
              </w:rPr>
              <w:t xml:space="preserve">Comprehensive result – </w:t>
            </w:r>
            <w:r w:rsidR="00065FD3">
              <w:rPr>
                <w:rFonts w:eastAsiaTheme="minorEastAsia" w:cs="Calibri"/>
                <w:b/>
                <w:bCs/>
                <w:color w:val="000000"/>
                <w:lang w:eastAsia="en-AU"/>
              </w:rPr>
              <w:br/>
            </w:r>
            <w:r w:rsidRPr="008D5734">
              <w:rPr>
                <w:rFonts w:eastAsiaTheme="minorEastAsia" w:cs="Calibri"/>
                <w:b/>
                <w:bCs/>
                <w:color w:val="000000"/>
                <w:lang w:eastAsia="en-AU"/>
              </w:rPr>
              <w:t>total change in net worth</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2 878</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6 713</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10 547</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5 463</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7 094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i/>
                <w:iCs/>
                <w:color w:val="000000"/>
                <w:lang w:eastAsia="en-AU"/>
              </w:rPr>
            </w:pPr>
            <w:r w:rsidRPr="008D5734">
              <w:rPr>
                <w:rFonts w:eastAsiaTheme="minorEastAsia" w:cs="Calibri"/>
                <w:i/>
                <w:iCs/>
                <w:color w:val="000000"/>
                <w:lang w:eastAsia="en-AU"/>
              </w:rPr>
              <w:t xml:space="preserve">Convergence differences: </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lang w:eastAsia="en-AU"/>
              </w:rPr>
            </w:pPr>
            <w:r w:rsidRPr="008D5734">
              <w:rPr>
                <w:rFonts w:eastAsiaTheme="minorEastAsia" w:cs="Calibri"/>
                <w:color w:val="000000"/>
                <w:lang w:eastAsia="en-AU"/>
              </w:rPr>
              <w:t xml:space="preserve">Doubtful receivables of the general government sector </w:t>
            </w:r>
            <w:r w:rsidRPr="008D5734">
              <w:rPr>
                <w:rFonts w:eastAsiaTheme="minorEastAsia" w:cs="Calibri"/>
                <w:color w:val="000000"/>
                <w:vertAlign w:val="superscript"/>
                <w:lang w:eastAsia="en-AU"/>
              </w:rPr>
              <w:t>(d)</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41</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41</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39</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41</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lang w:eastAsia="en-AU"/>
              </w:rPr>
            </w:pPr>
            <w:r w:rsidRPr="008D5734">
              <w:rPr>
                <w:rFonts w:eastAsiaTheme="minorEastAsia" w:cs="Calibri"/>
                <w:color w:val="000000"/>
                <w:lang w:eastAsia="en-AU"/>
              </w:rPr>
              <w:t xml:space="preserve">Net gain on equity investments in other sector entities measured at proportional share of the carrying amount of net assets/(liabilities) </w:t>
            </w:r>
            <w:r w:rsidRPr="008D5734">
              <w:rPr>
                <w:rFonts w:eastAsiaTheme="minorEastAsia" w:cs="Calibri"/>
                <w:color w:val="000000"/>
                <w:vertAlign w:val="superscript"/>
                <w:lang w:eastAsia="en-AU"/>
              </w:rPr>
              <w:t>(e)</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(382)</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(333)</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(121)</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(356)</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lang w:eastAsia="en-AU"/>
              </w:rPr>
            </w:pPr>
            <w:r w:rsidRPr="008D5734">
              <w:rPr>
                <w:rFonts w:eastAsiaTheme="minorEastAsia" w:cs="Calibri"/>
                <w:color w:val="000000"/>
                <w:lang w:eastAsia="en-AU"/>
              </w:rPr>
              <w:t xml:space="preserve">Unearned income relating to licence fees </w:t>
            </w:r>
            <w:r w:rsidRPr="008D5734">
              <w:rPr>
                <w:rFonts w:eastAsiaTheme="minorEastAsia" w:cs="Calibri"/>
                <w:color w:val="000000"/>
                <w:vertAlign w:val="superscript"/>
                <w:lang w:eastAsia="en-AU"/>
              </w:rPr>
              <w:t>(c)</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lang w:eastAsia="en-AU"/>
              </w:rPr>
            </w:pPr>
            <w:r w:rsidRPr="008D5734">
              <w:rPr>
                <w:rFonts w:eastAsiaTheme="minorEastAsia" w:cs="Calibri"/>
                <w:color w:val="000000"/>
                <w:lang w:eastAsia="en-AU"/>
              </w:rPr>
              <w:t xml:space="preserve">Port of Melbourne lease transaction </w:t>
            </w:r>
            <w:r w:rsidRPr="008D5734">
              <w:rPr>
                <w:rFonts w:eastAsiaTheme="minorEastAsia" w:cs="Calibri"/>
                <w:color w:val="000000"/>
                <w:vertAlign w:val="superscript"/>
                <w:lang w:eastAsia="en-AU"/>
              </w:rPr>
              <w:t>(f)</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(144)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(144)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(144)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(144)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(153)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rPr>
                <w:rFonts w:eastAsiaTheme="minorEastAsia" w:cs="Calibri"/>
                <w:i/>
                <w:iCs/>
                <w:color w:val="000000"/>
                <w:lang w:eastAsia="en-AU"/>
              </w:rPr>
            </w:pPr>
            <w:r w:rsidRPr="008D5734">
              <w:rPr>
                <w:rFonts w:eastAsiaTheme="minorEastAsia" w:cs="Calibri"/>
                <w:i/>
                <w:iCs/>
                <w:color w:val="000000"/>
                <w:lang w:eastAsia="en-AU"/>
              </w:rPr>
              <w:t>plus total convergence difference:</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(434)</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(385)</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(174)</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(59)</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(411)</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rPr>
                <w:rFonts w:eastAsiaTheme="minorEastAsia" w:cs="Calibri"/>
                <w:b/>
                <w:bCs/>
                <w:color w:val="000000"/>
                <w:lang w:eastAsia="en-AU"/>
              </w:rPr>
            </w:pPr>
            <w:r w:rsidRPr="008D5734">
              <w:rPr>
                <w:rFonts w:eastAsiaTheme="minorEastAsia" w:cs="Calibri"/>
                <w:b/>
                <w:bCs/>
                <w:color w:val="000000"/>
                <w:lang w:eastAsia="en-AU"/>
              </w:rPr>
              <w:t xml:space="preserve">GFS total change in net worth </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2 445</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6 328</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10 373</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5 403</w:t>
            </w:r>
          </w:p>
        </w:tc>
        <w:tc>
          <w:tcPr>
            <w:tcW w:w="850" w:type="dxa"/>
            <w:tcBorders>
              <w:top w:val="single" w:sz="6" w:space="0" w:color="auto"/>
              <w:left w:val="nil"/>
              <w:bottom w:val="single" w:sz="12" w:space="0" w:color="auto"/>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6 683</w:t>
            </w:r>
          </w:p>
        </w:tc>
      </w:tr>
      <w:tr w:rsidR="004B6846" w:rsidRPr="008D5734" w:rsidTr="00CC0EB7">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b/>
                <w:bCs/>
                <w:color w:val="000000"/>
                <w:lang w:eastAsia="en-AU"/>
              </w:rPr>
            </w:pPr>
            <w:r w:rsidRPr="008D5734">
              <w:rPr>
                <w:rFonts w:eastAsiaTheme="minorEastAsia" w:cs="Calibri"/>
                <w:b/>
                <w:bCs/>
                <w:color w:val="000000"/>
                <w:lang w:eastAsia="en-AU"/>
              </w:rPr>
              <w:t>Net worth</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186 995</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190 829</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201 376</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206 839</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8D5734">
              <w:rPr>
                <w:rFonts w:eastAsiaTheme="minorEastAsia" w:cs="Calibri"/>
                <w:b/>
                <w:bCs/>
                <w:color w:val="000000"/>
                <w:lang w:eastAsia="en-AU"/>
              </w:rPr>
              <w:t>213 933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i/>
                <w:iCs/>
                <w:color w:val="000000"/>
                <w:lang w:eastAsia="en-AU"/>
              </w:rPr>
            </w:pPr>
            <w:r w:rsidRPr="008D5734">
              <w:rPr>
                <w:rFonts w:eastAsiaTheme="minorEastAsia" w:cs="Calibri"/>
                <w:i/>
                <w:iCs/>
                <w:color w:val="000000"/>
                <w:lang w:eastAsia="en-AU"/>
              </w:rPr>
              <w:t>Convergence differences:</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 xml:space="preserve"> </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lang w:eastAsia="en-AU"/>
              </w:rPr>
            </w:pPr>
            <w:r w:rsidRPr="008D5734">
              <w:rPr>
                <w:rFonts w:eastAsiaTheme="minorEastAsia" w:cs="Calibri"/>
                <w:color w:val="000000"/>
                <w:lang w:eastAsia="en-AU"/>
              </w:rPr>
              <w:t xml:space="preserve">Doubtful receivables of the general government sector </w:t>
            </w:r>
            <w:r w:rsidRPr="008D5734">
              <w:rPr>
                <w:rFonts w:eastAsiaTheme="minorEastAsia" w:cs="Calibri"/>
                <w:color w:val="000000"/>
                <w:vertAlign w:val="superscript"/>
                <w:lang w:eastAsia="en-AU"/>
              </w:rPr>
              <w:t>(d)</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1 318</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1 318</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1 357</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1 398</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1 444</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lang w:eastAsia="en-AU"/>
              </w:rPr>
            </w:pPr>
            <w:r w:rsidRPr="008D5734">
              <w:rPr>
                <w:rFonts w:eastAsiaTheme="minorEastAsia" w:cs="Calibri"/>
                <w:color w:val="000000"/>
                <w:lang w:eastAsia="en-AU"/>
              </w:rPr>
              <w:t xml:space="preserve">Investments in other sector entities </w:t>
            </w:r>
            <w:r w:rsidRPr="008D5734">
              <w:rPr>
                <w:rFonts w:eastAsiaTheme="minorEastAsia" w:cs="Calibri"/>
                <w:color w:val="000000"/>
                <w:vertAlign w:val="superscript"/>
                <w:lang w:eastAsia="en-AU"/>
              </w:rPr>
              <w:t>(g)</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6 787</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6 836</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6 716</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6 708</w:t>
            </w:r>
          </w:p>
        </w:tc>
        <w:tc>
          <w:tcPr>
            <w:tcW w:w="850" w:type="dxa"/>
            <w:tcBorders>
              <w:top w:val="nil"/>
              <w:left w:val="nil"/>
              <w:bottom w:val="nil"/>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6 352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lang w:eastAsia="en-AU"/>
              </w:rPr>
            </w:pPr>
            <w:r w:rsidRPr="008D5734">
              <w:rPr>
                <w:rFonts w:eastAsiaTheme="minorEastAsia" w:cs="Calibri"/>
                <w:color w:val="000000"/>
                <w:lang w:eastAsia="en-AU"/>
              </w:rPr>
              <w:t xml:space="preserve">Unearned income relating to licence fees </w:t>
            </w:r>
            <w:r w:rsidRPr="008D5734">
              <w:rPr>
                <w:rFonts w:eastAsiaTheme="minorEastAsia" w:cs="Calibri"/>
                <w:color w:val="000000"/>
                <w:vertAlign w:val="superscript"/>
                <w:lang w:eastAsia="en-AU"/>
              </w:rPr>
              <w:t>(c)</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(679)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(679)</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(626)</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(574)</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(522)</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8D5734" w:rsidRDefault="004B6846" w:rsidP="00CC0EB7">
            <w:pPr>
              <w:keepLines w:val="0"/>
              <w:autoSpaceDE w:val="0"/>
              <w:autoSpaceDN w:val="0"/>
              <w:adjustRightInd w:val="0"/>
              <w:rPr>
                <w:rFonts w:eastAsiaTheme="minorEastAsia" w:cs="Calibri"/>
                <w:color w:val="000000"/>
                <w:lang w:eastAsia="en-AU"/>
              </w:rPr>
            </w:pPr>
            <w:r w:rsidRPr="008D5734">
              <w:rPr>
                <w:rFonts w:eastAsiaTheme="minorEastAsia" w:cs="Calibri"/>
                <w:color w:val="000000"/>
                <w:lang w:eastAsia="en-AU"/>
              </w:rPr>
              <w:t xml:space="preserve">Port of Melbourne lease transaction </w:t>
            </w:r>
            <w:r w:rsidRPr="008D5734">
              <w:rPr>
                <w:rFonts w:eastAsiaTheme="minorEastAsia" w:cs="Calibri"/>
                <w:color w:val="000000"/>
                <w:vertAlign w:val="superscript"/>
                <w:lang w:eastAsia="en-AU"/>
              </w:rPr>
              <w:t>(f)</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(1 211)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(1 211)</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(1 355)</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(1 500)</w:t>
            </w:r>
          </w:p>
        </w:tc>
        <w:tc>
          <w:tcPr>
            <w:tcW w:w="850" w:type="dxa"/>
            <w:tcBorders>
              <w:top w:val="nil"/>
              <w:left w:val="nil"/>
              <w:bottom w:val="nil"/>
              <w:right w:val="nil"/>
            </w:tcBorders>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(1 653)</w:t>
            </w:r>
          </w:p>
        </w:tc>
      </w:tr>
      <w:tr w:rsidR="004B6846" w:rsidRPr="008D573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4B6846" w:rsidRPr="008D5734" w:rsidRDefault="004B6846" w:rsidP="00CC0EB7">
            <w:pPr>
              <w:keepLines w:val="0"/>
              <w:autoSpaceDE w:val="0"/>
              <w:autoSpaceDN w:val="0"/>
              <w:adjustRightInd w:val="0"/>
              <w:rPr>
                <w:rFonts w:eastAsiaTheme="minorEastAsia" w:cs="Calibri"/>
                <w:i/>
                <w:iCs/>
                <w:color w:val="000000"/>
                <w:lang w:eastAsia="en-AU"/>
              </w:rPr>
            </w:pPr>
            <w:r w:rsidRPr="008D5734">
              <w:rPr>
                <w:rFonts w:eastAsiaTheme="minorEastAsia" w:cs="Calibri"/>
                <w:i/>
                <w:iCs/>
                <w:color w:val="000000"/>
                <w:lang w:eastAsia="en-AU"/>
              </w:rPr>
              <w:t>plus total convergence difference:</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6 216</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6 265</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6 091</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6 032</w:t>
            </w:r>
          </w:p>
        </w:tc>
        <w:tc>
          <w:tcPr>
            <w:tcW w:w="850" w:type="dxa"/>
            <w:tcBorders>
              <w:top w:val="single" w:sz="6" w:space="0" w:color="auto"/>
              <w:left w:val="nil"/>
              <w:bottom w:val="single" w:sz="6" w:space="0" w:color="auto"/>
              <w:right w:val="nil"/>
            </w:tcBorders>
            <w:shd w:val="solid" w:color="FFFFFF" w:fill="auto"/>
          </w:tcPr>
          <w:p w:rsidR="004B6846" w:rsidRPr="008D573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8D5734">
              <w:rPr>
                <w:rFonts w:eastAsiaTheme="minorEastAsia" w:cs="Calibri"/>
                <w:color w:val="000000"/>
                <w:lang w:eastAsia="en-AU"/>
              </w:rPr>
              <w:t>5 621</w:t>
            </w:r>
          </w:p>
        </w:tc>
      </w:tr>
      <w:tr w:rsidR="004B6846" w:rsidRPr="008D573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bottom w:val="single" w:sz="12" w:space="0" w:color="auto"/>
            </w:tcBorders>
          </w:tcPr>
          <w:p w:rsidR="004B6846" w:rsidRPr="008D5734" w:rsidRDefault="004B6846" w:rsidP="00CC0EB7">
            <w:pPr>
              <w:keepLines w:val="0"/>
              <w:autoSpaceDE w:val="0"/>
              <w:autoSpaceDN w:val="0"/>
              <w:adjustRightInd w:val="0"/>
              <w:rPr>
                <w:rFonts w:eastAsiaTheme="minorEastAsia" w:cs="Calibri"/>
                <w:bCs/>
                <w:color w:val="000000"/>
                <w:lang w:eastAsia="en-AU"/>
              </w:rPr>
            </w:pPr>
            <w:r w:rsidRPr="008D5734">
              <w:rPr>
                <w:rFonts w:eastAsiaTheme="minorEastAsia" w:cs="Calibri"/>
                <w:bCs/>
                <w:color w:val="000000"/>
                <w:lang w:eastAsia="en-AU"/>
              </w:rPr>
              <w:t xml:space="preserve">GFS net worth </w:t>
            </w:r>
          </w:p>
        </w:tc>
        <w:tc>
          <w:tcPr>
            <w:tcW w:w="850" w:type="dxa"/>
            <w:tcBorders>
              <w:top w:val="single" w:sz="6" w:space="0" w:color="auto"/>
              <w:bottom w:val="single" w:sz="12" w:space="0" w:color="auto"/>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8D5734">
              <w:rPr>
                <w:rFonts w:eastAsiaTheme="minorEastAsia" w:cs="Calibri"/>
                <w:bCs/>
                <w:color w:val="000000"/>
                <w:lang w:eastAsia="en-AU"/>
              </w:rPr>
              <w:t>193 210</w:t>
            </w:r>
          </w:p>
        </w:tc>
        <w:tc>
          <w:tcPr>
            <w:tcW w:w="850" w:type="dxa"/>
            <w:tcBorders>
              <w:top w:val="single" w:sz="6" w:space="0" w:color="auto"/>
              <w:bottom w:val="single" w:sz="12" w:space="0" w:color="auto"/>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8D5734">
              <w:rPr>
                <w:rFonts w:eastAsiaTheme="minorEastAsia" w:cs="Calibri"/>
                <w:bCs/>
                <w:color w:val="000000"/>
                <w:lang w:eastAsia="en-AU"/>
              </w:rPr>
              <w:t>197 094</w:t>
            </w:r>
          </w:p>
        </w:tc>
        <w:tc>
          <w:tcPr>
            <w:tcW w:w="850" w:type="dxa"/>
            <w:tcBorders>
              <w:top w:val="single" w:sz="6" w:space="0" w:color="auto"/>
              <w:bottom w:val="single" w:sz="12" w:space="0" w:color="auto"/>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8D5734">
              <w:rPr>
                <w:rFonts w:eastAsiaTheme="minorEastAsia" w:cs="Calibri"/>
                <w:bCs/>
                <w:color w:val="000000"/>
                <w:lang w:eastAsia="en-AU"/>
              </w:rPr>
              <w:t>207 467</w:t>
            </w:r>
          </w:p>
        </w:tc>
        <w:tc>
          <w:tcPr>
            <w:tcW w:w="850" w:type="dxa"/>
            <w:tcBorders>
              <w:top w:val="single" w:sz="6" w:space="0" w:color="auto"/>
              <w:bottom w:val="single" w:sz="12" w:space="0" w:color="auto"/>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8D5734">
              <w:rPr>
                <w:rFonts w:eastAsiaTheme="minorEastAsia" w:cs="Calibri"/>
                <w:bCs/>
                <w:color w:val="000000"/>
                <w:lang w:eastAsia="en-AU"/>
              </w:rPr>
              <w:t>212 870</w:t>
            </w:r>
          </w:p>
        </w:tc>
        <w:tc>
          <w:tcPr>
            <w:tcW w:w="850" w:type="dxa"/>
            <w:tcBorders>
              <w:top w:val="single" w:sz="6" w:space="0" w:color="auto"/>
              <w:bottom w:val="single" w:sz="12" w:space="0" w:color="auto"/>
            </w:tcBorders>
          </w:tcPr>
          <w:p w:rsidR="004B6846" w:rsidRPr="008D573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8D5734">
              <w:rPr>
                <w:rFonts w:eastAsiaTheme="minorEastAsia" w:cs="Calibri"/>
                <w:bCs/>
                <w:color w:val="000000"/>
                <w:lang w:eastAsia="en-AU"/>
              </w:rPr>
              <w:t>219 554</w:t>
            </w:r>
          </w:p>
        </w:tc>
      </w:tr>
    </w:tbl>
    <w:p w:rsidR="004B6846" w:rsidRPr="00434F7A" w:rsidRDefault="004B6846" w:rsidP="00CC0EB7">
      <w:pPr>
        <w:pStyle w:val="Source"/>
      </w:pPr>
      <w:r w:rsidRPr="00434F7A">
        <w:t>Source: Department of Treasury and Finance</w:t>
      </w:r>
    </w:p>
    <w:p w:rsidR="004B6846" w:rsidRPr="00434F7A" w:rsidRDefault="004B6846" w:rsidP="00CC0EB7">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Notes:</w:t>
      </w:r>
    </w:p>
    <w:p w:rsidR="004B6846" w:rsidRPr="00434F7A" w:rsidRDefault="004B6846" w:rsidP="00CC0EB7">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(a)</w:t>
      </w:r>
      <w:r w:rsidRPr="00434F7A">
        <w:rPr>
          <w:rFonts w:asciiTheme="majorHAnsi" w:hAnsiTheme="majorHAnsi"/>
          <w:i/>
          <w:spacing w:val="-2"/>
          <w:sz w:val="14"/>
          <w:lang w:val="en-US"/>
        </w:rPr>
        <w:tab/>
        <w:t>Determined in accordance with the ABS GFS manual.</w:t>
      </w:r>
    </w:p>
    <w:p w:rsidR="004B6846" w:rsidRDefault="004B6846" w:rsidP="00CC0EB7">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(b)</w:t>
      </w:r>
      <w:r w:rsidRPr="00434F7A">
        <w:rPr>
          <w:rFonts w:asciiTheme="majorHAnsi" w:hAnsiTheme="majorHAnsi"/>
          <w:i/>
          <w:spacing w:val="-2"/>
          <w:sz w:val="14"/>
          <w:lang w:val="en-US"/>
        </w:rPr>
        <w:tab/>
      </w:r>
      <w:r>
        <w:rPr>
          <w:rFonts w:asciiTheme="majorHAnsi" w:hAnsiTheme="majorHAnsi"/>
          <w:i/>
          <w:spacing w:val="-2"/>
          <w:sz w:val="14"/>
          <w:lang w:val="en-US"/>
        </w:rPr>
        <w:t>U</w:t>
      </w:r>
      <w:r w:rsidRPr="0019440D">
        <w:rPr>
          <w:rFonts w:asciiTheme="majorHAnsi" w:hAnsiTheme="majorHAnsi"/>
          <w:i/>
          <w:spacing w:val="-2"/>
          <w:sz w:val="14"/>
          <w:lang w:val="en-US"/>
        </w:rPr>
        <w:t>nder the new ABS GFS manual the converge</w:t>
      </w:r>
      <w:r>
        <w:rPr>
          <w:rFonts w:asciiTheme="majorHAnsi" w:hAnsiTheme="majorHAnsi"/>
          <w:i/>
          <w:spacing w:val="-2"/>
          <w:sz w:val="14"/>
          <w:lang w:val="en-US"/>
        </w:rPr>
        <w:t>nce difference for cash surplus/</w:t>
      </w:r>
      <w:r w:rsidRPr="0019440D">
        <w:rPr>
          <w:rFonts w:asciiTheme="majorHAnsi" w:hAnsiTheme="majorHAnsi"/>
          <w:i/>
          <w:spacing w:val="-2"/>
          <w:sz w:val="14"/>
          <w:lang w:val="en-US"/>
        </w:rPr>
        <w:t>deficit relating to acquisitions under finance lease arrangements</w:t>
      </w:r>
      <w:r>
        <w:rPr>
          <w:rFonts w:asciiTheme="majorHAnsi" w:hAnsiTheme="majorHAnsi"/>
          <w:i/>
          <w:spacing w:val="-2"/>
          <w:sz w:val="14"/>
          <w:lang w:val="en-US"/>
        </w:rPr>
        <w:t xml:space="preserve"> has been removed.</w:t>
      </w:r>
      <w:r w:rsidRPr="00434F7A">
        <w:rPr>
          <w:rFonts w:asciiTheme="majorHAnsi" w:hAnsiTheme="majorHAnsi"/>
          <w:i/>
          <w:spacing w:val="-2"/>
          <w:sz w:val="14"/>
          <w:lang w:val="en-US"/>
        </w:rPr>
        <w:t xml:space="preserve"> </w:t>
      </w:r>
    </w:p>
    <w:p w:rsidR="004B6846" w:rsidRPr="00434F7A" w:rsidRDefault="004B6846" w:rsidP="00CC0EB7">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(c)</w:t>
      </w:r>
      <w:r w:rsidRPr="00434F7A">
        <w:rPr>
          <w:rFonts w:asciiTheme="majorHAnsi" w:hAnsiTheme="majorHAnsi"/>
          <w:i/>
          <w:spacing w:val="-2"/>
          <w:sz w:val="14"/>
          <w:lang w:val="en-US"/>
        </w:rPr>
        <w:tab/>
      </w:r>
      <w:r>
        <w:rPr>
          <w:rFonts w:asciiTheme="majorHAnsi" w:hAnsiTheme="majorHAnsi"/>
          <w:i/>
          <w:spacing w:val="-2"/>
          <w:sz w:val="14"/>
          <w:lang w:val="en-US"/>
        </w:rPr>
        <w:t xml:space="preserve">The convergence difference arises because the GFS </w:t>
      </w:r>
      <w:r w:rsidRPr="00A73F91">
        <w:rPr>
          <w:rFonts w:asciiTheme="majorHAnsi" w:hAnsiTheme="majorHAnsi"/>
          <w:i/>
          <w:spacing w:val="-2"/>
          <w:sz w:val="14"/>
        </w:rPr>
        <w:t>recognises</w:t>
      </w:r>
      <w:r>
        <w:rPr>
          <w:rFonts w:asciiTheme="majorHAnsi" w:hAnsiTheme="majorHAnsi"/>
          <w:i/>
          <w:spacing w:val="-2"/>
          <w:sz w:val="14"/>
          <w:lang w:val="en-US"/>
        </w:rPr>
        <w:t xml:space="preserve"> the 15-year prepaid Port Licence Fee from the medium-term lease of the Port of Melbourne as revenue over the 15-year period.</w:t>
      </w:r>
    </w:p>
    <w:p w:rsidR="004B6846" w:rsidRPr="00434F7A" w:rsidRDefault="004B6846" w:rsidP="00CC0EB7">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(d)</w:t>
      </w:r>
      <w:r w:rsidRPr="00434F7A">
        <w:rPr>
          <w:rFonts w:asciiTheme="majorHAnsi" w:hAnsiTheme="majorHAnsi"/>
          <w:i/>
          <w:spacing w:val="-2"/>
          <w:sz w:val="14"/>
          <w:lang w:val="en-US"/>
        </w:rPr>
        <w:tab/>
      </w:r>
      <w:r>
        <w:rPr>
          <w:rFonts w:asciiTheme="majorHAnsi" w:hAnsiTheme="majorHAnsi"/>
          <w:i/>
          <w:spacing w:val="-2"/>
          <w:sz w:val="14"/>
          <w:lang w:val="en-US"/>
        </w:rPr>
        <w:t>The convergence difference in accounts receivable arises because GFS does not recognise doubtful receivables, whereas a provision for doubtful receivables is recognised in the balance sheet.</w:t>
      </w:r>
    </w:p>
    <w:p w:rsidR="004B6846" w:rsidRPr="00434F7A" w:rsidRDefault="004B6846" w:rsidP="00CC0EB7">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(e)</w:t>
      </w:r>
      <w:r w:rsidRPr="00434F7A">
        <w:rPr>
          <w:rFonts w:asciiTheme="majorHAnsi" w:hAnsiTheme="majorHAnsi"/>
          <w:i/>
          <w:spacing w:val="-2"/>
          <w:sz w:val="14"/>
          <w:lang w:val="en-US"/>
        </w:rPr>
        <w:tab/>
      </w:r>
      <w:r>
        <w:rPr>
          <w:rFonts w:asciiTheme="majorHAnsi" w:hAnsiTheme="majorHAnsi"/>
          <w:i/>
          <w:spacing w:val="-2"/>
          <w:sz w:val="14"/>
          <w:lang w:val="en-US"/>
        </w:rPr>
        <w:t>Net gain on equity investments in other sector entities includes doubtful receivables, future tax benefits and deferred tax liability of the PNFC and PFC sectors.</w:t>
      </w:r>
    </w:p>
    <w:p w:rsidR="004B6846" w:rsidRPr="00434F7A" w:rsidRDefault="004B6846" w:rsidP="00CC0EB7">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(f)</w:t>
      </w:r>
      <w:r w:rsidRPr="00434F7A">
        <w:rPr>
          <w:rFonts w:asciiTheme="majorHAnsi" w:hAnsiTheme="majorHAnsi"/>
          <w:i/>
          <w:spacing w:val="-2"/>
          <w:sz w:val="14"/>
          <w:lang w:val="en-US"/>
        </w:rPr>
        <w:tab/>
      </w:r>
      <w:r>
        <w:rPr>
          <w:rFonts w:asciiTheme="majorHAnsi" w:hAnsiTheme="majorHAnsi"/>
          <w:i/>
          <w:spacing w:val="-2"/>
          <w:sz w:val="14"/>
          <w:lang w:val="en-US"/>
        </w:rPr>
        <w:t>The convergence difference for the Port of Melbourne lease transaction arises because GFS recognised the transaction as a sale of equity from the general government sector, whereas under Australian Accounting Standards the Port of Melbourne lease transaction has been treated as an operating lease with the leased assets remaining with the PNFC sector.</w:t>
      </w:r>
    </w:p>
    <w:p w:rsidR="004B6846" w:rsidRPr="00434F7A" w:rsidRDefault="004B6846" w:rsidP="00CC0EB7">
      <w:pPr>
        <w:spacing w:before="20"/>
        <w:ind w:left="284" w:hanging="284"/>
        <w:contextualSpacing/>
        <w:rPr>
          <w:rFonts w:asciiTheme="majorHAnsi" w:hAnsiTheme="majorHAnsi"/>
          <w:i/>
          <w:spacing w:val="-2"/>
          <w:sz w:val="14"/>
        </w:rPr>
      </w:pPr>
      <w:r w:rsidRPr="00434F7A">
        <w:rPr>
          <w:rFonts w:asciiTheme="majorHAnsi" w:hAnsiTheme="majorHAnsi"/>
          <w:i/>
          <w:spacing w:val="-2"/>
          <w:sz w:val="14"/>
          <w:lang w:val="en-US"/>
        </w:rPr>
        <w:t>(g)</w:t>
      </w:r>
      <w:r w:rsidRPr="00434F7A">
        <w:rPr>
          <w:rFonts w:asciiTheme="majorHAnsi" w:hAnsiTheme="majorHAnsi"/>
          <w:i/>
          <w:spacing w:val="-2"/>
          <w:sz w:val="14"/>
          <w:lang w:val="en-US"/>
        </w:rPr>
        <w:tab/>
      </w:r>
      <w:r>
        <w:rPr>
          <w:rFonts w:asciiTheme="majorHAnsi" w:hAnsiTheme="majorHAnsi"/>
          <w:i/>
          <w:spacing w:val="-2"/>
          <w:sz w:val="14"/>
          <w:lang w:val="en-US"/>
        </w:rPr>
        <w:t>Investments in other sector entities for general government sector includes doubtful receivables, future tax benefits and deferred tax liability of the PNFC and PFC sectors.</w:t>
      </w:r>
    </w:p>
    <w:p w:rsidR="004B6846" w:rsidRPr="00A767A3" w:rsidRDefault="004B6846" w:rsidP="004B6846">
      <w:pPr>
        <w:pStyle w:val="Heading3"/>
        <w:numPr>
          <w:ilvl w:val="2"/>
          <w:numId w:val="19"/>
        </w:numPr>
        <w:spacing w:after="60"/>
        <w:rPr>
          <w:sz w:val="22"/>
        </w:rPr>
      </w:pPr>
      <w:bookmarkStart w:id="80" w:name="_Toc496606684"/>
      <w:bookmarkStart w:id="81" w:name="_Toc530148456"/>
      <w:r w:rsidRPr="00A767A3">
        <w:rPr>
          <w:sz w:val="22"/>
        </w:rPr>
        <w:lastRenderedPageBreak/>
        <w:t>Financial instruments</w:t>
      </w:r>
      <w:bookmarkEnd w:id="80"/>
      <w:bookmarkEnd w:id="81"/>
    </w:p>
    <w:p w:rsidR="004B6846" w:rsidRDefault="004B6846" w:rsidP="00CC0EB7">
      <w:r>
        <w:t xml:space="preserve">Note 7.1 in the </w:t>
      </w:r>
      <w:r>
        <w:rPr>
          <w:i/>
        </w:rPr>
        <w:t>2017-18</w:t>
      </w:r>
      <w:r w:rsidRPr="00E65B89">
        <w:rPr>
          <w:i/>
        </w:rPr>
        <w:t xml:space="preserve"> Financial Report</w:t>
      </w:r>
      <w:r>
        <w:t xml:space="preserve"> for the State of Victoria contains comprehensive disclosures of the State’s (including the general government sector’s) financial instruments, including financial risk management objectives and policies.</w:t>
      </w:r>
    </w:p>
    <w:p w:rsidR="004B6846" w:rsidRDefault="004B6846" w:rsidP="00A767A3">
      <w:pPr>
        <w:ind w:right="-227"/>
      </w:pPr>
      <w:r>
        <w:t xml:space="preserve">AASB 9 </w:t>
      </w:r>
      <w:r w:rsidRPr="00B7562F">
        <w:rPr>
          <w:i/>
        </w:rPr>
        <w:t>Financial Instruments</w:t>
      </w:r>
      <w:r>
        <w:t xml:space="preserve"> supersedes previous versions of the standard (AASB 9 (2014)) and certain parts of AASB 139 </w:t>
      </w:r>
      <w:r w:rsidRPr="00B7562F">
        <w:rPr>
          <w:i/>
        </w:rPr>
        <w:t>Financial Instruments: Recognition and Me</w:t>
      </w:r>
      <w:r w:rsidRPr="00950D78">
        <w:rPr>
          <w:i/>
        </w:rPr>
        <w:t>asurement</w:t>
      </w:r>
      <w:r w:rsidRPr="00950D78">
        <w:t>. It</w:t>
      </w:r>
      <w:r>
        <w:t> applies</w:t>
      </w:r>
      <w:r w:rsidRPr="00950D78">
        <w:t xml:space="preserve"> to annual reporting periods beginning on or after 1 January 2018, with retrospective application. The first applicable annual reporting period for the State will be </w:t>
      </w:r>
      <w:r w:rsidR="00A767A3">
        <w:t>2018-19. The </w:t>
      </w:r>
      <w:r w:rsidRPr="00950D78">
        <w:t>initial application of AASB 9 is not expected to significant</w:t>
      </w:r>
      <w:r>
        <w:t>ly</w:t>
      </w:r>
      <w:r w:rsidRPr="00950D78">
        <w:t xml:space="preserve"> impact the State’s financial position.</w:t>
      </w:r>
      <w:r>
        <w:t xml:space="preserve"> </w:t>
      </w:r>
    </w:p>
    <w:p w:rsidR="004B6846" w:rsidRDefault="004B6846" w:rsidP="00A767A3">
      <w:pPr>
        <w:ind w:right="-227"/>
      </w:pPr>
      <w:r>
        <w:t>AASB 9 simplifies the model for classifying and recognising financial assets from four categories into three categories – financial assets as subsequently measured at either amortised cost, and financial assets measured at fair value through profit or loss or through other comprehensive income. AASB 9 adopts an ‘expected loss model’ for impairment assessment, where the expected losses are recognised throughout the life of a loan or other financial asset measured at amortised cost, and not only after a loss event has been identified. The revised standard no longer requires a credit event (e.g. a receivable is past due) to have occurred before recognising credit losses. As a result, impairment losses will be recognised earlier and at more regular intervals than under the ‘incurred loss model’ of AASB 139.</w:t>
      </w:r>
    </w:p>
    <w:p w:rsidR="004B6846" w:rsidRPr="00A767A3" w:rsidRDefault="004B6846" w:rsidP="004B6846">
      <w:pPr>
        <w:pStyle w:val="Heading3"/>
        <w:numPr>
          <w:ilvl w:val="2"/>
          <w:numId w:val="19"/>
        </w:numPr>
        <w:spacing w:after="60"/>
        <w:rPr>
          <w:sz w:val="22"/>
        </w:rPr>
      </w:pPr>
      <w:bookmarkStart w:id="82" w:name="_Toc496606685"/>
      <w:bookmarkStart w:id="83" w:name="_Toc530148457"/>
      <w:bookmarkStart w:id="84" w:name="_Toc496606686"/>
      <w:r w:rsidRPr="00A767A3">
        <w:rPr>
          <w:sz w:val="22"/>
        </w:rPr>
        <w:t>Prospective accounting and reporting changes</w:t>
      </w:r>
      <w:bookmarkEnd w:id="82"/>
      <w:bookmarkEnd w:id="83"/>
    </w:p>
    <w:p w:rsidR="004B6846" w:rsidRDefault="004B6846" w:rsidP="00CC0EB7">
      <w:r>
        <w:t>Certain new and revised accounting standards have been issued but are not effective for the 2018</w:t>
      </w:r>
      <w:r>
        <w:noBreakHyphen/>
        <w:t xml:space="preserve">19 reporting period. These accounting standards have not been applied to the </w:t>
      </w:r>
      <w:r w:rsidRPr="005367EE">
        <w:rPr>
          <w:i/>
        </w:rPr>
        <w:t>2018-19</w:t>
      </w:r>
      <w:r>
        <w:t xml:space="preserve"> </w:t>
      </w:r>
      <w:r>
        <w:rPr>
          <w:i/>
        </w:rPr>
        <w:t>Budget Update</w:t>
      </w:r>
      <w:r>
        <w:t xml:space="preserve">. The State is reviewing its existing policies and assessing the potential implications. These accounting standards include: </w:t>
      </w:r>
    </w:p>
    <w:p w:rsidR="004B6846" w:rsidRPr="00DE09CE" w:rsidRDefault="004B6846" w:rsidP="00393CA4">
      <w:pPr>
        <w:pStyle w:val="ListBullet"/>
      </w:pPr>
      <w:r w:rsidRPr="00DE09CE">
        <w:t>AASB 15 Revenue from Contracts with Customers, operative for reporting periods commencing 1 January 2019 for not-for-profit entities. The core principle of AASB 15 is to require an entity to recognise revenue when the entity satisfies a performance obligation by transferring a promised good or service to a customer. The changes in revenue recognition may result in changes to the timing and amount of revenue recognised. Revenue from capital grants that are provided under an enforceable agreement that have sufficiently specific obligations, will now be deferred and recognised as the performance obligations are satisfied.</w:t>
      </w:r>
    </w:p>
    <w:p w:rsidR="004B6846" w:rsidRDefault="004B6846" w:rsidP="00CC0EB7">
      <w:pPr>
        <w:pStyle w:val="ListContinue"/>
      </w:pPr>
      <w:r>
        <w:t xml:space="preserve">In September 2018, AASB 2018-4 </w:t>
      </w:r>
      <w:r>
        <w:rPr>
          <w:i/>
        </w:rPr>
        <w:t>Amendments to Australian Accounting Standards – Australian Implementation Guidance for Not-for-profit Sector Licensors</w:t>
      </w:r>
      <w:r>
        <w:t xml:space="preserve"> (AASB 2018-4) was released, providing guidance on the application of AASB 15 to the issuing of licences by public sector entities. </w:t>
      </w:r>
    </w:p>
    <w:p w:rsidR="004B6846" w:rsidRPr="00DE09CE" w:rsidRDefault="004B6846" w:rsidP="00393CA4">
      <w:pPr>
        <w:pStyle w:val="ListBullet"/>
      </w:pPr>
      <w:r w:rsidRPr="00DE09CE">
        <w:t xml:space="preserve">AASB 16 </w:t>
      </w:r>
      <w:r w:rsidRPr="00DE09CE">
        <w:rPr>
          <w:i/>
        </w:rPr>
        <w:t>Leases</w:t>
      </w:r>
      <w:r w:rsidRPr="00DE09CE">
        <w:t>, operative for reporting periods beginning from 1 January 2019. The key changes introduced by AASB 16 include the requirement to recognise most operat</w:t>
      </w:r>
      <w:r>
        <w:t>ing leases on the balance sheet, which will increase net debt.</w:t>
      </w:r>
    </w:p>
    <w:p w:rsidR="004B6846" w:rsidRPr="00DE09CE" w:rsidRDefault="004B6846" w:rsidP="00393CA4">
      <w:pPr>
        <w:pStyle w:val="ListBullet"/>
      </w:pPr>
      <w:r w:rsidRPr="00DE09CE">
        <w:t xml:space="preserve">AASB 1058 </w:t>
      </w:r>
      <w:r w:rsidRPr="00DE09CE">
        <w:rPr>
          <w:i/>
        </w:rPr>
        <w:t>Income of Not-for-Profit Entities</w:t>
      </w:r>
      <w:r w:rsidRPr="00DE09CE">
        <w:t xml:space="preserve">, operative for reporting periods commencing 1 January 2019. This standard will replace AASB 1004 </w:t>
      </w:r>
      <w:r w:rsidRPr="00DE09CE">
        <w:rPr>
          <w:i/>
        </w:rPr>
        <w:t>Contributions</w:t>
      </w:r>
      <w:r w:rsidRPr="00DE09CE">
        <w:t xml:space="preserve"> and establishes revenue recognition principles for transactions where the consideration to acquire an asset is significantly less than fair value to enable not-for-profit entities to further their objectives. </w:t>
      </w:r>
    </w:p>
    <w:p w:rsidR="004B6846" w:rsidRDefault="004B6846" w:rsidP="00393CA4">
      <w:pPr>
        <w:pStyle w:val="ListBullet"/>
      </w:pPr>
      <w:r>
        <w:lastRenderedPageBreak/>
        <w:t xml:space="preserve">AASB 1059 </w:t>
      </w:r>
      <w:r>
        <w:rPr>
          <w:i/>
        </w:rPr>
        <w:t>Service Concession Arrangements: Grantors</w:t>
      </w:r>
      <w:r>
        <w:t xml:space="preserve">, operative for reporting periods commencing 1 January 2020, with early adoption permitted. This standard prescribes the accounting treatment for public private partnership (PPP) arrangements involving a private sector operator providing public services related to a service concession asset on behalf of the State, for a specified period of time. </w:t>
      </w:r>
      <w:r w:rsidRPr="00FB3E21">
        <w:t>For social infrastructure PPP arrangements, this would result in an earlier recog</w:t>
      </w:r>
      <w:r>
        <w:t xml:space="preserve">nition of financial liabilities </w:t>
      </w:r>
      <w:r w:rsidRPr="00FB3E21">
        <w:t>progressively over the construction period rather than at completion date. For economic infrastructure PPP arrangements, that were previously not on the balance sheet, the standard will require recognition of these arrangements on-balance sheet, but will continue to have no impact to net debt consistent with the current accounting treatment.</w:t>
      </w:r>
    </w:p>
    <w:p w:rsidR="004B6846" w:rsidRPr="00DE09CE" w:rsidRDefault="004B6846" w:rsidP="00393CA4">
      <w:pPr>
        <w:pStyle w:val="ListBullet"/>
      </w:pPr>
      <w:r w:rsidRPr="00DE09CE">
        <w:t xml:space="preserve">AASB 17 </w:t>
      </w:r>
      <w:r w:rsidRPr="00DE09CE">
        <w:rPr>
          <w:i/>
        </w:rPr>
        <w:t>Insurance Contracts</w:t>
      </w:r>
      <w:r w:rsidRPr="00DE09CE">
        <w:t>, operative for reporting periods commencing 1 January 2021. This new standard eliminates inconsistencies and weaknesses in existing practices by providing a single principles based framework to account for all types of insurance contracts. It should be noted this standard does not apply to the not</w:t>
      </w:r>
      <w:r w:rsidRPr="00DE09CE">
        <w:noBreakHyphen/>
        <w:t>for</w:t>
      </w:r>
      <w:r w:rsidRPr="00DE09CE">
        <w:noBreakHyphen/>
        <w:t>profit public sector entities. There will be no significant impact expected for the for</w:t>
      </w:r>
      <w:r w:rsidRPr="00DE09CE">
        <w:noBreakHyphen/>
        <w:t>profit entities within State.</w:t>
      </w:r>
    </w:p>
    <w:p w:rsidR="004B6846" w:rsidRDefault="004B6846" w:rsidP="00393CA4">
      <w:pPr>
        <w:pStyle w:val="ListBullet"/>
      </w:pPr>
      <w:r>
        <w:t>Several other amending standards and AASB interpretations have been issued that apply to future reporting periods, but are considered to have limited impact on public sector reporting.</w:t>
      </w:r>
    </w:p>
    <w:p w:rsidR="004B6846" w:rsidRPr="00A767A3" w:rsidRDefault="004B6846" w:rsidP="004B6846">
      <w:pPr>
        <w:pStyle w:val="Heading3"/>
        <w:numPr>
          <w:ilvl w:val="2"/>
          <w:numId w:val="19"/>
        </w:numPr>
        <w:spacing w:after="60"/>
        <w:rPr>
          <w:sz w:val="22"/>
        </w:rPr>
      </w:pPr>
      <w:bookmarkStart w:id="85" w:name="_Toc530148458"/>
      <w:r w:rsidRPr="00A767A3">
        <w:rPr>
          <w:sz w:val="22"/>
        </w:rPr>
        <w:t>Controlled entities</w:t>
      </w:r>
      <w:bookmarkEnd w:id="84"/>
      <w:bookmarkEnd w:id="85"/>
    </w:p>
    <w:p w:rsidR="004B6846" w:rsidRDefault="004B6846" w:rsidP="00CC0EB7">
      <w:bookmarkStart w:id="86" w:name="_Hlk531351592"/>
      <w:r>
        <w:t xml:space="preserve">Note 9.8 Controlled entities in the </w:t>
      </w:r>
      <w:r>
        <w:rPr>
          <w:i/>
        </w:rPr>
        <w:t>2017</w:t>
      </w:r>
      <w:r>
        <w:rPr>
          <w:i/>
        </w:rPr>
        <w:noBreakHyphen/>
        <w:t>18</w:t>
      </w:r>
      <w:r w:rsidRPr="000A547A">
        <w:rPr>
          <w:i/>
        </w:rPr>
        <w:t xml:space="preserve"> Financial Report</w:t>
      </w:r>
      <w:r>
        <w:t xml:space="preserve"> for the State of Victoria lists significant controlled entities, which were consolidated in that financial report. </w:t>
      </w:r>
    </w:p>
    <w:p w:rsidR="004B6846" w:rsidRDefault="004B6846" w:rsidP="00CC0EB7">
      <w:r w:rsidRPr="0051566E">
        <w:t xml:space="preserve">The following are changes </w:t>
      </w:r>
      <w:r>
        <w:t xml:space="preserve">in </w:t>
      </w:r>
      <w:r w:rsidRPr="0051566E">
        <w:t>general government sector entities</w:t>
      </w:r>
      <w:r>
        <w:t xml:space="preserve"> since 1 July 2018</w:t>
      </w:r>
      <w:r w:rsidRPr="0051566E">
        <w:t>, which have</w:t>
      </w:r>
      <w:r>
        <w:t xml:space="preserve"> also</w:t>
      </w:r>
      <w:r w:rsidRPr="0051566E">
        <w:t xml:space="preserve"> been </w:t>
      </w:r>
      <w:r>
        <w:t xml:space="preserve">incorporated </w:t>
      </w:r>
      <w:r w:rsidRPr="0051566E">
        <w:t>in this financial report:</w:t>
      </w:r>
    </w:p>
    <w:bookmarkEnd w:id="86"/>
    <w:p w:rsidR="004B6846" w:rsidRPr="0051566E" w:rsidRDefault="004B6846" w:rsidP="00CC0EB7"/>
    <w:tbl>
      <w:tblPr>
        <w:tblStyle w:val="DTFTable"/>
        <w:tblW w:w="5000" w:type="pct"/>
        <w:tblInd w:w="0" w:type="dxa"/>
        <w:tblCellMar>
          <w:left w:w="113" w:type="dxa"/>
          <w:right w:w="198" w:type="dxa"/>
        </w:tblCellMar>
        <w:tblLook w:val="0680" w:firstRow="0" w:lastRow="0" w:firstColumn="1" w:lastColumn="0" w:noHBand="1" w:noVBand="1"/>
      </w:tblPr>
      <w:tblGrid>
        <w:gridCol w:w="3855"/>
        <w:gridCol w:w="3856"/>
      </w:tblGrid>
      <w:tr w:rsidR="004B6846" w:rsidRPr="0029647E" w:rsidTr="00601784">
        <w:trPr>
          <w:trHeight w:val="17"/>
          <w:tblHeader/>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il"/>
            </w:tcBorders>
          </w:tcPr>
          <w:bookmarkEnd w:id="77"/>
          <w:p w:rsidR="004B6846" w:rsidRPr="0029647E" w:rsidRDefault="004B6846" w:rsidP="00CC0EB7">
            <w:pPr>
              <w:pStyle w:val="ControlledEntitiesSector"/>
              <w:jc w:val="left"/>
            </w:pPr>
            <w:r w:rsidRPr="0029647E">
              <w:t>General government</w:t>
            </w:r>
            <w:r>
              <w:t xml:space="preserve"> sector</w:t>
            </w:r>
          </w:p>
        </w:tc>
      </w:tr>
      <w:tr w:rsidR="004B6846" w:rsidRPr="0029647E" w:rsidTr="00CC0EB7">
        <w:trPr>
          <w:cantSplit w:val="0"/>
          <w:trHeight w:val="619"/>
        </w:trPr>
        <w:tc>
          <w:tcPr>
            <w:cnfStyle w:val="001000000000" w:firstRow="0" w:lastRow="0" w:firstColumn="1" w:lastColumn="0" w:oddVBand="0" w:evenVBand="0" w:oddHBand="0" w:evenHBand="0" w:firstRowFirstColumn="0" w:firstRowLastColumn="0" w:lastRowFirstColumn="0" w:lastRowLastColumn="0"/>
            <w:tcW w:w="2500" w:type="pct"/>
            <w:tcBorders>
              <w:bottom w:val="nil"/>
            </w:tcBorders>
          </w:tcPr>
          <w:p w:rsidR="004B6846" w:rsidRDefault="004B6846" w:rsidP="00CC0EB7">
            <w:pPr>
              <w:pStyle w:val="ControlledEntitiesDepartment"/>
              <w:ind w:left="0" w:firstLine="0"/>
            </w:pPr>
            <w:r>
              <w:t>Department of Health and Human Services</w:t>
            </w:r>
            <w:r w:rsidRPr="005B4BA6">
              <w:t xml:space="preserve"> </w:t>
            </w:r>
          </w:p>
          <w:p w:rsidR="004B6846" w:rsidRPr="0029647E" w:rsidRDefault="004B6846" w:rsidP="00A767A3">
            <w:r>
              <w:t xml:space="preserve">Family Violence Prevention Agency </w:t>
            </w:r>
            <w:r w:rsidRPr="00226A19">
              <w:rPr>
                <w:vertAlign w:val="superscript"/>
              </w:rPr>
              <w:t>(a)</w:t>
            </w:r>
          </w:p>
        </w:tc>
        <w:tc>
          <w:tcPr>
            <w:tcW w:w="2500" w:type="pct"/>
            <w:tcBorders>
              <w:bottom w:val="nil"/>
            </w:tcBorders>
            <w:shd w:val="clear" w:color="auto" w:fill="FFFFFF" w:themeFill="background1"/>
          </w:tcPr>
          <w:p w:rsidR="004B6846" w:rsidRPr="00D512AB" w:rsidRDefault="004B6846" w:rsidP="008D495B">
            <w:pPr>
              <w:keepLines w:val="0"/>
              <w:shd w:val="clear" w:color="auto" w:fill="D9D9D9" w:themeFill="background1" w:themeFillShade="D9"/>
              <w:tabs>
                <w:tab w:val="left" w:pos="3057"/>
              </w:tabs>
              <w:autoSpaceDE w:val="0"/>
              <w:autoSpaceDN w:val="0"/>
              <w:adjustRightInd w:val="0"/>
              <w:spacing w:before="40"/>
              <w:jc w:val="left"/>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18"/>
                <w:szCs w:val="18"/>
                <w:shd w:val="pct15" w:color="auto" w:fill="FFFFFF"/>
              </w:rPr>
            </w:pPr>
            <w:r w:rsidRPr="00D512AB">
              <w:rPr>
                <w:rFonts w:ascii="Calibri-Bold" w:hAnsi="Calibri-Bold" w:cs="Calibri-Bold"/>
                <w:b/>
                <w:bCs/>
                <w:sz w:val="18"/>
                <w:szCs w:val="18"/>
                <w:shd w:val="pct15" w:color="auto" w:fill="FFFFFF"/>
              </w:rPr>
              <w:t xml:space="preserve">Department of Economic Development, </w:t>
            </w:r>
            <w:r w:rsidR="00EC7339">
              <w:rPr>
                <w:rFonts w:ascii="Calibri-Bold" w:hAnsi="Calibri-Bold" w:cs="Calibri-Bold"/>
                <w:b/>
                <w:bCs/>
                <w:sz w:val="18"/>
                <w:szCs w:val="18"/>
                <w:shd w:val="pct15" w:color="auto" w:fill="FFFFFF"/>
              </w:rPr>
              <w:br/>
            </w:r>
            <w:r w:rsidRPr="00D512AB">
              <w:rPr>
                <w:rFonts w:ascii="Calibri-Bold" w:hAnsi="Calibri-Bold" w:cs="Calibri-Bold"/>
                <w:b/>
                <w:bCs/>
                <w:sz w:val="18"/>
                <w:szCs w:val="18"/>
                <w:shd w:val="pct15" w:color="auto" w:fill="FFFFFF"/>
              </w:rPr>
              <w:t>Jobs, Transport and Resources</w:t>
            </w:r>
          </w:p>
          <w:p w:rsidR="004B6846" w:rsidRPr="0029647E" w:rsidRDefault="004B6846" w:rsidP="00CC0EB7">
            <w:pPr>
              <w:jc w:val="left"/>
              <w:cnfStyle w:val="000000000000" w:firstRow="0" w:lastRow="0" w:firstColumn="0" w:lastColumn="0" w:oddVBand="0" w:evenVBand="0" w:oddHBand="0" w:evenHBand="0" w:firstRowFirstColumn="0" w:firstRowLastColumn="0" w:lastRowFirstColumn="0" w:lastRowLastColumn="0"/>
            </w:pPr>
            <w:r w:rsidRPr="00D512AB">
              <w:t xml:space="preserve">Commercial Passenger Vehicles Victoria </w:t>
            </w:r>
            <w:r>
              <w:rPr>
                <w:vertAlign w:val="superscript"/>
              </w:rPr>
              <w:t>(b</w:t>
            </w:r>
            <w:r w:rsidRPr="00226A19">
              <w:rPr>
                <w:vertAlign w:val="superscript"/>
              </w:rPr>
              <w:t>)</w:t>
            </w:r>
          </w:p>
        </w:tc>
      </w:tr>
    </w:tbl>
    <w:p w:rsidR="004B6846" w:rsidRDefault="004B6846" w:rsidP="00CC0EB7">
      <w:pPr>
        <w:pStyle w:val="Note"/>
        <w:ind w:left="0" w:firstLine="0"/>
      </w:pPr>
      <w:r>
        <w:t>Notes:</w:t>
      </w:r>
    </w:p>
    <w:p w:rsidR="004B6846" w:rsidRDefault="004B6846" w:rsidP="00CC0EB7">
      <w:pPr>
        <w:pStyle w:val="Note"/>
      </w:pPr>
      <w:r>
        <w:t>(a)</w:t>
      </w:r>
      <w:r>
        <w:tab/>
      </w:r>
      <w:r w:rsidRPr="00E54F7D">
        <w:t xml:space="preserve">The Family Violence Prevention Agency was established under the </w:t>
      </w:r>
      <w:r w:rsidRPr="000013AD">
        <w:rPr>
          <w:i w:val="0"/>
        </w:rPr>
        <w:t>Prevention of Family Violence Act 2018</w:t>
      </w:r>
      <w:r w:rsidRPr="00E54F7D">
        <w:t xml:space="preserve"> and, by Order of th</w:t>
      </w:r>
      <w:r>
        <w:t>e Governor in Council, commenced</w:t>
      </w:r>
      <w:r w:rsidRPr="00E54F7D">
        <w:t xml:space="preserve"> on 4 October 2018 and will trade as Respect Victoria.</w:t>
      </w:r>
    </w:p>
    <w:p w:rsidR="004B6846" w:rsidRPr="00EA584D" w:rsidRDefault="004B6846" w:rsidP="00CC0EB7">
      <w:pPr>
        <w:pStyle w:val="Note"/>
      </w:pPr>
      <w:r>
        <w:t>(b)</w:t>
      </w:r>
      <w:r>
        <w:tab/>
      </w:r>
      <w:r w:rsidRPr="00D512AB">
        <w:t xml:space="preserve">On 2 June 2018, </w:t>
      </w:r>
      <w:r>
        <w:t xml:space="preserve">the </w:t>
      </w:r>
      <w:r w:rsidRPr="00D512AB">
        <w:t>Taxi Services Commission changed its name to</w:t>
      </w:r>
      <w:r>
        <w:t xml:space="preserve"> </w:t>
      </w:r>
      <w:r w:rsidRPr="00D512AB">
        <w:t>Commercial Passenger Vehicles Victoria</w:t>
      </w:r>
      <w:r>
        <w:t xml:space="preserve"> in accordance with the </w:t>
      </w:r>
      <w:r w:rsidRPr="00A9330C">
        <w:rPr>
          <w:i w:val="0"/>
        </w:rPr>
        <w:t>Commercial Passenger Vehicle Industry Act 2017</w:t>
      </w:r>
      <w:r w:rsidRPr="00D512AB">
        <w:t>.</w:t>
      </w:r>
    </w:p>
    <w:p w:rsidR="004B6846" w:rsidRDefault="004B6846" w:rsidP="00CC0EB7"/>
    <w:p w:rsidR="004B6846" w:rsidRDefault="004B6846" w:rsidP="004B6846">
      <w:pPr>
        <w:pStyle w:val="Heading10"/>
        <w:sectPr w:rsidR="004B6846" w:rsidSect="00CC0EB7">
          <w:type w:val="continuous"/>
          <w:pgSz w:w="9979" w:h="14175" w:code="9"/>
          <w:pgMar w:top="850" w:right="1134" w:bottom="850" w:left="1134" w:header="624" w:footer="567" w:gutter="0"/>
          <w:cols w:space="567"/>
          <w:titlePg/>
          <w:docGrid w:linePitch="360"/>
        </w:sectPr>
      </w:pPr>
    </w:p>
    <w:p w:rsidR="004B6846" w:rsidRDefault="004B6846" w:rsidP="00CC0EB7">
      <w:pPr>
        <w:pStyle w:val="Chapterheading"/>
      </w:pPr>
      <w:bookmarkStart w:id="87" w:name="_Toc531884960"/>
      <w:r>
        <w:lastRenderedPageBreak/>
        <w:t>Chapter 5 – Supplementary uniform presentation framework tables</w:t>
      </w:r>
      <w:bookmarkEnd w:id="87"/>
    </w:p>
    <w:p w:rsidR="004B6846" w:rsidRPr="00090F94" w:rsidRDefault="004B6846" w:rsidP="00CC0EB7">
      <w:pPr>
        <w:pStyle w:val="TableHeading"/>
        <w:rPr>
          <w:bCs/>
          <w:lang w:val="en-US"/>
        </w:rPr>
      </w:pPr>
      <w:r>
        <w:t>Table 5.1</w:t>
      </w:r>
      <w:r>
        <w:tab/>
        <w:t xml:space="preserve">Public non-financial corporations sector comprehensive operating </w:t>
      </w:r>
      <w:r w:rsidR="00A767A3">
        <w:br/>
      </w:r>
      <w:r>
        <w:t>statement for the financial year ended 30 June</w:t>
      </w:r>
      <w:r>
        <w:tab/>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3600"/>
        <w:gridCol w:w="228"/>
        <w:gridCol w:w="135"/>
        <w:gridCol w:w="403"/>
        <w:gridCol w:w="850"/>
        <w:gridCol w:w="850"/>
        <w:gridCol w:w="850"/>
        <w:gridCol w:w="850"/>
      </w:tblGrid>
      <w:tr w:rsidR="00CC0EB7" w:rsidRPr="00090F9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600" w:type="dxa"/>
            <w:tcBorders>
              <w:top w:val="nil"/>
              <w:left w:val="nil"/>
              <w:right w:val="nil"/>
            </w:tcBorders>
            <w:shd w:val="solid" w:color="000000" w:fill="auto"/>
          </w:tcPr>
          <w:p w:rsidR="00CC0EB7" w:rsidRPr="00090F94" w:rsidRDefault="00CC0EB7" w:rsidP="00CC0EB7">
            <w:pPr>
              <w:autoSpaceDE w:val="0"/>
              <w:autoSpaceDN w:val="0"/>
              <w:adjustRightInd w:val="0"/>
              <w:spacing w:after="0"/>
              <w:rPr>
                <w:rFonts w:eastAsiaTheme="minorEastAsia" w:cstheme="majorHAnsi"/>
                <w:iCs/>
                <w:color w:val="FFFFFF"/>
                <w:lang w:eastAsia="en-AU"/>
              </w:rPr>
            </w:pPr>
            <w:r w:rsidRPr="00090F94">
              <w:rPr>
                <w:rFonts w:eastAsiaTheme="minorEastAsia" w:cstheme="majorHAnsi"/>
                <w:iCs/>
                <w:color w:val="FFFFFF"/>
                <w:lang w:eastAsia="en-AU"/>
              </w:rPr>
              <w:t xml:space="preserve">  </w:t>
            </w:r>
          </w:p>
        </w:tc>
        <w:tc>
          <w:tcPr>
            <w:tcW w:w="766" w:type="dxa"/>
            <w:gridSpan w:val="3"/>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budget</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revised</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2019-20</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2020-21</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2021-22</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Cs w:val="18"/>
                <w:lang w:eastAsia="en-AU"/>
              </w:rPr>
            </w:pPr>
            <w:r w:rsidRPr="00090F94">
              <w:rPr>
                <w:rFonts w:eastAsiaTheme="minorEastAsia" w:cstheme="majorHAnsi"/>
                <w:b/>
                <w:bCs/>
                <w:color w:val="000000"/>
                <w:szCs w:val="18"/>
                <w:lang w:eastAsia="en-AU"/>
              </w:rPr>
              <w:t>Revenue from transactions</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Cs w:val="18"/>
                <w:lang w:eastAsia="en-AU"/>
              </w:rPr>
            </w:pPr>
            <w:r w:rsidRPr="00090F94">
              <w:rPr>
                <w:rFonts w:eastAsiaTheme="minorEastAsia" w:cstheme="majorHAnsi"/>
                <w:color w:val="000000"/>
                <w:szCs w:val="18"/>
                <w:lang w:eastAsia="en-AU"/>
              </w:rPr>
              <w:t>Interest revenue</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109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117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Cs w:val="18"/>
                <w:lang w:eastAsia="en-AU"/>
              </w:rPr>
            </w:pPr>
            <w:r w:rsidRPr="00090F94">
              <w:rPr>
                <w:rFonts w:eastAsiaTheme="minorEastAsia" w:cstheme="majorHAnsi"/>
                <w:color w:val="000000"/>
                <w:szCs w:val="18"/>
                <w:lang w:eastAsia="en-AU"/>
              </w:rPr>
              <w:t>Dividend revenue</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Cs w:val="18"/>
                <w:lang w:eastAsia="en-AU"/>
              </w:rPr>
            </w:pPr>
            <w:r w:rsidRPr="00090F94">
              <w:rPr>
                <w:rFonts w:eastAsiaTheme="minorEastAsia" w:cstheme="majorHAnsi"/>
                <w:color w:val="000000"/>
                <w:szCs w:val="18"/>
                <w:lang w:eastAsia="en-AU"/>
              </w:rPr>
              <w:t>Sales of goods and services</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6 753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6 441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6 679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6 784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7 140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Cs w:val="18"/>
                <w:lang w:eastAsia="en-AU"/>
              </w:rPr>
            </w:pPr>
            <w:r w:rsidRPr="00090F94">
              <w:rPr>
                <w:rFonts w:eastAsiaTheme="minorEastAsia" w:cstheme="majorHAnsi"/>
                <w:color w:val="000000"/>
                <w:szCs w:val="18"/>
                <w:lang w:eastAsia="en-AU"/>
              </w:rPr>
              <w:t>Grant revenue</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3 752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3 890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3 751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3 686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3 648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Cs w:val="18"/>
                <w:lang w:eastAsia="en-AU"/>
              </w:rPr>
            </w:pPr>
            <w:r w:rsidRPr="00090F94">
              <w:rPr>
                <w:rFonts w:eastAsiaTheme="minorEastAsia" w:cstheme="majorHAnsi"/>
                <w:color w:val="000000"/>
                <w:szCs w:val="18"/>
                <w:lang w:eastAsia="en-AU"/>
              </w:rPr>
              <w:t>Other revenue</w:t>
            </w:r>
          </w:p>
        </w:tc>
        <w:tc>
          <w:tcPr>
            <w:tcW w:w="766" w:type="dxa"/>
            <w:gridSpan w:val="3"/>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598</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680</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672</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690</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674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revenue from transactions</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11 228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11 151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11 205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11 233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11 524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Cs w:val="18"/>
                <w:lang w:eastAsia="en-AU"/>
              </w:rPr>
            </w:pPr>
            <w:r w:rsidRPr="00090F94">
              <w:rPr>
                <w:rFonts w:eastAsiaTheme="minorEastAsia" w:cstheme="majorHAnsi"/>
                <w:b/>
                <w:bCs/>
                <w:color w:val="000000"/>
                <w:szCs w:val="18"/>
                <w:lang w:eastAsia="en-AU"/>
              </w:rPr>
              <w:t>Expenses from transactions</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Cs w:val="18"/>
                <w:lang w:eastAsia="en-AU"/>
              </w:rPr>
            </w:pPr>
            <w:r w:rsidRPr="00090F94">
              <w:rPr>
                <w:rFonts w:eastAsiaTheme="minorEastAsia" w:cstheme="majorHAnsi"/>
                <w:color w:val="000000"/>
                <w:szCs w:val="18"/>
                <w:lang w:eastAsia="en-AU"/>
              </w:rPr>
              <w:t>Employee expenses</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1 282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1 342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1 377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1 402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1 440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Cs w:val="18"/>
                <w:lang w:eastAsia="en-AU"/>
              </w:rPr>
            </w:pPr>
            <w:r w:rsidRPr="00090F94">
              <w:rPr>
                <w:rFonts w:eastAsiaTheme="minorEastAsia" w:cstheme="majorHAnsi"/>
                <w:color w:val="000000"/>
                <w:szCs w:val="18"/>
                <w:lang w:eastAsia="en-AU"/>
              </w:rPr>
              <w:t>Net superannuation interest expense</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Cs w:val="18"/>
                <w:lang w:eastAsia="en-AU"/>
              </w:rPr>
            </w:pPr>
            <w:r w:rsidRPr="00090F94">
              <w:rPr>
                <w:rFonts w:eastAsiaTheme="minorEastAsia" w:cstheme="majorHAnsi"/>
                <w:color w:val="000000"/>
                <w:szCs w:val="18"/>
                <w:lang w:eastAsia="en-AU"/>
              </w:rPr>
              <w:t>Other superannuation</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123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129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133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135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141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Cs w:val="18"/>
                <w:lang w:eastAsia="en-AU"/>
              </w:rPr>
            </w:pPr>
            <w:r w:rsidRPr="00090F94">
              <w:rPr>
                <w:rFonts w:eastAsiaTheme="minorEastAsia" w:cstheme="majorHAnsi"/>
                <w:color w:val="000000"/>
                <w:szCs w:val="18"/>
                <w:lang w:eastAsia="en-AU"/>
              </w:rPr>
              <w:t>Depreciation</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2 332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2 351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2 449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2 610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2 728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Cs w:val="18"/>
                <w:lang w:eastAsia="en-AU"/>
              </w:rPr>
            </w:pPr>
            <w:r w:rsidRPr="00090F94">
              <w:rPr>
                <w:rFonts w:eastAsiaTheme="minorEastAsia" w:cstheme="majorHAnsi"/>
                <w:color w:val="000000"/>
                <w:szCs w:val="18"/>
                <w:lang w:eastAsia="en-AU"/>
              </w:rPr>
              <w:t>Interest expense</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1 048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1 034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1 023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1 015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995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Cs w:val="18"/>
                <w:lang w:eastAsia="en-AU"/>
              </w:rPr>
            </w:pPr>
            <w:r w:rsidRPr="00090F94">
              <w:rPr>
                <w:rFonts w:eastAsiaTheme="minorEastAsia" w:cstheme="majorHAnsi"/>
                <w:color w:val="000000"/>
                <w:szCs w:val="18"/>
                <w:lang w:eastAsia="en-AU"/>
              </w:rPr>
              <w:t>Grant expense</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413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440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277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117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115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Cs w:val="18"/>
                <w:lang w:eastAsia="en-AU"/>
              </w:rPr>
            </w:pPr>
            <w:r w:rsidRPr="00090F94">
              <w:rPr>
                <w:rFonts w:eastAsiaTheme="minorEastAsia" w:cstheme="majorHAnsi"/>
                <w:color w:val="000000"/>
                <w:szCs w:val="18"/>
                <w:lang w:eastAsia="en-AU"/>
              </w:rPr>
              <w:t>Other operating expenses</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6 345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6 187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6 160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6 358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6 589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Cs w:val="18"/>
                <w:lang w:eastAsia="en-AU"/>
              </w:rPr>
            </w:pPr>
            <w:r w:rsidRPr="00090F94">
              <w:rPr>
                <w:rFonts w:eastAsiaTheme="minorEastAsia" w:cstheme="majorHAnsi"/>
                <w:color w:val="000000"/>
                <w:szCs w:val="18"/>
                <w:lang w:eastAsia="en-AU"/>
              </w:rPr>
              <w:t>Other property expenses</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178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198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213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expenses from transactions</w:t>
            </w:r>
          </w:p>
        </w:tc>
        <w:tc>
          <w:tcPr>
            <w:tcW w:w="766" w:type="dxa"/>
            <w:gridSpan w:val="3"/>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11 726</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11 688</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11 624</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11 839</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12 226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Cs w:val="18"/>
                <w:lang w:eastAsia="en-AU"/>
              </w:rPr>
            </w:pPr>
            <w:r w:rsidRPr="00090F94">
              <w:rPr>
                <w:rFonts w:eastAsiaTheme="minorEastAsia" w:cstheme="majorHAnsi"/>
                <w:b/>
                <w:bCs/>
                <w:color w:val="000000"/>
                <w:szCs w:val="18"/>
                <w:lang w:eastAsia="en-AU"/>
              </w:rPr>
              <w:t xml:space="preserve">Net result from transactions – </w:t>
            </w:r>
            <w:r w:rsidR="00065FD3">
              <w:rPr>
                <w:rFonts w:eastAsiaTheme="minorEastAsia" w:cstheme="majorHAnsi"/>
                <w:b/>
                <w:bCs/>
                <w:color w:val="000000"/>
                <w:szCs w:val="18"/>
                <w:lang w:eastAsia="en-AU"/>
              </w:rPr>
              <w:br/>
            </w:r>
            <w:r w:rsidRPr="00090F94">
              <w:rPr>
                <w:rFonts w:eastAsiaTheme="minorEastAsia" w:cstheme="majorHAnsi"/>
                <w:b/>
                <w:bCs/>
                <w:color w:val="000000"/>
                <w:szCs w:val="18"/>
                <w:lang w:eastAsia="en-AU"/>
              </w:rPr>
              <w:t>net operating balance</w:t>
            </w:r>
          </w:p>
        </w:tc>
        <w:tc>
          <w:tcPr>
            <w:tcW w:w="766" w:type="dxa"/>
            <w:gridSpan w:val="3"/>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(498)</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(537)</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(419)</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(606)</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(702)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Cs w:val="18"/>
                <w:lang w:eastAsia="en-AU"/>
              </w:rPr>
            </w:pPr>
            <w:r w:rsidRPr="00090F94">
              <w:rPr>
                <w:rFonts w:eastAsiaTheme="minorEastAsia" w:cstheme="majorHAnsi"/>
                <w:b/>
                <w:bCs/>
                <w:color w:val="000000"/>
                <w:szCs w:val="18"/>
                <w:lang w:eastAsia="en-AU"/>
              </w:rPr>
              <w:t>Other economic flows included in net result</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Cs w:val="18"/>
                <w:lang w:eastAsia="en-AU"/>
              </w:rPr>
            </w:pPr>
            <w:r w:rsidRPr="00090F94">
              <w:rPr>
                <w:rFonts w:eastAsiaTheme="minorEastAsia" w:cstheme="majorHAnsi"/>
                <w:color w:val="000000"/>
                <w:szCs w:val="18"/>
                <w:lang w:eastAsia="en-AU"/>
              </w:rPr>
              <w:t>Net gain/(loss) on disposal of non-financial assets</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Cs w:val="18"/>
                <w:lang w:eastAsia="en-AU"/>
              </w:rPr>
            </w:pPr>
            <w:r w:rsidRPr="00090F94">
              <w:rPr>
                <w:rFonts w:eastAsiaTheme="minorEastAsia" w:cstheme="majorHAnsi"/>
                <w:color w:val="000000"/>
                <w:szCs w:val="18"/>
                <w:lang w:eastAsia="en-AU"/>
              </w:rPr>
              <w:t>Other gains/(losses) from other economic flows</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157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154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196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227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239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other economic flows included in net result</w:t>
            </w:r>
          </w:p>
        </w:tc>
        <w:tc>
          <w:tcPr>
            <w:tcW w:w="766" w:type="dxa"/>
            <w:gridSpan w:val="3"/>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194</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206</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224</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247</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301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Cs w:val="18"/>
                <w:lang w:eastAsia="en-AU"/>
              </w:rPr>
            </w:pPr>
            <w:r w:rsidRPr="00090F94">
              <w:rPr>
                <w:rFonts w:eastAsiaTheme="minorEastAsia" w:cstheme="majorHAnsi"/>
                <w:b/>
                <w:bCs/>
                <w:color w:val="000000"/>
                <w:szCs w:val="18"/>
                <w:lang w:eastAsia="en-AU"/>
              </w:rPr>
              <w:t>Net result</w:t>
            </w:r>
          </w:p>
        </w:tc>
        <w:tc>
          <w:tcPr>
            <w:tcW w:w="766" w:type="dxa"/>
            <w:gridSpan w:val="3"/>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(304)</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(332)</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(196)</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(359)</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(401)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963"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Cs w:val="18"/>
                <w:lang w:eastAsia="en-AU"/>
              </w:rPr>
            </w:pPr>
            <w:r w:rsidRPr="00090F94">
              <w:rPr>
                <w:rFonts w:eastAsiaTheme="minorEastAsia" w:cstheme="majorHAnsi"/>
                <w:b/>
                <w:bCs/>
                <w:color w:val="000000"/>
                <w:szCs w:val="18"/>
                <w:lang w:eastAsia="en-AU"/>
              </w:rPr>
              <w:t>Other economic flows – other comprehensive income</w:t>
            </w:r>
          </w:p>
        </w:tc>
        <w:tc>
          <w:tcPr>
            <w:tcW w:w="403"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Cs w:val="18"/>
                <w:lang w:eastAsia="en-AU"/>
              </w:rPr>
            </w:pPr>
            <w:r w:rsidRPr="00090F94">
              <w:rPr>
                <w:rFonts w:eastAsiaTheme="minorEastAsia" w:cstheme="majorHAnsi"/>
                <w:b/>
                <w:bCs/>
                <w:color w:val="000000"/>
                <w:szCs w:val="18"/>
                <w:lang w:eastAsia="en-AU"/>
              </w:rPr>
              <w:t>Items that will not be reclassified to net result</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828"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Cs w:val="18"/>
                <w:lang w:eastAsia="en-AU"/>
              </w:rPr>
            </w:pPr>
            <w:r w:rsidRPr="00090F94">
              <w:rPr>
                <w:rFonts w:eastAsiaTheme="minorEastAsia" w:cstheme="majorHAnsi"/>
                <w:color w:val="000000"/>
                <w:szCs w:val="18"/>
                <w:lang w:eastAsia="en-AU"/>
              </w:rPr>
              <w:t>Changes in non-financial assets revaluation surplus</w:t>
            </w:r>
          </w:p>
        </w:tc>
        <w:tc>
          <w:tcPr>
            <w:tcW w:w="538"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817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2 787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1 441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943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Cs w:val="18"/>
                <w:lang w:eastAsia="en-AU"/>
              </w:rPr>
            </w:pPr>
            <w:r w:rsidRPr="00090F94">
              <w:rPr>
                <w:rFonts w:eastAsiaTheme="minorEastAsia" w:cstheme="majorHAnsi"/>
                <w:color w:val="000000"/>
                <w:szCs w:val="18"/>
                <w:lang w:eastAsia="en-AU"/>
              </w:rPr>
              <w:t>Other movements in equity</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Cs w:val="18"/>
                <w:lang w:eastAsia="en-AU"/>
              </w:rPr>
            </w:pPr>
            <w:r w:rsidRPr="00090F94">
              <w:rPr>
                <w:rFonts w:eastAsiaTheme="minorEastAsia" w:cstheme="majorHAnsi"/>
                <w:b/>
                <w:bCs/>
                <w:color w:val="000000"/>
                <w:szCs w:val="18"/>
                <w:lang w:eastAsia="en-AU"/>
              </w:rPr>
              <w:t>Items that may be reclassified subsequently to net result</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Cs w:val="18"/>
                <w:lang w:eastAsia="en-AU"/>
              </w:rPr>
            </w:pPr>
            <w:r w:rsidRPr="00090F94">
              <w:rPr>
                <w:rFonts w:eastAsiaTheme="minorEastAsia" w:cstheme="majorHAnsi"/>
                <w:color w:val="000000"/>
                <w:szCs w:val="18"/>
                <w:lang w:eastAsia="en-AU"/>
              </w:rPr>
              <w:t>Net gain/(loss) on financial assets at fair value</w:t>
            </w:r>
          </w:p>
        </w:tc>
        <w:tc>
          <w:tcPr>
            <w:tcW w:w="766" w:type="dxa"/>
            <w:gridSpan w:val="3"/>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Cs w:val="18"/>
                <w:lang w:eastAsia="en-AU"/>
              </w:rPr>
            </w:pPr>
            <w:r w:rsidRPr="00090F94">
              <w:rPr>
                <w:rFonts w:eastAsiaTheme="minorEastAsia" w:cstheme="majorHAnsi"/>
                <w:b/>
                <w:bCs/>
                <w:color w:val="000000"/>
                <w:szCs w:val="18"/>
                <w:lang w:eastAsia="en-AU"/>
              </w:rPr>
              <w:t xml:space="preserve">Total other economic flows – </w:t>
            </w:r>
            <w:r w:rsidR="00A767A3">
              <w:rPr>
                <w:rFonts w:eastAsiaTheme="minorEastAsia" w:cstheme="majorHAnsi"/>
                <w:b/>
                <w:bCs/>
                <w:color w:val="000000"/>
                <w:szCs w:val="18"/>
                <w:lang w:eastAsia="en-AU"/>
              </w:rPr>
              <w:br/>
            </w:r>
            <w:r w:rsidRPr="00090F94">
              <w:rPr>
                <w:rFonts w:eastAsiaTheme="minorEastAsia" w:cstheme="majorHAnsi"/>
                <w:b/>
                <w:bCs/>
                <w:color w:val="000000"/>
                <w:szCs w:val="18"/>
                <w:lang w:eastAsia="en-AU"/>
              </w:rPr>
              <w:t>other comprehensive income</w:t>
            </w:r>
          </w:p>
        </w:tc>
        <w:tc>
          <w:tcPr>
            <w:tcW w:w="766" w:type="dxa"/>
            <w:gridSpan w:val="3"/>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819</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2 773</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1 451</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928</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2</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6" w:space="0" w:color="000000"/>
              <w:bottom w:val="single" w:sz="12" w:space="0" w:color="000000"/>
            </w:tcBorders>
          </w:tcPr>
          <w:p w:rsidR="004B6846" w:rsidRPr="00090F94" w:rsidRDefault="004B6846" w:rsidP="00A767A3">
            <w:pPr>
              <w:rPr>
                <w:lang w:eastAsia="en-AU"/>
              </w:rPr>
            </w:pPr>
            <w:r w:rsidRPr="00090F94">
              <w:rPr>
                <w:lang w:eastAsia="en-AU"/>
              </w:rPr>
              <w:t>Comprehensive result – total change in net worth</w:t>
            </w:r>
          </w:p>
        </w:tc>
        <w:tc>
          <w:tcPr>
            <w:tcW w:w="766" w:type="dxa"/>
            <w:gridSpan w:val="3"/>
            <w:tcBorders>
              <w:top w:val="single" w:sz="6" w:space="0" w:color="000000"/>
              <w:bottom w:val="single" w:sz="12" w:space="0" w:color="000000"/>
            </w:tcBorders>
          </w:tcPr>
          <w:p w:rsidR="004B6846" w:rsidRPr="00090F94" w:rsidRDefault="004B6846" w:rsidP="00A767A3">
            <w:pPr>
              <w:cnfStyle w:val="010000000000" w:firstRow="0" w:lastRow="1" w:firstColumn="0" w:lastColumn="0" w:oddVBand="0" w:evenVBand="0" w:oddHBand="0" w:evenHBand="0" w:firstRowFirstColumn="0" w:firstRowLastColumn="0" w:lastRowFirstColumn="0" w:lastRowLastColumn="0"/>
              <w:rPr>
                <w:lang w:eastAsia="en-AU"/>
              </w:rPr>
            </w:pPr>
            <w:r>
              <w:rPr>
                <w:lang w:eastAsia="en-AU"/>
              </w:rPr>
              <w:t>515</w:t>
            </w:r>
          </w:p>
        </w:tc>
        <w:tc>
          <w:tcPr>
            <w:tcW w:w="850" w:type="dxa"/>
            <w:tcBorders>
              <w:top w:val="single" w:sz="6" w:space="0" w:color="000000"/>
              <w:bottom w:val="single" w:sz="12" w:space="0" w:color="000000"/>
            </w:tcBorders>
          </w:tcPr>
          <w:p w:rsidR="004B6846" w:rsidRPr="00090F94" w:rsidRDefault="004B6846" w:rsidP="00A767A3">
            <w:pPr>
              <w:cnfStyle w:val="010000000000" w:firstRow="0" w:lastRow="1" w:firstColumn="0" w:lastColumn="0" w:oddVBand="0" w:evenVBand="0" w:oddHBand="0" w:evenHBand="0" w:firstRowFirstColumn="0" w:firstRowLastColumn="0" w:lastRowFirstColumn="0" w:lastRowLastColumn="0"/>
              <w:rPr>
                <w:lang w:eastAsia="en-AU"/>
              </w:rPr>
            </w:pPr>
            <w:r w:rsidRPr="00090F94">
              <w:rPr>
                <w:lang w:eastAsia="en-AU"/>
              </w:rPr>
              <w:t>2 441</w:t>
            </w:r>
          </w:p>
        </w:tc>
        <w:tc>
          <w:tcPr>
            <w:tcW w:w="850" w:type="dxa"/>
            <w:tcBorders>
              <w:top w:val="single" w:sz="6" w:space="0" w:color="000000"/>
              <w:bottom w:val="single" w:sz="12" w:space="0" w:color="000000"/>
            </w:tcBorders>
          </w:tcPr>
          <w:p w:rsidR="004B6846" w:rsidRPr="00090F94" w:rsidRDefault="004B6846" w:rsidP="00A767A3">
            <w:pPr>
              <w:cnfStyle w:val="010000000000" w:firstRow="0" w:lastRow="1" w:firstColumn="0" w:lastColumn="0" w:oddVBand="0" w:evenVBand="0" w:oddHBand="0" w:evenHBand="0" w:firstRowFirstColumn="0" w:firstRowLastColumn="0" w:lastRowFirstColumn="0" w:lastRowLastColumn="0"/>
              <w:rPr>
                <w:lang w:eastAsia="en-AU"/>
              </w:rPr>
            </w:pPr>
            <w:r w:rsidRPr="00090F94">
              <w:rPr>
                <w:lang w:eastAsia="en-AU"/>
              </w:rPr>
              <w:t>1 255</w:t>
            </w:r>
          </w:p>
        </w:tc>
        <w:tc>
          <w:tcPr>
            <w:tcW w:w="850" w:type="dxa"/>
            <w:tcBorders>
              <w:top w:val="single" w:sz="6" w:space="0" w:color="000000"/>
              <w:bottom w:val="single" w:sz="12" w:space="0" w:color="000000"/>
            </w:tcBorders>
          </w:tcPr>
          <w:p w:rsidR="004B6846" w:rsidRPr="00090F94" w:rsidRDefault="004B6846" w:rsidP="00A767A3">
            <w:pPr>
              <w:cnfStyle w:val="010000000000" w:firstRow="0" w:lastRow="1" w:firstColumn="0" w:lastColumn="0" w:oddVBand="0" w:evenVBand="0" w:oddHBand="0" w:evenHBand="0" w:firstRowFirstColumn="0" w:firstRowLastColumn="0" w:lastRowFirstColumn="0" w:lastRowLastColumn="0"/>
              <w:rPr>
                <w:lang w:eastAsia="en-AU"/>
              </w:rPr>
            </w:pPr>
            <w:r>
              <w:rPr>
                <w:lang w:eastAsia="en-AU"/>
              </w:rPr>
              <w:t>569</w:t>
            </w:r>
          </w:p>
        </w:tc>
        <w:tc>
          <w:tcPr>
            <w:tcW w:w="850" w:type="dxa"/>
            <w:tcBorders>
              <w:top w:val="single" w:sz="6" w:space="0" w:color="000000"/>
              <w:bottom w:val="single" w:sz="12" w:space="0" w:color="000000"/>
            </w:tcBorders>
          </w:tcPr>
          <w:p w:rsidR="004B6846" w:rsidRPr="00090F94" w:rsidRDefault="004B6846" w:rsidP="00A767A3">
            <w:pPr>
              <w:cnfStyle w:val="010000000000" w:firstRow="0" w:lastRow="1" w:firstColumn="0" w:lastColumn="0" w:oddVBand="0" w:evenVBand="0" w:oddHBand="0" w:evenHBand="0" w:firstRowFirstColumn="0" w:firstRowLastColumn="0" w:lastRowFirstColumn="0" w:lastRowLastColumn="0"/>
              <w:rPr>
                <w:lang w:eastAsia="en-AU"/>
              </w:rPr>
            </w:pPr>
            <w:r>
              <w:rPr>
                <w:lang w:eastAsia="en-AU"/>
              </w:rPr>
              <w:t>(399)</w:t>
            </w:r>
          </w:p>
        </w:tc>
      </w:tr>
    </w:tbl>
    <w:p w:rsidR="00A767A3" w:rsidRDefault="00A767A3"/>
    <w:p w:rsidR="00A767A3" w:rsidRPr="00090F94" w:rsidRDefault="00A767A3" w:rsidP="00A767A3">
      <w:pPr>
        <w:pStyle w:val="TableHeading"/>
        <w:rPr>
          <w:bCs/>
          <w:lang w:val="en-US"/>
        </w:rPr>
      </w:pPr>
      <w:r>
        <w:lastRenderedPageBreak/>
        <w:t>Table 5.1</w:t>
      </w:r>
      <w:r>
        <w:tab/>
        <w:t xml:space="preserve">Public non-financial corporations sector comprehensive operating </w:t>
      </w:r>
      <w:r>
        <w:br/>
        <w:t xml:space="preserve">statement for the financial year ended 30 June </w:t>
      </w:r>
      <w:r w:rsidRPr="00A767A3">
        <w:rPr>
          <w:i/>
        </w:rPr>
        <w:t>(continued)</w:t>
      </w:r>
      <w:r>
        <w:tab/>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3600"/>
        <w:gridCol w:w="766"/>
        <w:gridCol w:w="850"/>
        <w:gridCol w:w="850"/>
        <w:gridCol w:w="850"/>
        <w:gridCol w:w="850"/>
      </w:tblGrid>
      <w:tr w:rsidR="00A767A3" w:rsidRPr="00090F94" w:rsidTr="00D73159">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600" w:type="dxa"/>
            <w:tcBorders>
              <w:top w:val="nil"/>
              <w:left w:val="nil"/>
              <w:right w:val="nil"/>
            </w:tcBorders>
            <w:shd w:val="solid" w:color="000000" w:fill="auto"/>
          </w:tcPr>
          <w:p w:rsidR="00A767A3" w:rsidRPr="00090F94" w:rsidRDefault="00A767A3" w:rsidP="00D73159">
            <w:pPr>
              <w:autoSpaceDE w:val="0"/>
              <w:autoSpaceDN w:val="0"/>
              <w:adjustRightInd w:val="0"/>
              <w:spacing w:after="0"/>
              <w:rPr>
                <w:rFonts w:eastAsiaTheme="minorEastAsia" w:cstheme="majorHAnsi"/>
                <w:iCs/>
                <w:color w:val="FFFFFF"/>
                <w:lang w:eastAsia="en-AU"/>
              </w:rPr>
            </w:pPr>
            <w:r w:rsidRPr="00090F94">
              <w:rPr>
                <w:rFonts w:eastAsiaTheme="minorEastAsia" w:cstheme="majorHAnsi"/>
                <w:iCs/>
                <w:color w:val="FFFFFF"/>
                <w:lang w:eastAsia="en-AU"/>
              </w:rPr>
              <w:t xml:space="preserve">  </w:t>
            </w:r>
          </w:p>
        </w:tc>
        <w:tc>
          <w:tcPr>
            <w:tcW w:w="766" w:type="dxa"/>
            <w:tcBorders>
              <w:top w:val="nil"/>
              <w:left w:val="nil"/>
              <w:right w:val="nil"/>
            </w:tcBorders>
            <w:shd w:val="solid" w:color="000000" w:fill="auto"/>
          </w:tcPr>
          <w:p w:rsidR="00A767A3" w:rsidRPr="00090F94" w:rsidRDefault="00A767A3" w:rsidP="00D73159">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budget</w:t>
            </w:r>
          </w:p>
        </w:tc>
        <w:tc>
          <w:tcPr>
            <w:tcW w:w="850" w:type="dxa"/>
            <w:tcBorders>
              <w:top w:val="nil"/>
              <w:left w:val="nil"/>
              <w:right w:val="nil"/>
            </w:tcBorders>
            <w:shd w:val="solid" w:color="000000" w:fill="auto"/>
          </w:tcPr>
          <w:p w:rsidR="00A767A3" w:rsidRPr="00090F94" w:rsidRDefault="00A767A3" w:rsidP="00D73159">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revised</w:t>
            </w:r>
          </w:p>
        </w:tc>
        <w:tc>
          <w:tcPr>
            <w:tcW w:w="850" w:type="dxa"/>
            <w:tcBorders>
              <w:top w:val="nil"/>
              <w:left w:val="nil"/>
              <w:right w:val="nil"/>
            </w:tcBorders>
            <w:shd w:val="solid" w:color="000000" w:fill="auto"/>
          </w:tcPr>
          <w:p w:rsidR="00A767A3" w:rsidRPr="00090F94" w:rsidRDefault="00A767A3" w:rsidP="00D73159">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2019-20</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A767A3" w:rsidRPr="00090F94" w:rsidRDefault="00A767A3" w:rsidP="00D73159">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2020-21</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A767A3" w:rsidRPr="00090F94" w:rsidRDefault="00A767A3" w:rsidP="00D73159">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2021-22</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A767A3">
            <w:pPr>
              <w:keepLines w:val="0"/>
              <w:autoSpaceDE w:val="0"/>
              <w:autoSpaceDN w:val="0"/>
              <w:adjustRightInd w:val="0"/>
              <w:spacing w:after="0"/>
              <w:ind w:left="0" w:firstLine="0"/>
              <w:rPr>
                <w:rFonts w:eastAsiaTheme="minorEastAsia" w:cstheme="majorHAnsi"/>
                <w:b/>
                <w:bCs/>
                <w:color w:val="000000"/>
                <w:szCs w:val="18"/>
                <w:lang w:eastAsia="en-AU"/>
              </w:rPr>
            </w:pPr>
            <w:r w:rsidRPr="00090F94">
              <w:rPr>
                <w:rFonts w:eastAsiaTheme="minorEastAsia" w:cstheme="majorHAnsi"/>
                <w:b/>
                <w:bCs/>
                <w:color w:val="000000"/>
                <w:szCs w:val="18"/>
                <w:lang w:eastAsia="en-AU"/>
              </w:rPr>
              <w:t>KEY FISCAL AGGREGATES</w:t>
            </w:r>
          </w:p>
        </w:tc>
        <w:tc>
          <w:tcPr>
            <w:tcW w:w="766"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ind w:left="0" w:firstLine="0"/>
              <w:rPr>
                <w:rFonts w:eastAsiaTheme="minorEastAsia" w:cstheme="majorHAnsi"/>
                <w:b/>
                <w:bCs/>
                <w:color w:val="000000"/>
                <w:szCs w:val="18"/>
                <w:lang w:eastAsia="en-AU"/>
              </w:rPr>
            </w:pPr>
            <w:r w:rsidRPr="00090F94">
              <w:rPr>
                <w:rFonts w:eastAsiaTheme="minorEastAsia" w:cstheme="majorHAnsi"/>
                <w:b/>
                <w:bCs/>
                <w:color w:val="000000"/>
                <w:szCs w:val="18"/>
                <w:lang w:eastAsia="en-AU"/>
              </w:rPr>
              <w:t>Net operating balance</w:t>
            </w:r>
          </w:p>
        </w:tc>
        <w:tc>
          <w:tcPr>
            <w:tcW w:w="766"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(498)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(537)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(419)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(606)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(702)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00"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Cs w:val="18"/>
                <w:lang w:eastAsia="en-AU"/>
              </w:rPr>
            </w:pPr>
            <w:r w:rsidRPr="00090F94">
              <w:rPr>
                <w:rFonts w:eastAsiaTheme="minorEastAsia" w:cstheme="majorHAnsi"/>
                <w:color w:val="000000"/>
                <w:szCs w:val="18"/>
                <w:lang w:eastAsia="en-AU"/>
              </w:rPr>
              <w:t>Less: Net acquisition of non-financial assets from transactions</w:t>
            </w:r>
          </w:p>
        </w:tc>
        <w:tc>
          <w:tcPr>
            <w:tcW w:w="766"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6 121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5 603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4 621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2 887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1 046</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rPr>
                <w:rFonts w:eastAsiaTheme="minorEastAsia" w:cstheme="majorHAnsi"/>
                <w:bCs/>
                <w:color w:val="000000"/>
                <w:szCs w:val="18"/>
                <w:lang w:eastAsia="en-AU"/>
              </w:rPr>
            </w:pPr>
            <w:r w:rsidRPr="00090F94">
              <w:rPr>
                <w:rFonts w:eastAsiaTheme="minorEastAsia" w:cstheme="majorHAnsi"/>
                <w:bCs/>
                <w:color w:val="000000"/>
                <w:szCs w:val="18"/>
                <w:lang w:eastAsia="en-AU"/>
              </w:rPr>
              <w:t>Net lending/(borrowing)</w:t>
            </w:r>
          </w:p>
        </w:tc>
        <w:tc>
          <w:tcPr>
            <w:tcW w:w="766"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(6 619)</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(6 140)</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(5 040)</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(3 493)</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(1 748)</w:t>
            </w:r>
          </w:p>
        </w:tc>
      </w:tr>
    </w:tbl>
    <w:p w:rsidR="004B6846" w:rsidRDefault="004B6846" w:rsidP="00CC0EB7">
      <w:pPr>
        <w:pStyle w:val="Source"/>
      </w:pPr>
      <w:r w:rsidRPr="00D87D22">
        <w:t>Source: Dep</w:t>
      </w:r>
      <w:r>
        <w:t>artment of Treasury and Finance</w:t>
      </w:r>
      <w:r w:rsidRPr="00352C54">
        <w:t xml:space="preserve"> </w:t>
      </w:r>
    </w:p>
    <w:p w:rsidR="004B6846" w:rsidRDefault="004B6846" w:rsidP="00CC0EB7">
      <w:pPr>
        <w:pStyle w:val="Heading10"/>
      </w:pPr>
      <w:r>
        <w:br w:type="page"/>
      </w:r>
    </w:p>
    <w:p w:rsidR="004B6846" w:rsidRPr="00090F94" w:rsidRDefault="004B6846" w:rsidP="00CC0EB7">
      <w:pPr>
        <w:pStyle w:val="TableHeading"/>
        <w:rPr>
          <w:bCs/>
          <w:lang w:val="en-US"/>
        </w:rPr>
      </w:pPr>
      <w:r>
        <w:lastRenderedPageBreak/>
        <w:t>Table 5.2</w:t>
      </w:r>
      <w:r>
        <w:tab/>
        <w:t>Public non-financial corporations sector balance sheet as at 30 June</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CC0EB7" w:rsidRPr="00090F94" w:rsidTr="00065FD3">
        <w:trPr>
          <w:cnfStyle w:val="100000000000" w:firstRow="1" w:lastRow="0" w:firstColumn="0" w:lastColumn="0" w:oddVBand="0" w:evenVBand="0" w:oddHBand="0" w:evenHBand="0" w:firstRowFirstColumn="0" w:firstRowLastColumn="0" w:lastRowFirstColumn="0" w:lastRowLastColumn="0"/>
          <w:trHeight w:val="211"/>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090F94" w:rsidRDefault="00CC0EB7" w:rsidP="00CC0EB7">
            <w:pPr>
              <w:autoSpaceDE w:val="0"/>
              <w:autoSpaceDN w:val="0"/>
              <w:adjustRightInd w:val="0"/>
              <w:rPr>
                <w:rFonts w:eastAsiaTheme="minorEastAsia" w:cstheme="majorHAnsi"/>
                <w:iCs/>
                <w:color w:val="FFFFFF"/>
                <w:lang w:eastAsia="en-AU"/>
              </w:rPr>
            </w:pPr>
            <w:r w:rsidRPr="00090F94">
              <w:rPr>
                <w:rFonts w:eastAsiaTheme="minorEastAsia" w:cstheme="majorHAnsi"/>
                <w:iCs/>
                <w:color w:val="FFFFFF"/>
                <w:lang w:eastAsia="en-AU"/>
              </w:rPr>
              <w:t xml:space="preserve">  </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 xml:space="preserve">budget </w:t>
            </w:r>
            <w:r w:rsidRPr="00090F94">
              <w:rPr>
                <w:rFonts w:eastAsiaTheme="minorEastAsia" w:cstheme="majorHAnsi"/>
                <w:iCs/>
                <w:color w:val="FFFFFF"/>
                <w:szCs w:val="18"/>
                <w:vertAlign w:val="superscript"/>
                <w:lang w:eastAsia="en-AU"/>
              </w:rPr>
              <w:t>(a)</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revised</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2020</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2021</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2022</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Financial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Cash and deposits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1 090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871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780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740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760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Advances paid</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3 549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3 791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2 109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860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322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Receivables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1 896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1 824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1 811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1 793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1 807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Investments, loans and placements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1 173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1 084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1 083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1 080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1 038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Investments accounted for using equity method</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financial assets</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7 708</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7 570</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5 783</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4 474</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3 927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Non-financial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Inventories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1 118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1 167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1 283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1 310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1 211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Non-financial assets held for sale</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Land, buildings, infrastructure, plant and equipment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132 995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134 384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140 667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144 774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145 933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Other non-financial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1 395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1 363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1 367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1 366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1 354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non-financial assets</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135 580</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136 969</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143 373</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147 505</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148 553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143 288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144 539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149 156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151 979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152 479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Liabilities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Deposits held and advances received</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3 994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4 233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2 563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1 311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754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Payables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10 227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9 962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9 749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9 589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9 424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Borrowings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17 373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17 353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18 050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18 529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18 796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Employee benefits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447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444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447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456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Superannuation</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Other provisions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7 903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7 938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7 988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8 011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7 657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liabilities</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39 973</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39 960</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38 827</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37 922</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37 116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Net assets</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103 316</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104 579</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110 328</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114 057</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115 364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Accumulated surplus/(deficit)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2 833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2 758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2 356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1 813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1 245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Reserves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100 483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101 821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107 972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112 244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114 118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Net worth</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103 316</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104 579</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110 328</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114 057</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115 364</w:t>
            </w:r>
          </w:p>
        </w:tc>
      </w:tr>
      <w:tr w:rsidR="004B6846" w:rsidRPr="00090F94" w:rsidTr="00CC0EB7">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FISCAL AGGREGATES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Net financial worth</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(32 264)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(32 390)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(33 045)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(33 447)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(33 189)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Net financial liabilities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32 264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32 390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33 045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33 447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33 189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Net debt</w:t>
            </w:r>
          </w:p>
        </w:tc>
        <w:tc>
          <w:tcPr>
            <w:tcW w:w="850"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15 555</w:t>
            </w:r>
          </w:p>
        </w:tc>
        <w:tc>
          <w:tcPr>
            <w:tcW w:w="850"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15 840</w:t>
            </w:r>
          </w:p>
        </w:tc>
        <w:tc>
          <w:tcPr>
            <w:tcW w:w="850"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16 642</w:t>
            </w:r>
          </w:p>
        </w:tc>
        <w:tc>
          <w:tcPr>
            <w:tcW w:w="850"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17 160</w:t>
            </w:r>
          </w:p>
        </w:tc>
        <w:tc>
          <w:tcPr>
            <w:tcW w:w="850"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17 430</w:t>
            </w:r>
          </w:p>
        </w:tc>
      </w:tr>
    </w:tbl>
    <w:p w:rsidR="004B6846" w:rsidRDefault="004B6846" w:rsidP="00CC0EB7">
      <w:pPr>
        <w:pStyle w:val="Source"/>
      </w:pPr>
      <w:r w:rsidRPr="00D87D22">
        <w:t>Source: Dep</w:t>
      </w:r>
      <w:r>
        <w:t>artment of Treasury and Finance</w:t>
      </w:r>
      <w:r w:rsidRPr="00352C54">
        <w:t xml:space="preserve"> </w:t>
      </w:r>
    </w:p>
    <w:p w:rsidR="004B6846" w:rsidRPr="005F55F3" w:rsidRDefault="004B6846" w:rsidP="00CC0EB7">
      <w:pPr>
        <w:pStyle w:val="Note"/>
      </w:pPr>
      <w:r>
        <w:t>Note:</w:t>
      </w:r>
    </w:p>
    <w:p w:rsidR="004B6846" w:rsidRPr="00926603" w:rsidRDefault="004B6846" w:rsidP="00CC0EB7">
      <w:pPr>
        <w:pStyle w:val="Note"/>
      </w:pPr>
      <w:r w:rsidRPr="00926603">
        <w:t>(a)</w:t>
      </w:r>
      <w:r w:rsidRPr="00926603">
        <w:tab/>
        <w:t>Balances represent actual</w:t>
      </w:r>
      <w:r>
        <w:t xml:space="preserve"> opening balances at 1 July 2018 plus 2018-19</w:t>
      </w:r>
      <w:r w:rsidRPr="00926603">
        <w:t xml:space="preserve"> budgeted movements.</w:t>
      </w:r>
    </w:p>
    <w:p w:rsidR="004B6846" w:rsidRDefault="004B6846" w:rsidP="00CC0EB7"/>
    <w:p w:rsidR="004B6846" w:rsidRDefault="004B6846" w:rsidP="00CC0EB7">
      <w:pPr>
        <w:pStyle w:val="Heading10"/>
      </w:pPr>
      <w:r>
        <w:br w:type="page"/>
      </w:r>
    </w:p>
    <w:p w:rsidR="004B6846" w:rsidRPr="00090F94" w:rsidRDefault="004B6846" w:rsidP="00CC0EB7">
      <w:pPr>
        <w:pStyle w:val="TableHeading"/>
        <w:rPr>
          <w:bCs/>
          <w:lang w:val="en-US"/>
        </w:rPr>
      </w:pPr>
      <w:r>
        <w:lastRenderedPageBreak/>
        <w:t>Table 5.3</w:t>
      </w:r>
      <w:r>
        <w:tab/>
        <w:t xml:space="preserve">Public non-financial corporations sector cash flow statement for </w:t>
      </w:r>
      <w:r>
        <w:br/>
        <w:t>the financial year ended 30 June</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CC0EB7" w:rsidRPr="00090F94" w:rsidTr="00065FD3">
        <w:trPr>
          <w:cnfStyle w:val="100000000000" w:firstRow="1" w:lastRow="0" w:firstColumn="0" w:lastColumn="0" w:oddVBand="0" w:evenVBand="0" w:oddHBand="0" w:evenHBand="0" w:firstRowFirstColumn="0" w:firstRowLastColumn="0" w:lastRowFirstColumn="0" w:lastRowLastColumn="0"/>
          <w:trHeight w:val="101"/>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090F94" w:rsidRDefault="00CC0EB7" w:rsidP="00CC0EB7">
            <w:pPr>
              <w:autoSpaceDE w:val="0"/>
              <w:autoSpaceDN w:val="0"/>
              <w:adjustRightInd w:val="0"/>
              <w:rPr>
                <w:rFonts w:eastAsiaTheme="minorEastAsia" w:cstheme="majorHAnsi"/>
                <w:iCs/>
                <w:color w:val="FFFFFF"/>
                <w:lang w:eastAsia="en-AU"/>
              </w:rPr>
            </w:pPr>
            <w:r w:rsidRPr="00090F94">
              <w:rPr>
                <w:rFonts w:eastAsiaTheme="minorEastAsia" w:cstheme="majorHAnsi"/>
                <w:iCs/>
                <w:color w:val="FFFFFF"/>
                <w:lang w:eastAsia="en-AU"/>
              </w:rPr>
              <w:t xml:space="preserve">  </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budget</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revised</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2019-20</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2020-21</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2021-22</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Cash flows from operating activities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Receipts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Grants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3 718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3 890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3 751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3 686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3 648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 xml:space="preserve">Sales of goods and services </w:t>
            </w:r>
            <w:r w:rsidRPr="00090F94">
              <w:rPr>
                <w:rFonts w:eastAsiaTheme="minorEastAsia" w:cstheme="majorHAnsi"/>
                <w:color w:val="000000"/>
                <w:szCs w:val="18"/>
                <w:vertAlign w:val="superscript"/>
                <w:lang w:eastAsia="en-AU"/>
              </w:rPr>
              <w:t>(a)</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7 133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6 768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7 084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7 269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7 644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Interest received</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121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140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Dividend receipts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Other receipts</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340</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331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393</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411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358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receipts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11 326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11 153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11 330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11 440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11 711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Payments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Payments for employees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(1 280)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(1 343)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(1 377)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(1 399)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(1 439)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Superannuation</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(128)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(132)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(138)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(140)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(145)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Interest paid</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(1 043)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(1 043)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(1 021)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(1 014)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(993)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Grants and subsidies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 xml:space="preserve">Goods and services </w:t>
            </w:r>
            <w:r w:rsidRPr="00090F94">
              <w:rPr>
                <w:rFonts w:eastAsiaTheme="minorEastAsia" w:cstheme="majorHAnsi"/>
                <w:color w:val="000000"/>
                <w:szCs w:val="18"/>
                <w:vertAlign w:val="superscript"/>
                <w:lang w:eastAsia="en-AU"/>
              </w:rPr>
              <w:t>(a)</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(4 699)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(4 551)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(4 409)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(4 570)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(4 822)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Other payments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(2 618)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(2 672)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(2 768)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(2 633)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(2 657)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payments</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(9 839)</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(9 820)</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(9 761)</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(9 793)</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(10 091)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Net cash flows from operating activities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1 487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1 332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1 569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1 647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1 620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Cash flows from investing activities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Cash flows from investments in non-financial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Purchases of non-financial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(3 113)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(3 251)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(2 634)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(2 149)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(1 900)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Sales of non-financial assets</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324</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251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308</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205</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401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Net cash flows from investments in non-financial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(2 789)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(3 000)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(2 326)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(1 945)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(1 499)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Net cash flows from investments in financial assets for policy purposes</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1 782</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1 549</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1 661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1 235</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533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Subtotal</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(1 007)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(1 451)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(665)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(709)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(967)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Net cash flows from investment in financial assets for liquidity management purposes</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108</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188</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33</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Net cash flows from investing activities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(900)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(1 263)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(632)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(709)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(923)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Cash flows from financing activities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Advances received (net)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(1 788)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(1 553)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(1 666)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(1 248)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(557)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Net borrowings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929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914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697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479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267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Deposits received (net)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Other financing (net)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(386)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Net cash flows from financing activities</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(916)</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(617)</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(1 028)</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(978)</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(678)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 xml:space="preserve">Net increase/(decrease) in cash and </w:t>
            </w:r>
            <w:r w:rsidR="00A767A3">
              <w:rPr>
                <w:rFonts w:eastAsiaTheme="minorEastAsia" w:cstheme="majorHAnsi"/>
                <w:b/>
                <w:bCs/>
                <w:color w:val="000000"/>
                <w:szCs w:val="18"/>
                <w:lang w:eastAsia="en-AU"/>
              </w:rPr>
              <w:br/>
            </w:r>
            <w:r w:rsidRPr="00090F94">
              <w:rPr>
                <w:rFonts w:eastAsiaTheme="minorEastAsia" w:cstheme="majorHAnsi"/>
                <w:b/>
                <w:bCs/>
                <w:color w:val="000000"/>
                <w:szCs w:val="18"/>
                <w:lang w:eastAsia="en-AU"/>
              </w:rPr>
              <w:t>cash equivalents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(329)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(548)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(91)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(39)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 xml:space="preserve">Cash and cash equivalents at beginning of reporting period </w:t>
            </w:r>
            <w:r w:rsidRPr="00090F94">
              <w:rPr>
                <w:rFonts w:eastAsiaTheme="minorEastAsia" w:cstheme="majorHAnsi"/>
                <w:color w:val="000000"/>
                <w:szCs w:val="18"/>
                <w:vertAlign w:val="superscript"/>
                <w:lang w:eastAsia="en-AU"/>
              </w:rPr>
              <w:t>(b)</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1 419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1 419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871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780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740</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6" w:space="0" w:color="000000"/>
            </w:tcBorders>
          </w:tcPr>
          <w:p w:rsidR="004B6846" w:rsidRPr="00090F94" w:rsidRDefault="004B6846" w:rsidP="00A767A3">
            <w:pPr>
              <w:rPr>
                <w:lang w:eastAsia="en-AU"/>
              </w:rPr>
            </w:pPr>
            <w:r w:rsidRPr="00090F94">
              <w:rPr>
                <w:lang w:eastAsia="en-AU"/>
              </w:rPr>
              <w:t xml:space="preserve">Cash and cash equivalents at end of reporting period </w:t>
            </w:r>
            <w:r w:rsidRPr="00090F94">
              <w:rPr>
                <w:vertAlign w:val="superscript"/>
                <w:lang w:eastAsia="en-AU"/>
              </w:rPr>
              <w:t>(b)</w:t>
            </w:r>
          </w:p>
        </w:tc>
        <w:tc>
          <w:tcPr>
            <w:tcW w:w="850" w:type="dxa"/>
            <w:tcBorders>
              <w:top w:val="single" w:sz="6" w:space="0" w:color="000000"/>
              <w:bottom w:val="single" w:sz="6" w:space="0" w:color="000000"/>
            </w:tcBorders>
          </w:tcPr>
          <w:p w:rsidR="004B6846" w:rsidRPr="00090F94" w:rsidRDefault="004B6846" w:rsidP="00A767A3">
            <w:pPr>
              <w:cnfStyle w:val="010000000000" w:firstRow="0" w:lastRow="1" w:firstColumn="0" w:lastColumn="0" w:oddVBand="0" w:evenVBand="0" w:oddHBand="0" w:evenHBand="0" w:firstRowFirstColumn="0" w:firstRowLastColumn="0" w:lastRowFirstColumn="0" w:lastRowLastColumn="0"/>
              <w:rPr>
                <w:lang w:eastAsia="en-AU"/>
              </w:rPr>
            </w:pPr>
            <w:r w:rsidRPr="00090F94">
              <w:rPr>
                <w:lang w:eastAsia="en-AU"/>
              </w:rPr>
              <w:t>1 090</w:t>
            </w:r>
          </w:p>
        </w:tc>
        <w:tc>
          <w:tcPr>
            <w:tcW w:w="850" w:type="dxa"/>
            <w:tcBorders>
              <w:top w:val="single" w:sz="6" w:space="0" w:color="000000"/>
              <w:bottom w:val="single" w:sz="6" w:space="0" w:color="000000"/>
            </w:tcBorders>
          </w:tcPr>
          <w:p w:rsidR="004B6846" w:rsidRPr="00090F94" w:rsidRDefault="004B6846" w:rsidP="00A767A3">
            <w:pPr>
              <w:cnfStyle w:val="010000000000" w:firstRow="0" w:lastRow="1" w:firstColumn="0" w:lastColumn="0" w:oddVBand="0" w:evenVBand="0" w:oddHBand="0" w:evenHBand="0" w:firstRowFirstColumn="0" w:firstRowLastColumn="0" w:lastRowFirstColumn="0" w:lastRowLastColumn="0"/>
              <w:rPr>
                <w:lang w:eastAsia="en-AU"/>
              </w:rPr>
            </w:pPr>
            <w:r>
              <w:rPr>
                <w:lang w:eastAsia="en-AU"/>
              </w:rPr>
              <w:t>871</w:t>
            </w:r>
          </w:p>
        </w:tc>
        <w:tc>
          <w:tcPr>
            <w:tcW w:w="850" w:type="dxa"/>
            <w:tcBorders>
              <w:top w:val="single" w:sz="6" w:space="0" w:color="000000"/>
              <w:bottom w:val="single" w:sz="6" w:space="0" w:color="000000"/>
            </w:tcBorders>
          </w:tcPr>
          <w:p w:rsidR="004B6846" w:rsidRPr="00090F94" w:rsidRDefault="004B6846" w:rsidP="00A767A3">
            <w:pPr>
              <w:cnfStyle w:val="010000000000" w:firstRow="0" w:lastRow="1" w:firstColumn="0" w:lastColumn="0" w:oddVBand="0" w:evenVBand="0" w:oddHBand="0" w:evenHBand="0" w:firstRowFirstColumn="0" w:firstRowLastColumn="0" w:lastRowFirstColumn="0" w:lastRowLastColumn="0"/>
              <w:rPr>
                <w:lang w:eastAsia="en-AU"/>
              </w:rPr>
            </w:pPr>
            <w:r>
              <w:rPr>
                <w:lang w:eastAsia="en-AU"/>
              </w:rPr>
              <w:t>780</w:t>
            </w:r>
          </w:p>
        </w:tc>
        <w:tc>
          <w:tcPr>
            <w:tcW w:w="850" w:type="dxa"/>
            <w:tcBorders>
              <w:top w:val="single" w:sz="6" w:space="0" w:color="000000"/>
              <w:bottom w:val="single" w:sz="6" w:space="0" w:color="000000"/>
            </w:tcBorders>
          </w:tcPr>
          <w:p w:rsidR="004B6846" w:rsidRPr="00090F94" w:rsidRDefault="004B6846" w:rsidP="00A767A3">
            <w:pPr>
              <w:cnfStyle w:val="010000000000" w:firstRow="0" w:lastRow="1" w:firstColumn="0" w:lastColumn="0" w:oddVBand="0" w:evenVBand="0" w:oddHBand="0" w:evenHBand="0" w:firstRowFirstColumn="0" w:firstRowLastColumn="0" w:lastRowFirstColumn="0" w:lastRowLastColumn="0"/>
              <w:rPr>
                <w:lang w:eastAsia="en-AU"/>
              </w:rPr>
            </w:pPr>
            <w:r>
              <w:rPr>
                <w:lang w:eastAsia="en-AU"/>
              </w:rPr>
              <w:t>740</w:t>
            </w:r>
          </w:p>
        </w:tc>
        <w:tc>
          <w:tcPr>
            <w:tcW w:w="850" w:type="dxa"/>
            <w:tcBorders>
              <w:top w:val="single" w:sz="6" w:space="0" w:color="000000"/>
              <w:bottom w:val="single" w:sz="6" w:space="0" w:color="000000"/>
            </w:tcBorders>
          </w:tcPr>
          <w:p w:rsidR="004B6846" w:rsidRPr="00090F94" w:rsidRDefault="004B6846" w:rsidP="00A767A3">
            <w:pPr>
              <w:cnfStyle w:val="010000000000" w:firstRow="0" w:lastRow="1" w:firstColumn="0" w:lastColumn="0" w:oddVBand="0" w:evenVBand="0" w:oddHBand="0" w:evenHBand="0" w:firstRowFirstColumn="0" w:firstRowLastColumn="0" w:lastRowFirstColumn="0" w:lastRowLastColumn="0"/>
              <w:rPr>
                <w:lang w:eastAsia="en-AU"/>
              </w:rPr>
            </w:pPr>
            <w:r>
              <w:rPr>
                <w:lang w:eastAsia="en-AU"/>
              </w:rPr>
              <w:t>760</w:t>
            </w:r>
          </w:p>
        </w:tc>
      </w:tr>
    </w:tbl>
    <w:p w:rsidR="00A767A3" w:rsidRDefault="00A767A3"/>
    <w:p w:rsidR="00A767A3" w:rsidRPr="00090F94" w:rsidRDefault="00A767A3" w:rsidP="00A767A3">
      <w:pPr>
        <w:pStyle w:val="TableHeading"/>
        <w:rPr>
          <w:bCs/>
          <w:lang w:val="en-US"/>
        </w:rPr>
      </w:pPr>
      <w:r>
        <w:lastRenderedPageBreak/>
        <w:t>Table 5.3</w:t>
      </w:r>
      <w:r>
        <w:tab/>
        <w:t xml:space="preserve">Public non-financial corporations sector cash flow statement for </w:t>
      </w:r>
      <w:r>
        <w:br/>
        <w:t xml:space="preserve">the financial year ended 30 June </w:t>
      </w:r>
      <w:r w:rsidRPr="00A767A3">
        <w:rPr>
          <w:i/>
        </w:rPr>
        <w:t>(continued)</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767A3" w:rsidRPr="00090F94" w:rsidTr="00D73159">
        <w:trPr>
          <w:cnfStyle w:val="100000000000" w:firstRow="1" w:lastRow="0" w:firstColumn="0" w:lastColumn="0" w:oddVBand="0" w:evenVBand="0" w:oddHBand="0" w:evenHBand="0" w:firstRowFirstColumn="0" w:firstRowLastColumn="0" w:lastRowFirstColumn="0" w:lastRowLastColumn="0"/>
          <w:trHeight w:val="101"/>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767A3" w:rsidRPr="00090F94" w:rsidRDefault="00A767A3" w:rsidP="00D73159">
            <w:pPr>
              <w:autoSpaceDE w:val="0"/>
              <w:autoSpaceDN w:val="0"/>
              <w:adjustRightInd w:val="0"/>
              <w:rPr>
                <w:rFonts w:eastAsiaTheme="minorEastAsia" w:cstheme="majorHAnsi"/>
                <w:iCs/>
                <w:color w:val="FFFFFF"/>
                <w:lang w:eastAsia="en-AU"/>
              </w:rPr>
            </w:pPr>
            <w:r w:rsidRPr="00090F94">
              <w:rPr>
                <w:rFonts w:eastAsiaTheme="minorEastAsia" w:cstheme="majorHAnsi"/>
                <w:iCs/>
                <w:color w:val="FFFFFF"/>
                <w:lang w:eastAsia="en-AU"/>
              </w:rPr>
              <w:t xml:space="preserve">  </w:t>
            </w:r>
          </w:p>
        </w:tc>
        <w:tc>
          <w:tcPr>
            <w:tcW w:w="850" w:type="dxa"/>
            <w:tcBorders>
              <w:top w:val="nil"/>
              <w:left w:val="nil"/>
              <w:right w:val="nil"/>
            </w:tcBorders>
            <w:shd w:val="solid" w:color="000000" w:fill="auto"/>
          </w:tcPr>
          <w:p w:rsidR="00A767A3" w:rsidRPr="00090F94" w:rsidRDefault="00A767A3" w:rsidP="00D73159">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budget</w:t>
            </w:r>
          </w:p>
        </w:tc>
        <w:tc>
          <w:tcPr>
            <w:tcW w:w="850" w:type="dxa"/>
            <w:tcBorders>
              <w:top w:val="nil"/>
              <w:left w:val="nil"/>
              <w:right w:val="nil"/>
            </w:tcBorders>
            <w:shd w:val="solid" w:color="000000" w:fill="auto"/>
          </w:tcPr>
          <w:p w:rsidR="00A767A3" w:rsidRPr="00090F94" w:rsidRDefault="00A767A3" w:rsidP="00D73159">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revised</w:t>
            </w:r>
          </w:p>
        </w:tc>
        <w:tc>
          <w:tcPr>
            <w:tcW w:w="850" w:type="dxa"/>
            <w:tcBorders>
              <w:top w:val="nil"/>
              <w:left w:val="nil"/>
              <w:right w:val="nil"/>
            </w:tcBorders>
            <w:shd w:val="solid" w:color="000000" w:fill="auto"/>
          </w:tcPr>
          <w:p w:rsidR="00A767A3" w:rsidRPr="00090F94" w:rsidRDefault="00A767A3" w:rsidP="00D73159">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2019-20</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A767A3" w:rsidRPr="00090F94" w:rsidRDefault="00A767A3" w:rsidP="00D73159">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2020-21</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A767A3" w:rsidRPr="00090F94" w:rsidRDefault="00A767A3" w:rsidP="00D73159">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2021-22</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A767A3">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FISCAL AGGREGATES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Net cash flows from operating activities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1 487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1 332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1 569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1 647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1 620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Dividends paid</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(160)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(183)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(165)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(141)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Net cash flows from investments in non-financial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(2 789)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(3 000)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(2 326)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(1 945)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(1 499)</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rPr>
                <w:rFonts w:eastAsiaTheme="minorEastAsia" w:cstheme="majorHAnsi"/>
                <w:bCs/>
                <w:color w:val="000000"/>
                <w:szCs w:val="18"/>
                <w:lang w:eastAsia="en-AU"/>
              </w:rPr>
            </w:pPr>
            <w:r w:rsidRPr="00090F94">
              <w:rPr>
                <w:rFonts w:eastAsiaTheme="minorEastAsia" w:cstheme="majorHAnsi"/>
                <w:bCs/>
                <w:color w:val="000000"/>
                <w:szCs w:val="18"/>
                <w:lang w:eastAsia="en-AU"/>
              </w:rPr>
              <w:t>Cash surplus/(deficit)</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(1 462)</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(1 872)</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(940)</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(463)</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(20)</w:t>
            </w:r>
          </w:p>
        </w:tc>
      </w:tr>
    </w:tbl>
    <w:p w:rsidR="004B6846" w:rsidRDefault="004B6846" w:rsidP="00CC0EB7">
      <w:pPr>
        <w:pStyle w:val="Source"/>
      </w:pPr>
      <w:r w:rsidRPr="00D87D22">
        <w:t>Source: Dep</w:t>
      </w:r>
      <w:r>
        <w:t xml:space="preserve">artment of Treasury and Finance </w:t>
      </w:r>
    </w:p>
    <w:p w:rsidR="004B6846" w:rsidRDefault="004B6846" w:rsidP="00CC0EB7">
      <w:pPr>
        <w:pStyle w:val="Note"/>
      </w:pPr>
      <w:r>
        <w:t>Notes:</w:t>
      </w:r>
    </w:p>
    <w:p w:rsidR="004B6846" w:rsidRDefault="004B6846" w:rsidP="00CC0EB7">
      <w:pPr>
        <w:pStyle w:val="Note"/>
      </w:pPr>
      <w:r>
        <w:t>(a)</w:t>
      </w:r>
      <w:r>
        <w:tab/>
        <w:t>Inclusive of goods and services tax.</w:t>
      </w:r>
    </w:p>
    <w:p w:rsidR="004B6846" w:rsidRDefault="004B6846" w:rsidP="00CC0EB7">
      <w:pPr>
        <w:pStyle w:val="Note"/>
      </w:pPr>
      <w:r>
        <w:t>(b)</w:t>
      </w:r>
      <w:r>
        <w:tab/>
      </w:r>
      <w:r>
        <w:rPr>
          <w:i w:val="0"/>
        </w:rPr>
        <w:t>2018-19</w:t>
      </w:r>
      <w:r w:rsidRPr="0027459D">
        <w:rPr>
          <w:i w:val="0"/>
        </w:rPr>
        <w:t xml:space="preserve"> Budget</w:t>
      </w:r>
      <w:r>
        <w:t xml:space="preserve"> figures have been restated to represent actual opening balances at 1 July 2018.</w:t>
      </w:r>
    </w:p>
    <w:p w:rsidR="004B6846" w:rsidRDefault="004B6846">
      <w:pPr>
        <w:keepLines w:val="0"/>
        <w:rPr>
          <w:rFonts w:asciiTheme="majorHAnsi" w:hAnsiTheme="majorHAnsi"/>
          <w:i/>
          <w:spacing w:val="-2"/>
          <w:sz w:val="14"/>
        </w:rPr>
      </w:pPr>
      <w:r>
        <w:br w:type="page"/>
      </w:r>
    </w:p>
    <w:p w:rsidR="004B6846" w:rsidRPr="00090F94" w:rsidRDefault="004B6846" w:rsidP="00CC0EB7">
      <w:pPr>
        <w:pStyle w:val="TableHeading"/>
        <w:rPr>
          <w:bCs/>
          <w:lang w:val="en-US"/>
        </w:rPr>
      </w:pPr>
      <w:r>
        <w:lastRenderedPageBreak/>
        <w:t>Table 5.4</w:t>
      </w:r>
      <w:r>
        <w:tab/>
        <w:t xml:space="preserve">Public non-financial corporations sector statement of </w:t>
      </w:r>
      <w:r>
        <w:br/>
        <w:t>changes in equity for the financial year ended 30 June</w:t>
      </w:r>
      <w:r>
        <w:tab/>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4677"/>
        <w:gridCol w:w="1570"/>
        <w:gridCol w:w="1519"/>
      </w:tblGrid>
      <w:tr w:rsidR="004B6846" w:rsidRPr="00090F94"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shd w:val="solid" w:color="000000" w:fill="auto"/>
          </w:tcPr>
          <w:p w:rsidR="004B6846" w:rsidRPr="00090F94" w:rsidRDefault="004B6846" w:rsidP="00CC0EB7">
            <w:pPr>
              <w:autoSpaceDE w:val="0"/>
              <w:autoSpaceDN w:val="0"/>
              <w:adjustRightInd w:val="0"/>
              <w:rPr>
                <w:rFonts w:eastAsiaTheme="minorEastAsia" w:cstheme="majorHAnsi"/>
                <w:iCs/>
                <w:color w:val="FFFFFF"/>
                <w:lang w:eastAsia="en-AU"/>
              </w:rPr>
            </w:pPr>
            <w:r w:rsidRPr="00090F94">
              <w:rPr>
                <w:rFonts w:eastAsiaTheme="minorEastAsia" w:cstheme="majorHAnsi"/>
                <w:iCs/>
                <w:color w:val="FFFFFF"/>
                <w:lang w:eastAsia="en-AU"/>
              </w:rPr>
              <w:t xml:space="preserve"> </w:t>
            </w:r>
          </w:p>
        </w:tc>
        <w:tc>
          <w:tcPr>
            <w:tcW w:w="1570" w:type="dxa"/>
            <w:tcBorders>
              <w:top w:val="nil"/>
              <w:left w:val="nil"/>
              <w:bottom w:val="nil"/>
              <w:right w:val="nil"/>
            </w:tcBorders>
            <w:shd w:val="solid" w:color="000000" w:fill="auto"/>
          </w:tcPr>
          <w:p w:rsidR="004B6846" w:rsidRPr="00090F9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090F94">
              <w:rPr>
                <w:rFonts w:eastAsiaTheme="minorEastAsia" w:cstheme="majorHAnsi"/>
                <w:iCs/>
                <w:color w:val="FFFFFF"/>
                <w:szCs w:val="16"/>
                <w:lang w:eastAsia="en-AU"/>
              </w:rPr>
              <w:t>Accumulated surplus/(deficit)</w:t>
            </w:r>
          </w:p>
        </w:tc>
        <w:tc>
          <w:tcPr>
            <w:tcW w:w="1519" w:type="dxa"/>
            <w:tcBorders>
              <w:top w:val="nil"/>
              <w:left w:val="nil"/>
              <w:bottom w:val="nil"/>
              <w:right w:val="nil"/>
            </w:tcBorders>
            <w:shd w:val="solid" w:color="000000" w:fill="auto"/>
          </w:tcPr>
          <w:p w:rsidR="004B6846" w:rsidRPr="00090F9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090F94">
              <w:rPr>
                <w:rFonts w:eastAsiaTheme="minorEastAsia" w:cstheme="majorHAnsi"/>
                <w:iCs/>
                <w:color w:val="FFFFFF"/>
                <w:szCs w:val="16"/>
                <w:lang w:eastAsia="en-AU"/>
              </w:rPr>
              <w:t>Contributions by owners</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 xml:space="preserve">2018-19 budget </w:t>
            </w:r>
            <w:r w:rsidRPr="00090F94">
              <w:rPr>
                <w:rFonts w:eastAsiaTheme="minorEastAsia" w:cstheme="majorHAnsi"/>
                <w:b/>
                <w:bCs/>
                <w:color w:val="000000"/>
                <w:szCs w:val="16"/>
                <w:vertAlign w:val="superscript"/>
                <w:lang w:eastAsia="en-AU"/>
              </w:rPr>
              <w:t>(a)</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Balance at 1 July 2018</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3 333</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59 478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Net result for the year</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(304)</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 xml:space="preserve">Other comprehensive income for the year </w:t>
            </w:r>
            <w:r w:rsidRPr="00090F94">
              <w:rPr>
                <w:rFonts w:eastAsiaTheme="minorEastAsia" w:cstheme="majorHAnsi"/>
                <w:color w:val="000000"/>
                <w:szCs w:val="16"/>
                <w:vertAlign w:val="superscript"/>
                <w:lang w:eastAsia="en-AU"/>
              </w:rPr>
              <w:t>(b)</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(36)</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Dividends paid</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(160)</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Transactions with owners in their capacity as owners</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5 749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Total equity as at 30 June 2019</w:t>
            </w:r>
          </w:p>
        </w:tc>
        <w:tc>
          <w:tcPr>
            <w:tcW w:w="157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2 833</w:t>
            </w:r>
          </w:p>
        </w:tc>
        <w:tc>
          <w:tcPr>
            <w:tcW w:w="1519"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65 227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2018-19 revised</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Balance at 1 July 2018</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3 333</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59 478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Net result for the year</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(332)</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Other comprehensive income for the year</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(38)</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Dividends paid</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(205)</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Transactions with owners in their capacity as owners</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5 130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Total equity as at 30 June 2019</w:t>
            </w:r>
          </w:p>
        </w:tc>
        <w:tc>
          <w:tcPr>
            <w:tcW w:w="157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2 758</w:t>
            </w:r>
          </w:p>
        </w:tc>
        <w:tc>
          <w:tcPr>
            <w:tcW w:w="1519"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64 609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2019-20 estimate</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Balance at 1 July 2019</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2 758</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64 609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Net result for the year</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(196)</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Other comprehensive income for the year</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(23)</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Dividends paid</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(183)</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Transactions with owners in their capacity as owners</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4 678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Total equity as at 30 June 2020</w:t>
            </w:r>
          </w:p>
        </w:tc>
        <w:tc>
          <w:tcPr>
            <w:tcW w:w="157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2 356</w:t>
            </w:r>
          </w:p>
        </w:tc>
        <w:tc>
          <w:tcPr>
            <w:tcW w:w="1519"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69 286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2020-21 estimate</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Balance at 1 July 2020</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2 356</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69 286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Net result for the year</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(359)</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Other comprehensive income for the year</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(18)</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Dividends paid</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(165)</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Transactions with owners in their capacity as owners</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3 325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Total equity as at 30 June 2021</w:t>
            </w:r>
          </w:p>
        </w:tc>
        <w:tc>
          <w:tcPr>
            <w:tcW w:w="157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1 813</w:t>
            </w:r>
          </w:p>
        </w:tc>
        <w:tc>
          <w:tcPr>
            <w:tcW w:w="1519"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72 611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2021-22 estimate</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Balance at 1 July 2021</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1 813</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72 611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Net result for the year</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(401)</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Other comprehensive income for the year</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(26)</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Dividends paid</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(141)</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Transactions with owners in their capacity as owners</w:t>
            </w:r>
          </w:p>
        </w:tc>
        <w:tc>
          <w:tcPr>
            <w:tcW w:w="157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1519"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1 846</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rPr>
                <w:rFonts w:eastAsiaTheme="minorEastAsia" w:cstheme="majorHAnsi"/>
                <w:bCs/>
                <w:color w:val="000000"/>
                <w:szCs w:val="16"/>
                <w:lang w:eastAsia="en-AU"/>
              </w:rPr>
            </w:pPr>
            <w:r w:rsidRPr="00090F94">
              <w:rPr>
                <w:rFonts w:eastAsiaTheme="minorEastAsia" w:cstheme="majorHAnsi"/>
                <w:bCs/>
                <w:color w:val="000000"/>
                <w:szCs w:val="16"/>
                <w:lang w:eastAsia="en-AU"/>
              </w:rPr>
              <w:t>Total equity as at 30 June 2022</w:t>
            </w:r>
          </w:p>
        </w:tc>
        <w:tc>
          <w:tcPr>
            <w:tcW w:w="157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090F94">
              <w:rPr>
                <w:rFonts w:eastAsiaTheme="minorEastAsia" w:cstheme="majorHAnsi"/>
                <w:bCs/>
                <w:color w:val="000000"/>
                <w:szCs w:val="16"/>
                <w:lang w:eastAsia="en-AU"/>
              </w:rPr>
              <w:t>1 245</w:t>
            </w:r>
          </w:p>
        </w:tc>
        <w:tc>
          <w:tcPr>
            <w:tcW w:w="1519"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090F94">
              <w:rPr>
                <w:rFonts w:eastAsiaTheme="minorEastAsia" w:cstheme="majorHAnsi"/>
                <w:bCs/>
                <w:color w:val="000000"/>
                <w:szCs w:val="16"/>
                <w:lang w:eastAsia="en-AU"/>
              </w:rPr>
              <w:t>74 458</w:t>
            </w:r>
          </w:p>
        </w:tc>
      </w:tr>
    </w:tbl>
    <w:p w:rsidR="004B6846" w:rsidRDefault="004B6846" w:rsidP="00CC0EB7">
      <w:pPr>
        <w:pStyle w:val="Source"/>
      </w:pPr>
      <w:r w:rsidRPr="00D87D22">
        <w:t>Source: Dep</w:t>
      </w:r>
      <w:r>
        <w:t>artment of Treasury and Finance</w:t>
      </w:r>
      <w:r w:rsidRPr="00352C54">
        <w:t xml:space="preserve"> </w:t>
      </w:r>
    </w:p>
    <w:p w:rsidR="004B6846" w:rsidRPr="006E4D7E" w:rsidRDefault="004B6846" w:rsidP="00CC0EB7">
      <w:pPr>
        <w:pStyle w:val="Note"/>
      </w:pPr>
      <w:r w:rsidRPr="006E4D7E">
        <w:t>Note</w:t>
      </w:r>
      <w:r>
        <w:t>s</w:t>
      </w:r>
      <w:r w:rsidRPr="006E4D7E">
        <w:t>:</w:t>
      </w:r>
    </w:p>
    <w:p w:rsidR="004B6846" w:rsidRPr="006E4D7E" w:rsidRDefault="004B6846" w:rsidP="00CC0EB7">
      <w:pPr>
        <w:pStyle w:val="Note"/>
      </w:pPr>
      <w:r w:rsidRPr="006E4D7E">
        <w:t>(a)</w:t>
      </w:r>
      <w:r w:rsidRPr="006E4D7E">
        <w:tab/>
        <w:t>Balances represent actual opening balances at 1 July 2018 plus 2018-19 budgeted movements.</w:t>
      </w:r>
    </w:p>
    <w:p w:rsidR="004B6846" w:rsidRPr="006E4D7E" w:rsidRDefault="004B6846" w:rsidP="00CC0EB7">
      <w:pPr>
        <w:pStyle w:val="Note"/>
      </w:pPr>
      <w:r w:rsidRPr="006E4D7E">
        <w:t>(b)</w:t>
      </w:r>
      <w:r w:rsidRPr="006E4D7E">
        <w:tab/>
      </w:r>
      <w:r w:rsidRPr="00411DD0">
        <w:rPr>
          <w:i w:val="0"/>
        </w:rPr>
        <w:t>2018-19 Budget</w:t>
      </w:r>
      <w:r w:rsidRPr="006E4D7E">
        <w:t xml:space="preserve"> figures have been updated to reflect more current information.</w:t>
      </w:r>
    </w:p>
    <w:p w:rsidR="004B6846" w:rsidRDefault="004B6846" w:rsidP="00CC0EB7">
      <w:pPr>
        <w:pStyle w:val="Note"/>
      </w:pPr>
      <w:r>
        <w:br w:type="page"/>
      </w:r>
    </w:p>
    <w:p w:rsidR="004B6846" w:rsidRPr="00090F94" w:rsidRDefault="004B6846" w:rsidP="00CC0EB7">
      <w:pPr>
        <w:pStyle w:val="TableHeading"/>
        <w:rPr>
          <w:bCs/>
          <w:lang w:val="en-US"/>
        </w:rPr>
      </w:pPr>
      <w:r w:rsidRPr="00545BFD">
        <w:lastRenderedPageBreak/>
        <w:br/>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591"/>
        <w:gridCol w:w="2591"/>
        <w:gridCol w:w="2591"/>
      </w:tblGrid>
      <w:tr w:rsidR="004B6846" w:rsidRPr="00090F94"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shd w:val="solid" w:color="000000" w:fill="auto"/>
          </w:tcPr>
          <w:p w:rsidR="004B6846" w:rsidRPr="00090F94" w:rsidRDefault="004B6846" w:rsidP="00CC0EB7">
            <w:pPr>
              <w:autoSpaceDE w:val="0"/>
              <w:autoSpaceDN w:val="0"/>
              <w:adjustRightInd w:val="0"/>
              <w:jc w:val="right"/>
              <w:rPr>
                <w:rFonts w:eastAsiaTheme="minorEastAsia" w:cstheme="majorHAnsi"/>
                <w:iCs/>
                <w:color w:val="FFFFFF"/>
                <w:szCs w:val="16"/>
                <w:lang w:eastAsia="en-AU"/>
              </w:rPr>
            </w:pPr>
            <w:r w:rsidRPr="00090F94">
              <w:rPr>
                <w:rFonts w:eastAsiaTheme="minorEastAsia" w:cstheme="majorHAnsi"/>
                <w:iCs/>
                <w:color w:val="FFFFFF"/>
                <w:szCs w:val="16"/>
                <w:lang w:eastAsia="en-AU"/>
              </w:rPr>
              <w:t xml:space="preserve">Non-financial assets </w:t>
            </w:r>
            <w:r>
              <w:rPr>
                <w:rFonts w:eastAsiaTheme="minorEastAsia" w:cstheme="majorHAnsi"/>
                <w:iCs/>
                <w:color w:val="FFFFFF"/>
                <w:szCs w:val="16"/>
                <w:lang w:eastAsia="en-AU"/>
              </w:rPr>
              <w:br/>
            </w:r>
            <w:r w:rsidRPr="00090F94">
              <w:rPr>
                <w:rFonts w:eastAsiaTheme="minorEastAsia" w:cstheme="majorHAnsi"/>
                <w:iCs/>
                <w:color w:val="FFFFFF"/>
                <w:szCs w:val="16"/>
                <w:lang w:eastAsia="en-AU"/>
              </w:rPr>
              <w:t>revaluation surplus</w:t>
            </w:r>
          </w:p>
        </w:tc>
        <w:tc>
          <w:tcPr>
            <w:tcW w:w="2591" w:type="dxa"/>
            <w:tcBorders>
              <w:top w:val="nil"/>
              <w:left w:val="nil"/>
              <w:bottom w:val="nil"/>
              <w:right w:val="nil"/>
            </w:tcBorders>
            <w:shd w:val="solid" w:color="000000" w:fill="auto"/>
          </w:tcPr>
          <w:p w:rsidR="004B6846" w:rsidRPr="00090F9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090F94">
              <w:rPr>
                <w:rFonts w:eastAsiaTheme="minorEastAsia" w:cstheme="majorHAnsi"/>
                <w:iCs/>
                <w:color w:val="FFFFFF"/>
                <w:szCs w:val="16"/>
                <w:lang w:eastAsia="en-AU"/>
              </w:rPr>
              <w:t>Other reserves</w:t>
            </w:r>
          </w:p>
        </w:tc>
        <w:tc>
          <w:tcPr>
            <w:tcW w:w="2591" w:type="dxa"/>
            <w:tcBorders>
              <w:top w:val="nil"/>
              <w:left w:val="nil"/>
              <w:bottom w:val="nil"/>
              <w:right w:val="nil"/>
            </w:tcBorders>
            <w:shd w:val="solid" w:color="000000" w:fill="auto"/>
          </w:tcPr>
          <w:p w:rsidR="004B6846" w:rsidRPr="00090F9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090F94">
              <w:rPr>
                <w:rFonts w:eastAsiaTheme="minorEastAsia" w:cstheme="majorHAnsi"/>
                <w:iCs/>
                <w:color w:val="FFFFFF"/>
                <w:szCs w:val="16"/>
                <w:lang w:eastAsia="en-AU"/>
              </w:rPr>
              <w:t>Total</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33 851</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549</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97 212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(304)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817</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37</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819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(160)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5 749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szCs w:val="16"/>
                <w:lang w:eastAsia="en-AU"/>
              </w:rPr>
            </w:pPr>
            <w:r w:rsidRPr="00090F94">
              <w:rPr>
                <w:rFonts w:eastAsiaTheme="minorEastAsia" w:cstheme="majorHAnsi"/>
                <w:b/>
                <w:bCs/>
                <w:color w:val="000000"/>
                <w:szCs w:val="16"/>
                <w:lang w:eastAsia="en-AU"/>
              </w:rPr>
              <w:t>34 669</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587</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103 316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33 851</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549</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97 212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(332)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2 787</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24</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2 773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(205)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5 130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szCs w:val="16"/>
                <w:lang w:eastAsia="en-AU"/>
              </w:rPr>
            </w:pPr>
            <w:r w:rsidRPr="00090F94">
              <w:rPr>
                <w:rFonts w:eastAsiaTheme="minorEastAsia" w:cstheme="majorHAnsi"/>
                <w:b/>
                <w:bCs/>
                <w:color w:val="000000"/>
                <w:szCs w:val="16"/>
                <w:lang w:eastAsia="en-AU"/>
              </w:rPr>
              <w:t>36 639</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573</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104 579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36 639</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573</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104 579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(196)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1 441</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33</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1 451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(183)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4 678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szCs w:val="16"/>
                <w:lang w:eastAsia="en-AU"/>
              </w:rPr>
            </w:pPr>
            <w:r w:rsidRPr="00090F94">
              <w:rPr>
                <w:rFonts w:eastAsiaTheme="minorEastAsia" w:cstheme="majorHAnsi"/>
                <w:b/>
                <w:bCs/>
                <w:color w:val="000000"/>
                <w:szCs w:val="16"/>
                <w:lang w:eastAsia="en-AU"/>
              </w:rPr>
              <w:t>38 080</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606</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110 328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38 080</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606</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110 328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(359)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943</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928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(165)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3 325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szCs w:val="16"/>
                <w:lang w:eastAsia="en-AU"/>
              </w:rPr>
            </w:pPr>
            <w:r w:rsidRPr="00090F94">
              <w:rPr>
                <w:rFonts w:eastAsiaTheme="minorEastAsia" w:cstheme="majorHAnsi"/>
                <w:b/>
                <w:bCs/>
                <w:color w:val="000000"/>
                <w:szCs w:val="16"/>
                <w:lang w:eastAsia="en-AU"/>
              </w:rPr>
              <w:t>39 023</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610</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114 057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39 023</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610</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114 057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(401)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6</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22</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(141)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1 846</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jc w:val="right"/>
              <w:rPr>
                <w:rFonts w:eastAsiaTheme="minorEastAsia" w:cstheme="majorHAnsi"/>
                <w:bCs/>
                <w:color w:val="000000"/>
                <w:szCs w:val="16"/>
                <w:lang w:eastAsia="en-AU"/>
              </w:rPr>
            </w:pPr>
            <w:r w:rsidRPr="00090F94">
              <w:rPr>
                <w:rFonts w:eastAsiaTheme="minorEastAsia" w:cstheme="majorHAnsi"/>
                <w:bCs/>
                <w:color w:val="000000"/>
                <w:szCs w:val="16"/>
                <w:lang w:eastAsia="en-AU"/>
              </w:rPr>
              <w:t>39 029</w:t>
            </w:r>
          </w:p>
        </w:tc>
        <w:tc>
          <w:tcPr>
            <w:tcW w:w="2591"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631</w:t>
            </w:r>
          </w:p>
        </w:tc>
        <w:tc>
          <w:tcPr>
            <w:tcW w:w="2591"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090F94">
              <w:rPr>
                <w:rFonts w:eastAsiaTheme="minorEastAsia" w:cstheme="majorHAnsi"/>
                <w:bCs/>
                <w:color w:val="000000"/>
                <w:szCs w:val="16"/>
                <w:lang w:eastAsia="en-AU"/>
              </w:rPr>
              <w:t>115 364</w:t>
            </w:r>
          </w:p>
        </w:tc>
      </w:tr>
    </w:tbl>
    <w:p w:rsidR="004B6846" w:rsidRDefault="004B6846" w:rsidP="00CC0EB7"/>
    <w:p w:rsidR="004B6846" w:rsidRPr="0026771A" w:rsidRDefault="004B6846" w:rsidP="00CC0EB7">
      <w:r>
        <w:br w:type="page"/>
      </w:r>
    </w:p>
    <w:p w:rsidR="004B6846" w:rsidRPr="00090F94" w:rsidRDefault="004B6846" w:rsidP="00CC0EB7">
      <w:pPr>
        <w:pStyle w:val="TableHeading"/>
        <w:rPr>
          <w:bCs/>
          <w:lang w:val="en-US"/>
        </w:rPr>
      </w:pPr>
      <w:r>
        <w:lastRenderedPageBreak/>
        <w:t>Table 5.5</w:t>
      </w:r>
      <w:r>
        <w:tab/>
        <w:t xml:space="preserve">Net acquisition of non-financial assets – </w:t>
      </w:r>
      <w:r>
        <w:br/>
        <w:t>public non-financial corporations sector</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CC0EB7" w:rsidRPr="00090F94" w:rsidTr="00065FD3">
        <w:trPr>
          <w:cnfStyle w:val="100000000000" w:firstRow="1" w:lastRow="0" w:firstColumn="0" w:lastColumn="0" w:oddVBand="0" w:evenVBand="0" w:oddHBand="0" w:evenHBand="0" w:firstRowFirstColumn="0" w:firstRowLastColumn="0" w:lastRowFirstColumn="0" w:lastRowLastColumn="0"/>
          <w:trHeight w:val="101"/>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090F94" w:rsidRDefault="00CC0EB7" w:rsidP="00CC0EB7">
            <w:pPr>
              <w:autoSpaceDE w:val="0"/>
              <w:autoSpaceDN w:val="0"/>
              <w:adjustRightInd w:val="0"/>
              <w:rPr>
                <w:rFonts w:eastAsiaTheme="minorEastAsia" w:cstheme="majorHAnsi"/>
                <w:iCs/>
                <w:color w:val="FFFFFF"/>
                <w:lang w:eastAsia="en-AU"/>
              </w:rPr>
            </w:pPr>
            <w:r w:rsidRPr="00090F94">
              <w:rPr>
                <w:rFonts w:eastAsiaTheme="minorEastAsia" w:cstheme="majorHAnsi"/>
                <w:iCs/>
                <w:color w:val="FFFFFF"/>
                <w:lang w:eastAsia="en-AU"/>
              </w:rPr>
              <w:t xml:space="preserve">  </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budget</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revised</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2019-20</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2020-21</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2021-22</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 xml:space="preserve">Purchases of non-financial assets </w:t>
            </w:r>
            <w:r w:rsidR="00A767A3">
              <w:rPr>
                <w:rFonts w:eastAsiaTheme="minorEastAsia" w:cstheme="majorHAnsi"/>
                <w:color w:val="000000"/>
                <w:szCs w:val="18"/>
                <w:lang w:eastAsia="en-AU"/>
              </w:rPr>
              <w:br/>
            </w:r>
            <w:r w:rsidRPr="00090F94">
              <w:rPr>
                <w:rFonts w:eastAsiaTheme="minorEastAsia" w:cstheme="majorHAnsi"/>
                <w:color w:val="000000"/>
                <w:szCs w:val="18"/>
                <w:lang w:eastAsia="en-AU"/>
              </w:rPr>
              <w:t>(including change in inventories)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3 113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3 237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2 635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2 150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1 900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Less: Sales of non-financial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(324)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(251)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(308)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(401)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Less: Depreciation and amortisation</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(2 332)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(2 351)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(2 449)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(2 610)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(2 728)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 xml:space="preserve">Plus: Other movements in non-financial assets </w:t>
            </w:r>
            <w:r w:rsidRPr="00090F94">
              <w:rPr>
                <w:rFonts w:eastAsiaTheme="minorEastAsia" w:cstheme="majorHAnsi"/>
                <w:color w:val="000000"/>
                <w:szCs w:val="18"/>
                <w:vertAlign w:val="superscript"/>
                <w:lang w:eastAsia="en-AU"/>
              </w:rPr>
              <w:t>(a)</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5 664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4 968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4 743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3 551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2 275</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rPr>
                <w:rFonts w:eastAsiaTheme="minorEastAsia" w:cstheme="majorHAnsi"/>
                <w:bCs/>
                <w:color w:val="000000"/>
                <w:szCs w:val="16"/>
                <w:lang w:eastAsia="en-AU"/>
              </w:rPr>
            </w:pPr>
            <w:r w:rsidRPr="00090F94">
              <w:rPr>
                <w:rFonts w:eastAsiaTheme="minorEastAsia" w:cstheme="majorHAnsi"/>
                <w:bCs/>
                <w:color w:val="000000"/>
                <w:szCs w:val="16"/>
                <w:lang w:eastAsia="en-AU"/>
              </w:rPr>
              <w:t>Total net acquisition of non-financial assets from transactions</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090F94">
              <w:rPr>
                <w:rFonts w:eastAsiaTheme="minorEastAsia" w:cstheme="majorHAnsi"/>
                <w:bCs/>
                <w:color w:val="000000"/>
                <w:szCs w:val="18"/>
                <w:lang w:eastAsia="en-AU"/>
              </w:rPr>
              <w:t>6 121</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090F94">
              <w:rPr>
                <w:rFonts w:eastAsiaTheme="minorEastAsia" w:cstheme="majorHAnsi"/>
                <w:bCs/>
                <w:color w:val="000000"/>
                <w:szCs w:val="18"/>
                <w:lang w:eastAsia="en-AU"/>
              </w:rPr>
              <w:t>5 603</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090F94">
              <w:rPr>
                <w:rFonts w:eastAsiaTheme="minorEastAsia" w:cstheme="majorHAnsi"/>
                <w:bCs/>
                <w:color w:val="000000"/>
                <w:szCs w:val="18"/>
                <w:lang w:eastAsia="en-AU"/>
              </w:rPr>
              <w:t>4 621</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090F94">
              <w:rPr>
                <w:rFonts w:eastAsiaTheme="minorEastAsia" w:cstheme="majorHAnsi"/>
                <w:bCs/>
                <w:color w:val="000000"/>
                <w:szCs w:val="18"/>
                <w:lang w:eastAsia="en-AU"/>
              </w:rPr>
              <w:t>2 887</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090F94">
              <w:rPr>
                <w:rFonts w:eastAsiaTheme="minorEastAsia" w:cstheme="majorHAnsi"/>
                <w:bCs/>
                <w:color w:val="000000"/>
                <w:szCs w:val="18"/>
                <w:lang w:eastAsia="en-AU"/>
              </w:rPr>
              <w:t>1 046</w:t>
            </w:r>
          </w:p>
        </w:tc>
      </w:tr>
    </w:tbl>
    <w:p w:rsidR="004B6846" w:rsidRDefault="004B6846" w:rsidP="00CC0EB7">
      <w:pPr>
        <w:pStyle w:val="Source"/>
      </w:pPr>
      <w:r w:rsidRPr="00D87D22">
        <w:t>Source: Dep</w:t>
      </w:r>
      <w:r>
        <w:t>artment of Treasury and Finance</w:t>
      </w:r>
      <w:r w:rsidRPr="00352C54">
        <w:t xml:space="preserve"> </w:t>
      </w:r>
    </w:p>
    <w:p w:rsidR="004B6846" w:rsidRDefault="004B6846" w:rsidP="00CC0EB7">
      <w:pPr>
        <w:pStyle w:val="Note"/>
      </w:pPr>
      <w:r>
        <w:t>Note:</w:t>
      </w:r>
    </w:p>
    <w:p w:rsidR="004B6846" w:rsidRDefault="004B6846" w:rsidP="00CC0EB7">
      <w:pPr>
        <w:pStyle w:val="Note"/>
      </w:pPr>
      <w:r>
        <w:t>(a)</w:t>
      </w:r>
      <w:r>
        <w:tab/>
        <w:t>The other movements in non-financial assets include fixed asset transfers from the general government sector to the public non</w:t>
      </w:r>
      <w:r>
        <w:noBreakHyphen/>
        <w:t>financial corporations sector.</w:t>
      </w:r>
    </w:p>
    <w:p w:rsidR="004B6846" w:rsidRDefault="004B6846" w:rsidP="00CC0EB7">
      <w:pPr>
        <w:keepLines w:val="0"/>
      </w:pPr>
      <w:r>
        <w:br w:type="page"/>
      </w:r>
    </w:p>
    <w:p w:rsidR="004B6846" w:rsidRPr="00090F94" w:rsidRDefault="004B6846" w:rsidP="00CC0EB7">
      <w:pPr>
        <w:pStyle w:val="TableHeading"/>
        <w:rPr>
          <w:bCs/>
          <w:lang w:val="en-US"/>
        </w:rPr>
      </w:pPr>
      <w:r>
        <w:lastRenderedPageBreak/>
        <w:t>Table 5.6</w:t>
      </w:r>
      <w:r>
        <w:tab/>
        <w:t xml:space="preserve">Non-financial public sector comprehensive operating statement </w:t>
      </w:r>
      <w:r>
        <w:br/>
        <w:t>for the financial year ended 30 June</w:t>
      </w:r>
      <w:r>
        <w:tab/>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3515"/>
        <w:gridCol w:w="170"/>
        <w:gridCol w:w="142"/>
        <w:gridCol w:w="97"/>
        <w:gridCol w:w="442"/>
        <w:gridCol w:w="850"/>
        <w:gridCol w:w="850"/>
        <w:gridCol w:w="850"/>
        <w:gridCol w:w="850"/>
      </w:tblGrid>
      <w:tr w:rsidR="00CC0EB7" w:rsidRPr="00090F9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090F94" w:rsidRDefault="00CC0EB7" w:rsidP="00CC0EB7">
            <w:pPr>
              <w:autoSpaceDE w:val="0"/>
              <w:autoSpaceDN w:val="0"/>
              <w:adjustRightInd w:val="0"/>
              <w:rPr>
                <w:rFonts w:eastAsiaTheme="minorEastAsia" w:cstheme="majorHAnsi"/>
                <w:iCs/>
                <w:color w:val="FFFFFF"/>
                <w:sz w:val="16"/>
                <w:lang w:eastAsia="en-AU"/>
              </w:rPr>
            </w:pPr>
            <w:r w:rsidRPr="00090F94">
              <w:rPr>
                <w:rFonts w:eastAsiaTheme="minorEastAsia" w:cstheme="majorHAnsi"/>
                <w:iCs/>
                <w:color w:val="FFFFFF"/>
                <w:sz w:val="16"/>
                <w:lang w:eastAsia="en-AU"/>
              </w:rPr>
              <w:t xml:space="preserve">  </w:t>
            </w:r>
          </w:p>
        </w:tc>
        <w:tc>
          <w:tcPr>
            <w:tcW w:w="851" w:type="dxa"/>
            <w:gridSpan w:val="4"/>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2018-19</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budget</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2018-19</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revised</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2019-20</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2020-21</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2021-22</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estimate</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Revenue from transactions</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Taxation revenue</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23 653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23 649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24 600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25 524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26 789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Interest revenue</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363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320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323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332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344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Dividends, income tax equivalent and rate equivalent revenue</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584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716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218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255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245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Sales of goods and services</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11 428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11 378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12 355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12 692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13 184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Grant revenue</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33 454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33 516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33 699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34 687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35 943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revenue</w:t>
            </w:r>
          </w:p>
        </w:tc>
        <w:tc>
          <w:tcPr>
            <w:tcW w:w="851" w:type="dxa"/>
            <w:gridSpan w:val="4"/>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3 220</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3 261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3 212</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3 291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3 333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Total revenue from transactions</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72 702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72 840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74 406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76 781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79 838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Expenses from transactions</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Employee expenses</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26 779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26 264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27 756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28 830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29 936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superannuation interest expense</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667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692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643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614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585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superannuation</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2 799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2 879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2 935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3 008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3 132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Depreciation</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5 208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5 271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5 482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5 941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6 255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Interest expense</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2 604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2 508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2 612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2 747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2 815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Grant expense</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9 406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9 128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10 365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10 388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10 828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operating expenses</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24 532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24 602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23 493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23 348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24 144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property expenses</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Total expenses from transactions</w:t>
            </w:r>
          </w:p>
        </w:tc>
        <w:tc>
          <w:tcPr>
            <w:tcW w:w="851" w:type="dxa"/>
            <w:gridSpan w:val="4"/>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71 995</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71 346</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73 286</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74 877</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77 694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85" w:type="dxa"/>
            <w:gridSpan w:val="2"/>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result from transactions – net operating balance</w:t>
            </w:r>
          </w:p>
        </w:tc>
        <w:tc>
          <w:tcPr>
            <w:tcW w:w="681" w:type="dxa"/>
            <w:gridSpan w:val="3"/>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706</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1 495</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1 120</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1 904</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2 144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Other economic flows included in net result</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gain/(loss) on disposal of non-financial assets</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113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141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104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72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112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Net gain/(loss) on financial assets or liabilities at </w:t>
            </w:r>
            <w:r w:rsidR="00A767A3">
              <w:rPr>
                <w:rFonts w:eastAsiaTheme="minorEastAsia" w:cstheme="majorHAnsi"/>
                <w:color w:val="000000"/>
                <w:sz w:val="16"/>
                <w:szCs w:val="18"/>
                <w:lang w:eastAsia="en-AU"/>
              </w:rPr>
              <w:br/>
            </w:r>
            <w:r w:rsidRPr="00090F94">
              <w:rPr>
                <w:rFonts w:eastAsiaTheme="minorEastAsia" w:cstheme="majorHAnsi"/>
                <w:color w:val="000000"/>
                <w:sz w:val="16"/>
                <w:szCs w:val="18"/>
                <w:lang w:eastAsia="en-AU"/>
              </w:rPr>
              <w:t>fair value</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gains/(losses) from other economic flows</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(421)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(422)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(434)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(430)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(439)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Total other economic flows included in net result</w:t>
            </w:r>
          </w:p>
        </w:tc>
        <w:tc>
          <w:tcPr>
            <w:tcW w:w="851" w:type="dxa"/>
            <w:gridSpan w:val="4"/>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(280)</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(257)</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(303)</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(331)</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(300)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result</w:t>
            </w:r>
          </w:p>
        </w:tc>
        <w:tc>
          <w:tcPr>
            <w:tcW w:w="851" w:type="dxa"/>
            <w:gridSpan w:val="4"/>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426</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1 238</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817</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1 573</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1 845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827" w:type="dxa"/>
            <w:gridSpan w:val="3"/>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Other economic flows – other comprehensive income</w:t>
            </w:r>
          </w:p>
        </w:tc>
        <w:tc>
          <w:tcPr>
            <w:tcW w:w="539"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Items that will not be reclassified to net result</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Changes in non-financial assets revaluation surplus</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1 504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3 485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8 668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2 748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3 804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Remeasurement of superannuation defined benefit plans</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1 014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1 996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1 053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1 074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1 094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movements in equity</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15</w:t>
            </w:r>
          </w:p>
        </w:tc>
      </w:tr>
      <w:tr w:rsidR="004B6846" w:rsidRPr="00090F94" w:rsidTr="00065FD3">
        <w:tc>
          <w:tcPr>
            <w:cnfStyle w:val="001000000000" w:firstRow="0" w:lastRow="0" w:firstColumn="1" w:lastColumn="0" w:oddVBand="0" w:evenVBand="0" w:oddHBand="0" w:evenHBand="0" w:firstRowFirstColumn="0" w:firstRowLastColumn="0" w:lastRowFirstColumn="0" w:lastRowLastColumn="0"/>
            <w:tcW w:w="3924" w:type="dxa"/>
            <w:gridSpan w:val="4"/>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Items that may be reclassified subsequently to net result</w:t>
            </w:r>
          </w:p>
        </w:tc>
        <w:tc>
          <w:tcPr>
            <w:tcW w:w="442"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gain/(loss) on financial assets at fair value</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gain/(loss) on equity investments in other sector entities at proportional share of the carrying amount of net assets</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(320)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(215)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80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131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 xml:space="preserve">Total other economic flows – </w:t>
            </w:r>
            <w:r w:rsidR="00065FD3">
              <w:rPr>
                <w:rFonts w:eastAsiaTheme="minorEastAsia" w:cstheme="majorHAnsi"/>
                <w:b/>
                <w:bCs/>
                <w:color w:val="000000"/>
                <w:sz w:val="16"/>
                <w:szCs w:val="18"/>
                <w:lang w:eastAsia="en-AU"/>
              </w:rPr>
              <w:br/>
            </w:r>
            <w:r w:rsidRPr="00090F94">
              <w:rPr>
                <w:rFonts w:eastAsiaTheme="minorEastAsia" w:cstheme="majorHAnsi"/>
                <w:b/>
                <w:bCs/>
                <w:color w:val="000000"/>
                <w:sz w:val="16"/>
                <w:szCs w:val="18"/>
                <w:lang w:eastAsia="en-AU"/>
              </w:rPr>
              <w:t>other comprehensive income</w:t>
            </w:r>
          </w:p>
        </w:tc>
        <w:tc>
          <w:tcPr>
            <w:tcW w:w="851" w:type="dxa"/>
            <w:gridSpan w:val="4"/>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2 187</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5 235</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9 815</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3 934</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4 931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Comprehensive result – total change in net worth</w:t>
            </w:r>
          </w:p>
        </w:tc>
        <w:tc>
          <w:tcPr>
            <w:tcW w:w="851" w:type="dxa"/>
            <w:gridSpan w:val="4"/>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2 613</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6 473</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10 632</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5 507</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6 775</w:t>
            </w:r>
          </w:p>
        </w:tc>
      </w:tr>
      <w:tr w:rsidR="004B6846" w:rsidRPr="00090F94" w:rsidTr="00CC0EB7">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KEY FISCAL AGGREGATES</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operating balance</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706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1 495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1 120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1 904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2 144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Less: Net acquisition of non-financial assets from transactions</w:t>
            </w:r>
          </w:p>
        </w:tc>
        <w:tc>
          <w:tcPr>
            <w:tcW w:w="851" w:type="dxa"/>
            <w:gridSpan w:val="4"/>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8 041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7 628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7 700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5 232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2 961</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rPr>
                <w:rFonts w:eastAsiaTheme="minorEastAsia" w:cstheme="majorHAnsi"/>
                <w:bCs/>
                <w:color w:val="000000"/>
                <w:sz w:val="16"/>
                <w:szCs w:val="18"/>
                <w:lang w:eastAsia="en-AU"/>
              </w:rPr>
            </w:pPr>
            <w:r w:rsidRPr="00090F94">
              <w:rPr>
                <w:rFonts w:eastAsiaTheme="minorEastAsia" w:cstheme="majorHAnsi"/>
                <w:bCs/>
                <w:color w:val="000000"/>
                <w:sz w:val="16"/>
                <w:szCs w:val="18"/>
                <w:lang w:eastAsia="en-AU"/>
              </w:rPr>
              <w:t>Net lending/(borrowing)</w:t>
            </w:r>
          </w:p>
        </w:tc>
        <w:tc>
          <w:tcPr>
            <w:tcW w:w="851" w:type="dxa"/>
            <w:gridSpan w:val="4"/>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(7 335)</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(6 133)</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(6 580)</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(3 327)</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(816)</w:t>
            </w:r>
          </w:p>
        </w:tc>
      </w:tr>
    </w:tbl>
    <w:p w:rsidR="004B6846" w:rsidRPr="00AC37A6" w:rsidRDefault="004B6846" w:rsidP="00CC0EB7">
      <w:pPr>
        <w:pStyle w:val="Source"/>
      </w:pPr>
      <w:r w:rsidRPr="00D87D22">
        <w:t>Source: Dep</w:t>
      </w:r>
      <w:r>
        <w:t>artment of Treasury and Finance</w:t>
      </w:r>
      <w:r w:rsidRPr="00352C54">
        <w:t xml:space="preserve"> </w:t>
      </w:r>
    </w:p>
    <w:p w:rsidR="004B6846" w:rsidRPr="00090F94" w:rsidRDefault="004B6846" w:rsidP="00CC0EB7">
      <w:pPr>
        <w:pStyle w:val="TableHeading"/>
        <w:rPr>
          <w:bCs/>
          <w:lang w:val="en-US"/>
        </w:rPr>
      </w:pPr>
      <w:r>
        <w:lastRenderedPageBreak/>
        <w:t>Table 5.7</w:t>
      </w:r>
      <w:r>
        <w:tab/>
        <w:t>Non-financial public sector balance sheet as at 30 June</w:t>
      </w:r>
      <w:r>
        <w:tab/>
        <w:t xml:space="preserve">($ million) </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CC0EB7" w:rsidRPr="00090F94" w:rsidTr="00065FD3">
        <w:trPr>
          <w:cnfStyle w:val="100000000000" w:firstRow="1" w:lastRow="0" w:firstColumn="0" w:lastColumn="0" w:oddVBand="0" w:evenVBand="0" w:oddHBand="0" w:evenHBand="0" w:firstRowFirstColumn="0" w:firstRowLastColumn="0" w:lastRowFirstColumn="0" w:lastRowLastColumn="0"/>
          <w:trHeight w:val="89"/>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090F94" w:rsidRDefault="00CC0EB7" w:rsidP="00CC0EB7">
            <w:pPr>
              <w:autoSpaceDE w:val="0"/>
              <w:autoSpaceDN w:val="0"/>
              <w:adjustRightInd w:val="0"/>
              <w:rPr>
                <w:rFonts w:eastAsiaTheme="minorEastAsia" w:cstheme="majorHAnsi"/>
                <w:iCs/>
                <w:color w:val="FFFFFF"/>
                <w:lang w:eastAsia="en-AU"/>
              </w:rPr>
            </w:pPr>
            <w:r w:rsidRPr="00090F94">
              <w:rPr>
                <w:rFonts w:eastAsiaTheme="minorEastAsia" w:cstheme="majorHAnsi"/>
                <w:iCs/>
                <w:color w:val="FFFFFF"/>
                <w:lang w:eastAsia="en-AU"/>
              </w:rPr>
              <w:t xml:space="preserve">  </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 xml:space="preserve">budget </w:t>
            </w:r>
            <w:r w:rsidRPr="00090F94">
              <w:rPr>
                <w:rFonts w:eastAsiaTheme="minorEastAsia" w:cstheme="majorHAnsi"/>
                <w:iCs/>
                <w:color w:val="FFFFFF"/>
                <w:szCs w:val="18"/>
                <w:vertAlign w:val="superscript"/>
                <w:lang w:eastAsia="en-AU"/>
              </w:rPr>
              <w:t>(a)</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revised</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2020</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2021</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2022</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Financial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Cash and deposits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7 415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5 050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5 062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5 025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5 024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Advances paid</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504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504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361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354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402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Receivables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7 935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7 831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8 001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8 335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8 728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Investments, loans and placements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5 370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5 289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5 790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6 042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6 291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Investments accounted for using equity method</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Investments in other sector entities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3 723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3 829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2 759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1 769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1 785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financial assets</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24 999</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22 556</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22 025</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21 579</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22 284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Non-financial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Inventories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1 296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1 354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1 478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1 509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1 414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Non-financial assets held for sale</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463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446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447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448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449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 xml:space="preserve">Land, buildings, infrastructure, plant </w:t>
            </w:r>
            <w:r w:rsidR="00065FD3">
              <w:rPr>
                <w:rFonts w:eastAsiaTheme="minorEastAsia" w:cstheme="majorHAnsi"/>
                <w:color w:val="000000"/>
                <w:szCs w:val="18"/>
                <w:lang w:eastAsia="en-AU"/>
              </w:rPr>
              <w:br/>
            </w:r>
            <w:r w:rsidRPr="00090F94">
              <w:rPr>
                <w:rFonts w:eastAsiaTheme="minorEastAsia" w:cstheme="majorHAnsi"/>
                <w:color w:val="000000"/>
                <w:szCs w:val="18"/>
                <w:lang w:eastAsia="en-AU"/>
              </w:rPr>
              <w:t>and equipment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269 796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271 105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286 343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292 832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298 548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Other non-financial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3 035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3 199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4 237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5 647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6 341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non-financial assets</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274 591</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276 103</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292 505</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300 435</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306 752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299 590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298 659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314 530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322 014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329 036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Liabilities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Deposits held and advances received</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1 322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1 320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1 367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1 358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1 313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Payables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18 407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19 010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18 536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18 047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16 958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Borrowings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52 236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47 873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54 283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57 520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59 576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Employee benefits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7 819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7 763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8 078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8 378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8 683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Superannuation</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24 192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23 298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22 249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21 168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20 156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Other provisions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1 097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1 019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1 010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1 028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1 060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liabilities</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105 074</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100 283</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105 522</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107 500</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107 746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Net assets</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194 516</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198 376</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209 008</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214 515</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221 290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Accumulated surplus/(deficit)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79 147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80 934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82 785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85 410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88 342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Reserves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115 369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117 442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126 223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129 105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132 948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Net worth</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194 516</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198 376</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209 008</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214 515</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221 290</w:t>
            </w:r>
          </w:p>
        </w:tc>
      </w:tr>
      <w:tr w:rsidR="004B6846" w:rsidRPr="00090F94" w:rsidTr="00CC0EB7">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FISCAL AGGREGATES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Net financial worth</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(80 075)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(77 728)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(83 497)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(85 920)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(85 462)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Net financial liabilities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83 798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81 557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86 256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87 690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87 247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Net debt</w:t>
            </w:r>
          </w:p>
        </w:tc>
        <w:tc>
          <w:tcPr>
            <w:tcW w:w="850"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40 270</w:t>
            </w:r>
          </w:p>
        </w:tc>
        <w:tc>
          <w:tcPr>
            <w:tcW w:w="850"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38 351</w:t>
            </w:r>
          </w:p>
        </w:tc>
        <w:tc>
          <w:tcPr>
            <w:tcW w:w="850"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44 437</w:t>
            </w:r>
          </w:p>
        </w:tc>
        <w:tc>
          <w:tcPr>
            <w:tcW w:w="850"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47 457</w:t>
            </w:r>
          </w:p>
        </w:tc>
        <w:tc>
          <w:tcPr>
            <w:tcW w:w="850"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49 171</w:t>
            </w:r>
          </w:p>
        </w:tc>
      </w:tr>
    </w:tbl>
    <w:p w:rsidR="004B6846" w:rsidRDefault="004B6846" w:rsidP="00CC0EB7">
      <w:pPr>
        <w:pStyle w:val="Source"/>
      </w:pPr>
      <w:r w:rsidRPr="00D87D22">
        <w:t>Source: Dep</w:t>
      </w:r>
      <w:r>
        <w:t>artment of Treasury and Finance</w:t>
      </w:r>
      <w:r w:rsidRPr="00352C54">
        <w:t xml:space="preserve"> </w:t>
      </w:r>
    </w:p>
    <w:p w:rsidR="004B6846" w:rsidRDefault="004B6846" w:rsidP="00CC0EB7">
      <w:pPr>
        <w:pStyle w:val="Note"/>
      </w:pPr>
      <w:r>
        <w:t>Note:</w:t>
      </w:r>
    </w:p>
    <w:p w:rsidR="004B6846" w:rsidRPr="00926603" w:rsidRDefault="004B6846" w:rsidP="00CC0EB7">
      <w:pPr>
        <w:pStyle w:val="Note"/>
      </w:pPr>
      <w:r w:rsidRPr="00926603">
        <w:t>(a)</w:t>
      </w:r>
      <w:r w:rsidRPr="00926603">
        <w:tab/>
        <w:t>Balances represent actual</w:t>
      </w:r>
      <w:r>
        <w:t xml:space="preserve"> opening balances at 1 July 2018 plus 2018-19</w:t>
      </w:r>
      <w:r w:rsidRPr="00926603">
        <w:t xml:space="preserve"> budgeted movements.</w:t>
      </w:r>
    </w:p>
    <w:p w:rsidR="004B6846" w:rsidRDefault="004B6846" w:rsidP="00CC0EB7"/>
    <w:p w:rsidR="004B6846" w:rsidRDefault="004B6846" w:rsidP="00CC0EB7">
      <w:pPr>
        <w:pStyle w:val="Heading10"/>
      </w:pPr>
      <w:r>
        <w:br w:type="page"/>
      </w:r>
    </w:p>
    <w:p w:rsidR="004B6846" w:rsidRPr="00090F94" w:rsidRDefault="004B6846" w:rsidP="00CC0EB7">
      <w:pPr>
        <w:pStyle w:val="TableHeading"/>
        <w:rPr>
          <w:bCs/>
          <w:lang w:val="en-US"/>
        </w:rPr>
      </w:pPr>
      <w:r>
        <w:lastRenderedPageBreak/>
        <w:t>Table 5.8</w:t>
      </w:r>
      <w:r>
        <w:tab/>
        <w:t xml:space="preserve">Non-financial public sector cash flow statement for the </w:t>
      </w:r>
      <w:r>
        <w:br/>
        <w:t>financial year ended 30 June</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170"/>
        <w:gridCol w:w="680"/>
        <w:gridCol w:w="850"/>
        <w:gridCol w:w="850"/>
        <w:gridCol w:w="850"/>
        <w:gridCol w:w="850"/>
      </w:tblGrid>
      <w:tr w:rsidR="00CC0EB7" w:rsidRPr="00090F94" w:rsidTr="00065FD3">
        <w:trPr>
          <w:cnfStyle w:val="100000000000" w:firstRow="1" w:lastRow="0" w:firstColumn="0" w:lastColumn="0" w:oddVBand="0" w:evenVBand="0" w:oddHBand="0" w:evenHBand="0" w:firstRowFirstColumn="0" w:firstRowLastColumn="0" w:lastRowFirstColumn="0" w:lastRowLastColumn="0"/>
          <w:trHeight w:val="101"/>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090F94" w:rsidRDefault="00CC0EB7" w:rsidP="00CC0EB7">
            <w:pPr>
              <w:autoSpaceDE w:val="0"/>
              <w:autoSpaceDN w:val="0"/>
              <w:adjustRightInd w:val="0"/>
              <w:spacing w:after="0"/>
              <w:rPr>
                <w:rFonts w:eastAsiaTheme="minorEastAsia" w:cstheme="majorHAnsi"/>
                <w:iCs/>
                <w:color w:val="FFFFFF"/>
                <w:sz w:val="16"/>
                <w:lang w:eastAsia="en-AU"/>
              </w:rPr>
            </w:pPr>
            <w:r w:rsidRPr="00090F94">
              <w:rPr>
                <w:rFonts w:eastAsiaTheme="minorEastAsia" w:cstheme="majorHAnsi"/>
                <w:iCs/>
                <w:color w:val="FFFFFF"/>
                <w:sz w:val="16"/>
                <w:lang w:eastAsia="en-AU"/>
              </w:rPr>
              <w:t xml:space="preserve">  </w:t>
            </w:r>
          </w:p>
        </w:tc>
        <w:tc>
          <w:tcPr>
            <w:tcW w:w="850" w:type="dxa"/>
            <w:gridSpan w:val="2"/>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2018-19</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budget</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2018-19</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revised</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2019-20</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2020-21</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2021-22</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estimate</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Cash flows from operating activities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Receipts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Taxes received</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23 479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23 477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24 386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25 140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26 381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Grants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33 449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33 516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33 699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34 687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35 943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Sales of goods and services </w:t>
            </w:r>
            <w:r w:rsidRPr="00090F94">
              <w:rPr>
                <w:rFonts w:eastAsiaTheme="minorEastAsia" w:cstheme="majorHAnsi"/>
                <w:color w:val="000000"/>
                <w:sz w:val="16"/>
                <w:szCs w:val="18"/>
                <w:vertAlign w:val="superscript"/>
                <w:lang w:eastAsia="en-AU"/>
              </w:rPr>
              <w:t>(a)</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14 423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15 351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13 478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13 884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14 375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Interest received</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374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324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323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332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344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Dividends, income tax equivalent and </w:t>
            </w:r>
            <w:r w:rsidR="00A767A3">
              <w:rPr>
                <w:rFonts w:eastAsiaTheme="minorEastAsia" w:cstheme="majorHAnsi"/>
                <w:color w:val="000000"/>
                <w:sz w:val="16"/>
                <w:szCs w:val="18"/>
                <w:lang w:eastAsia="en-AU"/>
              </w:rPr>
              <w:br/>
            </w:r>
            <w:r w:rsidRPr="00090F94">
              <w:rPr>
                <w:rFonts w:eastAsiaTheme="minorEastAsia" w:cstheme="majorHAnsi"/>
                <w:color w:val="000000"/>
                <w:sz w:val="16"/>
                <w:szCs w:val="18"/>
                <w:lang w:eastAsia="en-AU"/>
              </w:rPr>
              <w:t>rate equivalent receipts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530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662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216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254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244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receipts</w:t>
            </w:r>
          </w:p>
        </w:tc>
        <w:tc>
          <w:tcPr>
            <w:tcW w:w="850" w:type="dxa"/>
            <w:gridSpan w:val="2"/>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2 524</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2 460</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2 492</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2 582</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2 593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Total receipts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74 779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75 790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74 594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76 879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79 880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Payments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Payments for employees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(26 428)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(25 968)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(27 447)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(28 535)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(29 637)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Superannuation</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(3 492)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(3 510)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(3 574)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(3 629)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(3 636)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Interest paid</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(2 562)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(2 457)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(2 574)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(2 709)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(2 776)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Grants and subsidies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(9 474)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(9 437)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(11 485)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(11 923)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(11 623)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Goods and services </w:t>
            </w:r>
            <w:r w:rsidRPr="00090F94">
              <w:rPr>
                <w:rFonts w:eastAsiaTheme="minorEastAsia" w:cstheme="majorHAnsi"/>
                <w:color w:val="000000"/>
                <w:sz w:val="16"/>
                <w:szCs w:val="18"/>
                <w:vertAlign w:val="superscript"/>
                <w:lang w:eastAsia="en-AU"/>
              </w:rPr>
              <w:t>(a)</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(25 145)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(25 403)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(24 190)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(24 019)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(25 008)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payments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(793)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(784)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(810)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(846)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(808)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Total payments</w:t>
            </w:r>
          </w:p>
        </w:tc>
        <w:tc>
          <w:tcPr>
            <w:tcW w:w="850" w:type="dxa"/>
            <w:gridSpan w:val="2"/>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(67 894)</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(67 560)</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(70 081)</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(71 661)</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(73 488)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cash flows from operating activities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6 885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8 230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4 514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5 218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6 392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Cash flows from investing activities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85"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Cash flows from investments in non-financial assets</w:t>
            </w:r>
          </w:p>
        </w:tc>
        <w:tc>
          <w:tcPr>
            <w:tcW w:w="68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Purchases of non-financial assets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(13 204)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(12 555)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(11 475)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(9 427)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(8 443)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Sales of non-financial assets</w:t>
            </w:r>
          </w:p>
        </w:tc>
        <w:tc>
          <w:tcPr>
            <w:tcW w:w="850" w:type="dxa"/>
            <w:gridSpan w:val="2"/>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692</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617</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725</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595</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747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 xml:space="preserve">Net cash flows from investments in </w:t>
            </w:r>
            <w:r w:rsidR="00A767A3">
              <w:rPr>
                <w:rFonts w:eastAsiaTheme="minorEastAsia" w:cstheme="majorHAnsi"/>
                <w:b/>
                <w:bCs/>
                <w:color w:val="000000"/>
                <w:sz w:val="16"/>
                <w:szCs w:val="18"/>
                <w:lang w:eastAsia="en-AU"/>
              </w:rPr>
              <w:br/>
            </w:r>
            <w:r w:rsidRPr="00090F94">
              <w:rPr>
                <w:rFonts w:eastAsiaTheme="minorEastAsia" w:cstheme="majorHAnsi"/>
                <w:b/>
                <w:bCs/>
                <w:color w:val="000000"/>
                <w:sz w:val="16"/>
                <w:szCs w:val="18"/>
                <w:lang w:eastAsia="en-AU"/>
              </w:rPr>
              <w:t>non-financial assets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(12 512)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(11 938)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(10 750)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(8 833)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(7 696)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cash flows from investments in financial assets for policy purposes</w:t>
            </w:r>
          </w:p>
        </w:tc>
        <w:tc>
          <w:tcPr>
            <w:tcW w:w="850" w:type="dxa"/>
            <w:gridSpan w:val="2"/>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(162)</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(147)</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1 291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1 115</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Subtotal</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(12 673)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(12 085)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(9 459)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(7 718)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(7 730)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cash flows from investment in financial assets for liquidity management purposes</w:t>
            </w:r>
          </w:p>
        </w:tc>
        <w:tc>
          <w:tcPr>
            <w:tcW w:w="850" w:type="dxa"/>
            <w:gridSpan w:val="2"/>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(125)</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(63)</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(427)</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(213)</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(207)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cash flows from investing activities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(12 799)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(12 148)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(9 886)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(7 931)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(7 936)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Cash flows from financing activities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Advances received (net)</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(244)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(244)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borrowings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5 901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1 543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5 337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2 686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1 588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Deposits received (net)</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cash flows from financing activities</w:t>
            </w:r>
          </w:p>
        </w:tc>
        <w:tc>
          <w:tcPr>
            <w:tcW w:w="850" w:type="dxa"/>
            <w:gridSpan w:val="2"/>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5 653</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1 293</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5 384</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2 677</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1 543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increase/(decrease) in cash and cash equivalents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(261)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(2 625)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(36)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Cash and cash equivalents at beginning of </w:t>
            </w:r>
            <w:r w:rsidR="00065FD3">
              <w:rPr>
                <w:rFonts w:eastAsiaTheme="minorEastAsia" w:cstheme="majorHAnsi"/>
                <w:color w:val="000000"/>
                <w:sz w:val="16"/>
                <w:szCs w:val="18"/>
                <w:lang w:eastAsia="en-AU"/>
              </w:rPr>
              <w:br/>
            </w:r>
            <w:r w:rsidRPr="00090F94">
              <w:rPr>
                <w:rFonts w:eastAsiaTheme="minorEastAsia" w:cstheme="majorHAnsi"/>
                <w:color w:val="000000"/>
                <w:sz w:val="16"/>
                <w:szCs w:val="18"/>
                <w:lang w:eastAsia="en-AU"/>
              </w:rPr>
              <w:t xml:space="preserve">reporting period </w:t>
            </w:r>
            <w:r w:rsidRPr="00090F94">
              <w:rPr>
                <w:rFonts w:eastAsiaTheme="minorEastAsia" w:cstheme="majorHAnsi"/>
                <w:color w:val="000000"/>
                <w:sz w:val="16"/>
                <w:szCs w:val="18"/>
                <w:vertAlign w:val="superscript"/>
                <w:lang w:eastAsia="en-AU"/>
              </w:rPr>
              <w:t>(b)</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7 676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7 676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5 050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5 062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5 025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 xml:space="preserve">Cash and cash equivalents at end of </w:t>
            </w:r>
            <w:r w:rsidR="00A767A3">
              <w:rPr>
                <w:rFonts w:eastAsiaTheme="minorEastAsia" w:cstheme="majorHAnsi"/>
                <w:b/>
                <w:bCs/>
                <w:color w:val="000000"/>
                <w:sz w:val="16"/>
                <w:szCs w:val="18"/>
                <w:lang w:eastAsia="en-AU"/>
              </w:rPr>
              <w:br/>
            </w:r>
            <w:r w:rsidRPr="00090F94">
              <w:rPr>
                <w:rFonts w:eastAsiaTheme="minorEastAsia" w:cstheme="majorHAnsi"/>
                <w:b/>
                <w:bCs/>
                <w:color w:val="000000"/>
                <w:sz w:val="16"/>
                <w:szCs w:val="18"/>
                <w:lang w:eastAsia="en-AU"/>
              </w:rPr>
              <w:t xml:space="preserve">reporting period </w:t>
            </w:r>
            <w:r w:rsidRPr="00090F94">
              <w:rPr>
                <w:rFonts w:eastAsiaTheme="minorEastAsia" w:cstheme="majorHAnsi"/>
                <w:b/>
                <w:bCs/>
                <w:color w:val="000000"/>
                <w:sz w:val="16"/>
                <w:szCs w:val="18"/>
                <w:vertAlign w:val="superscript"/>
                <w:lang w:eastAsia="en-AU"/>
              </w:rPr>
              <w:t>(b)</w:t>
            </w:r>
          </w:p>
        </w:tc>
        <w:tc>
          <w:tcPr>
            <w:tcW w:w="850" w:type="dxa"/>
            <w:gridSpan w:val="2"/>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7 415</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5 050</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5 062</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5 025</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5 024</w:t>
            </w:r>
          </w:p>
        </w:tc>
      </w:tr>
      <w:tr w:rsidR="004B6846" w:rsidRPr="00090F94" w:rsidTr="00CC0EB7">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FISCAL AGGREGATES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cash flows from operating activities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6 885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8 230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4 514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5 218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6 392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Net cash flows from investments in </w:t>
            </w:r>
            <w:r w:rsidR="00A767A3">
              <w:rPr>
                <w:rFonts w:eastAsiaTheme="minorEastAsia" w:cstheme="majorHAnsi"/>
                <w:color w:val="000000"/>
                <w:sz w:val="16"/>
                <w:szCs w:val="18"/>
                <w:lang w:eastAsia="en-AU"/>
              </w:rPr>
              <w:br/>
            </w:r>
            <w:r w:rsidRPr="00090F94">
              <w:rPr>
                <w:rFonts w:eastAsiaTheme="minorEastAsia" w:cstheme="majorHAnsi"/>
                <w:color w:val="000000"/>
                <w:sz w:val="16"/>
                <w:szCs w:val="18"/>
                <w:lang w:eastAsia="en-AU"/>
              </w:rPr>
              <w:t>non-financial assets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(12 512)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(11 938)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(10 750)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(8 833)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(7 696)</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rPr>
                <w:rFonts w:eastAsiaTheme="minorEastAsia" w:cstheme="majorHAnsi"/>
                <w:bCs/>
                <w:color w:val="000000"/>
                <w:sz w:val="16"/>
                <w:szCs w:val="18"/>
                <w:lang w:eastAsia="en-AU"/>
              </w:rPr>
            </w:pPr>
            <w:r w:rsidRPr="00090F94">
              <w:rPr>
                <w:rFonts w:eastAsiaTheme="minorEastAsia" w:cstheme="majorHAnsi"/>
                <w:bCs/>
                <w:color w:val="000000"/>
                <w:sz w:val="16"/>
                <w:szCs w:val="18"/>
                <w:lang w:eastAsia="en-AU"/>
              </w:rPr>
              <w:t>Cash surplus/(deficit)</w:t>
            </w:r>
          </w:p>
        </w:tc>
        <w:tc>
          <w:tcPr>
            <w:tcW w:w="850" w:type="dxa"/>
            <w:gridSpan w:val="2"/>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(5 627)</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(3 709)</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(6 237)</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(3 614)</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(1 304)</w:t>
            </w:r>
          </w:p>
        </w:tc>
      </w:tr>
    </w:tbl>
    <w:p w:rsidR="004B6846" w:rsidRDefault="004B6846" w:rsidP="00CC0EB7">
      <w:pPr>
        <w:pStyle w:val="Source"/>
      </w:pPr>
      <w:r w:rsidRPr="00D87D22">
        <w:t>Source: Dep</w:t>
      </w:r>
      <w:r>
        <w:t>artment of Treasury and Finance</w:t>
      </w:r>
      <w:r w:rsidRPr="00352C54">
        <w:t xml:space="preserve"> </w:t>
      </w:r>
    </w:p>
    <w:p w:rsidR="004B6846" w:rsidRPr="005F55F3" w:rsidRDefault="004B6846" w:rsidP="00CC0EB7">
      <w:pPr>
        <w:pStyle w:val="Note"/>
      </w:pPr>
      <w:r>
        <w:t>Notes:</w:t>
      </w:r>
    </w:p>
    <w:p w:rsidR="004B6846" w:rsidRDefault="004B6846" w:rsidP="00CC0EB7">
      <w:pPr>
        <w:pStyle w:val="Note"/>
      </w:pPr>
      <w:r>
        <w:t>(a)</w:t>
      </w:r>
      <w:r>
        <w:tab/>
        <w:t>Inclusive of goods and services tax.</w:t>
      </w:r>
    </w:p>
    <w:p w:rsidR="004B6846" w:rsidRDefault="004B6846" w:rsidP="00CC0EB7">
      <w:pPr>
        <w:pStyle w:val="Note"/>
      </w:pPr>
      <w:r>
        <w:t>(b)</w:t>
      </w:r>
      <w:r>
        <w:tab/>
      </w:r>
      <w:r>
        <w:rPr>
          <w:i w:val="0"/>
        </w:rPr>
        <w:t>2018-19</w:t>
      </w:r>
      <w:r w:rsidRPr="001465C7">
        <w:rPr>
          <w:i w:val="0"/>
        </w:rPr>
        <w:t xml:space="preserve"> Budget</w:t>
      </w:r>
      <w:r>
        <w:t xml:space="preserve"> figures have been restated to represent actual opening balances at 1 July 2018.</w:t>
      </w:r>
    </w:p>
    <w:p w:rsidR="004B6846" w:rsidRPr="00090F94" w:rsidRDefault="004B6846" w:rsidP="00CC0EB7">
      <w:pPr>
        <w:pStyle w:val="TableHeading"/>
        <w:rPr>
          <w:bCs/>
          <w:lang w:val="en-US"/>
        </w:rPr>
      </w:pPr>
      <w:r>
        <w:lastRenderedPageBreak/>
        <w:t>Table 5.9</w:t>
      </w:r>
      <w:r>
        <w:tab/>
        <w:t xml:space="preserve">Non-financial public sector statement of changes in equity for the </w:t>
      </w:r>
      <w:r>
        <w:br/>
        <w:t>financial year ended 30 June</w:t>
      </w:r>
      <w:r>
        <w:tab/>
        <w:t>($ million)</w:t>
      </w:r>
    </w:p>
    <w:tbl>
      <w:tblPr>
        <w:tblStyle w:val="DTFTable"/>
        <w:tblW w:w="7762" w:type="dxa"/>
        <w:tblInd w:w="45" w:type="dxa"/>
        <w:tblLayout w:type="fixed"/>
        <w:tblCellMar>
          <w:left w:w="45" w:type="dxa"/>
          <w:right w:w="45" w:type="dxa"/>
        </w:tblCellMar>
        <w:tblLook w:val="06E0" w:firstRow="1" w:lastRow="1" w:firstColumn="1" w:lastColumn="0" w:noHBand="1" w:noVBand="1"/>
      </w:tblPr>
      <w:tblGrid>
        <w:gridCol w:w="4394"/>
        <w:gridCol w:w="1684"/>
        <w:gridCol w:w="1684"/>
      </w:tblGrid>
      <w:tr w:rsidR="004B6846" w:rsidRPr="00090F94"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shd w:val="solid" w:color="000000" w:fill="auto"/>
          </w:tcPr>
          <w:p w:rsidR="004B6846" w:rsidRPr="00090F94" w:rsidRDefault="004B6846" w:rsidP="00CC0EB7">
            <w:pPr>
              <w:autoSpaceDE w:val="0"/>
              <w:autoSpaceDN w:val="0"/>
              <w:adjustRightInd w:val="0"/>
              <w:rPr>
                <w:rFonts w:eastAsiaTheme="minorEastAsia" w:cstheme="majorHAnsi"/>
                <w:iCs/>
                <w:color w:val="FFFFFF"/>
                <w:lang w:eastAsia="en-AU"/>
              </w:rPr>
            </w:pPr>
            <w:r w:rsidRPr="00090F94">
              <w:rPr>
                <w:rFonts w:eastAsiaTheme="minorEastAsia" w:cstheme="majorHAnsi"/>
                <w:iCs/>
                <w:color w:val="FFFFFF"/>
                <w:lang w:eastAsia="en-AU"/>
              </w:rPr>
              <w:t xml:space="preserve"> </w:t>
            </w:r>
          </w:p>
        </w:tc>
        <w:tc>
          <w:tcPr>
            <w:tcW w:w="1684" w:type="dxa"/>
            <w:tcBorders>
              <w:top w:val="nil"/>
              <w:left w:val="nil"/>
              <w:bottom w:val="nil"/>
              <w:right w:val="nil"/>
            </w:tcBorders>
            <w:shd w:val="solid" w:color="000000" w:fill="auto"/>
          </w:tcPr>
          <w:p w:rsidR="004B6846" w:rsidRPr="00090F9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090F94">
              <w:rPr>
                <w:rFonts w:eastAsiaTheme="minorEastAsia" w:cstheme="majorHAnsi"/>
                <w:iCs/>
                <w:color w:val="FFFFFF"/>
                <w:szCs w:val="16"/>
                <w:lang w:eastAsia="en-AU"/>
              </w:rPr>
              <w:t>Accumulated surplus/(deficit)</w:t>
            </w:r>
          </w:p>
        </w:tc>
        <w:tc>
          <w:tcPr>
            <w:tcW w:w="1684" w:type="dxa"/>
            <w:tcBorders>
              <w:top w:val="nil"/>
              <w:left w:val="nil"/>
              <w:bottom w:val="nil"/>
              <w:right w:val="nil"/>
            </w:tcBorders>
            <w:shd w:val="solid" w:color="000000" w:fill="auto"/>
          </w:tcPr>
          <w:p w:rsidR="004B6846" w:rsidRPr="00090F9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090F94">
              <w:rPr>
                <w:rFonts w:eastAsiaTheme="minorEastAsia" w:cstheme="majorHAnsi"/>
                <w:iCs/>
                <w:color w:val="FFFFFF"/>
                <w:szCs w:val="16"/>
                <w:lang w:eastAsia="en-AU"/>
              </w:rPr>
              <w:t>Non-financial assets revaluation surplus</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 xml:space="preserve">2018-19 budget </w:t>
            </w:r>
            <w:r w:rsidRPr="00090F94">
              <w:rPr>
                <w:rFonts w:eastAsiaTheme="minorEastAsia" w:cstheme="majorHAnsi"/>
                <w:b/>
                <w:bCs/>
                <w:color w:val="000000"/>
                <w:szCs w:val="16"/>
                <w:vertAlign w:val="superscript"/>
                <w:lang w:eastAsia="en-AU"/>
              </w:rPr>
              <w:t>(a)</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Balance at 1 July 2018</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77 744</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108 120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Net result for the year</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426</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 xml:space="preserve">Other comprehensive income for the year </w:t>
            </w:r>
            <w:r w:rsidRPr="00090F94">
              <w:rPr>
                <w:rFonts w:eastAsiaTheme="minorEastAsia" w:cstheme="majorHAnsi"/>
                <w:color w:val="000000"/>
                <w:szCs w:val="16"/>
                <w:vertAlign w:val="superscript"/>
                <w:lang w:eastAsia="en-AU"/>
              </w:rPr>
              <w:t>(b)</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977</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1 504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Total equity as at 30 June 2019</w:t>
            </w:r>
          </w:p>
        </w:tc>
        <w:tc>
          <w:tcPr>
            <w:tcW w:w="168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79 147</w:t>
            </w:r>
          </w:p>
        </w:tc>
        <w:tc>
          <w:tcPr>
            <w:tcW w:w="168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109 624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2018-19 revised</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Balance at 1 July 2018</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77 744</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108 120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Net result for the year</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1 238</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Other comprehensive income for the year</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1 952</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3 485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Total equity as at 30 June 2019</w:t>
            </w:r>
          </w:p>
        </w:tc>
        <w:tc>
          <w:tcPr>
            <w:tcW w:w="168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80 934</w:t>
            </w:r>
          </w:p>
        </w:tc>
        <w:tc>
          <w:tcPr>
            <w:tcW w:w="168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111 605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2019-20 estimate</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Balance at 1 July 2019</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80 934</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111 605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Net result for the year</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817</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Other comprehensive income for the year</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1 034</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8 668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Total equity as at 30 June 2020</w:t>
            </w:r>
          </w:p>
        </w:tc>
        <w:tc>
          <w:tcPr>
            <w:tcW w:w="168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82 785</w:t>
            </w:r>
          </w:p>
        </w:tc>
        <w:tc>
          <w:tcPr>
            <w:tcW w:w="168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120 273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2020-21 estimate</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Balance at 1 July 2020</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82 785</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120 273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Net result for the year</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1 573</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Other comprehensive income for the year</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1 052</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2 748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Total equity as at 30 June 2021</w:t>
            </w:r>
          </w:p>
        </w:tc>
        <w:tc>
          <w:tcPr>
            <w:tcW w:w="168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85 410</w:t>
            </w:r>
          </w:p>
        </w:tc>
        <w:tc>
          <w:tcPr>
            <w:tcW w:w="168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123 021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2021-22 estimate</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Balance at 1 July 2021</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85 410</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123 021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Net result for the year</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1 845</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Other comprehensive income for the year</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1 088</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3 804</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rPr>
                <w:rFonts w:eastAsiaTheme="minorEastAsia" w:cstheme="majorHAnsi"/>
                <w:bCs/>
                <w:color w:val="000000"/>
                <w:szCs w:val="16"/>
                <w:lang w:eastAsia="en-AU"/>
              </w:rPr>
            </w:pPr>
            <w:r w:rsidRPr="00090F94">
              <w:rPr>
                <w:rFonts w:eastAsiaTheme="minorEastAsia" w:cstheme="majorHAnsi"/>
                <w:bCs/>
                <w:color w:val="000000"/>
                <w:szCs w:val="16"/>
                <w:lang w:eastAsia="en-AU"/>
              </w:rPr>
              <w:t>Total equity as at 30 June 2022</w:t>
            </w:r>
          </w:p>
        </w:tc>
        <w:tc>
          <w:tcPr>
            <w:tcW w:w="1684"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090F94">
              <w:rPr>
                <w:rFonts w:eastAsiaTheme="minorEastAsia" w:cstheme="majorHAnsi"/>
                <w:bCs/>
                <w:color w:val="000000"/>
                <w:szCs w:val="16"/>
                <w:lang w:eastAsia="en-AU"/>
              </w:rPr>
              <w:t>88 342</w:t>
            </w:r>
          </w:p>
        </w:tc>
        <w:tc>
          <w:tcPr>
            <w:tcW w:w="1684"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090F94">
              <w:rPr>
                <w:rFonts w:eastAsiaTheme="minorEastAsia" w:cstheme="majorHAnsi"/>
                <w:bCs/>
                <w:color w:val="000000"/>
                <w:szCs w:val="16"/>
                <w:lang w:eastAsia="en-AU"/>
              </w:rPr>
              <w:t>126 825</w:t>
            </w:r>
          </w:p>
        </w:tc>
      </w:tr>
    </w:tbl>
    <w:p w:rsidR="004B6846" w:rsidRDefault="004B6846" w:rsidP="00CC0EB7">
      <w:pPr>
        <w:pStyle w:val="Source"/>
      </w:pPr>
      <w:r w:rsidRPr="00D87D22">
        <w:t>Source: Dep</w:t>
      </w:r>
      <w:r>
        <w:t>artment of Treasury and Finance</w:t>
      </w:r>
      <w:r w:rsidRPr="00352C54">
        <w:t xml:space="preserve"> </w:t>
      </w:r>
    </w:p>
    <w:p w:rsidR="004B6846" w:rsidRPr="006E4D7E" w:rsidRDefault="004B6846" w:rsidP="00CC0EB7">
      <w:pPr>
        <w:pStyle w:val="Note"/>
      </w:pPr>
      <w:r w:rsidRPr="006E4D7E">
        <w:t>Notes:</w:t>
      </w:r>
    </w:p>
    <w:p w:rsidR="004B6846" w:rsidRPr="006E4D7E" w:rsidRDefault="004B6846" w:rsidP="00CC0EB7">
      <w:pPr>
        <w:pStyle w:val="Note"/>
        <w:rPr>
          <w:rFonts w:cs="Times New Roman"/>
          <w:lang w:eastAsia="en-AU"/>
        </w:rPr>
      </w:pPr>
      <w:r w:rsidRPr="006E4D7E">
        <w:rPr>
          <w:rFonts w:cs="Times New Roman"/>
          <w:lang w:eastAsia="en-AU"/>
        </w:rPr>
        <w:t>(a)</w:t>
      </w:r>
      <w:r w:rsidRPr="006E4D7E">
        <w:rPr>
          <w:rFonts w:cs="Times New Roman"/>
          <w:lang w:eastAsia="en-AU"/>
        </w:rPr>
        <w:tab/>
        <w:t>Balances represent actual opening balances at 1 July 2018 plus 2018-19 budgeted movements.</w:t>
      </w:r>
    </w:p>
    <w:p w:rsidR="004B6846" w:rsidRPr="006E4D7E" w:rsidRDefault="004B6846" w:rsidP="00CC0EB7">
      <w:pPr>
        <w:pStyle w:val="Note"/>
      </w:pPr>
      <w:r>
        <w:t xml:space="preserve">(b) </w:t>
      </w:r>
      <w:r>
        <w:tab/>
      </w:r>
      <w:r w:rsidRPr="00545BFD">
        <w:rPr>
          <w:i w:val="0"/>
        </w:rPr>
        <w:t>2018-19 Budget</w:t>
      </w:r>
      <w:r w:rsidRPr="006E4D7E">
        <w:t xml:space="preserve"> figures have been updated to reflect more current information.</w:t>
      </w:r>
    </w:p>
    <w:p w:rsidR="004B6846" w:rsidRPr="006E4D7E" w:rsidRDefault="004B6846" w:rsidP="00CC0EB7">
      <w:pPr>
        <w:pStyle w:val="Note"/>
        <w:rPr>
          <w:rFonts w:cs="Times New Roman"/>
          <w:szCs w:val="14"/>
          <w:lang w:eastAsia="en-AU"/>
        </w:rPr>
      </w:pPr>
    </w:p>
    <w:p w:rsidR="004B6846" w:rsidRDefault="004B6846" w:rsidP="00CC0EB7">
      <w:pPr>
        <w:pStyle w:val="Source"/>
      </w:pPr>
    </w:p>
    <w:p w:rsidR="004B6846" w:rsidRDefault="004B6846" w:rsidP="00CC0EB7">
      <w:pPr>
        <w:pStyle w:val="Heading10"/>
      </w:pPr>
      <w:r>
        <w:br w:type="page"/>
      </w:r>
    </w:p>
    <w:p w:rsidR="004B6846" w:rsidRPr="00090F94" w:rsidRDefault="004B6846" w:rsidP="00CC0EB7">
      <w:pPr>
        <w:pStyle w:val="TableHeading"/>
        <w:rPr>
          <w:bCs/>
          <w:lang w:val="en-US"/>
        </w:rPr>
      </w:pPr>
      <w:r w:rsidRPr="00545BFD">
        <w:lastRenderedPageBreak/>
        <w:br/>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591"/>
        <w:gridCol w:w="2591"/>
        <w:gridCol w:w="2591"/>
      </w:tblGrid>
      <w:tr w:rsidR="004B6846" w:rsidRPr="00090F94"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shd w:val="solid" w:color="000000" w:fill="auto"/>
          </w:tcPr>
          <w:p w:rsidR="004B6846" w:rsidRPr="00090F94" w:rsidRDefault="004B6846" w:rsidP="00CC0EB7">
            <w:pPr>
              <w:autoSpaceDE w:val="0"/>
              <w:autoSpaceDN w:val="0"/>
              <w:adjustRightInd w:val="0"/>
              <w:jc w:val="right"/>
              <w:rPr>
                <w:rFonts w:eastAsiaTheme="minorEastAsia" w:cstheme="majorHAnsi"/>
                <w:iCs/>
                <w:color w:val="FFFFFF"/>
                <w:szCs w:val="16"/>
                <w:lang w:eastAsia="en-AU"/>
              </w:rPr>
            </w:pPr>
            <w:r w:rsidRPr="00090F94">
              <w:rPr>
                <w:rFonts w:eastAsiaTheme="minorEastAsia" w:cstheme="majorHAnsi"/>
                <w:iCs/>
                <w:color w:val="FFFFFF"/>
                <w:szCs w:val="16"/>
                <w:lang w:eastAsia="en-AU"/>
              </w:rPr>
              <w:t xml:space="preserve">Investment in other sector </w:t>
            </w:r>
            <w:r w:rsidR="00065FD3">
              <w:rPr>
                <w:rFonts w:eastAsiaTheme="minorEastAsia" w:cstheme="majorHAnsi"/>
                <w:iCs/>
                <w:color w:val="FFFFFF"/>
                <w:szCs w:val="16"/>
                <w:lang w:eastAsia="en-AU"/>
              </w:rPr>
              <w:br/>
            </w:r>
            <w:r w:rsidRPr="00090F94">
              <w:rPr>
                <w:rFonts w:eastAsiaTheme="minorEastAsia" w:cstheme="majorHAnsi"/>
                <w:iCs/>
                <w:color w:val="FFFFFF"/>
                <w:szCs w:val="16"/>
                <w:lang w:eastAsia="en-AU"/>
              </w:rPr>
              <w:t>entities revaluation surplus</w:t>
            </w:r>
          </w:p>
        </w:tc>
        <w:tc>
          <w:tcPr>
            <w:tcW w:w="2591" w:type="dxa"/>
            <w:tcBorders>
              <w:top w:val="nil"/>
              <w:left w:val="nil"/>
              <w:bottom w:val="nil"/>
              <w:right w:val="nil"/>
            </w:tcBorders>
            <w:shd w:val="solid" w:color="000000" w:fill="auto"/>
          </w:tcPr>
          <w:p w:rsidR="004B6846" w:rsidRPr="00090F9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090F94">
              <w:rPr>
                <w:rFonts w:eastAsiaTheme="minorEastAsia" w:cstheme="majorHAnsi"/>
                <w:iCs/>
                <w:color w:val="FFFFFF"/>
                <w:szCs w:val="16"/>
                <w:lang w:eastAsia="en-AU"/>
              </w:rPr>
              <w:t>Other reserves</w:t>
            </w:r>
          </w:p>
        </w:tc>
        <w:tc>
          <w:tcPr>
            <w:tcW w:w="2591" w:type="dxa"/>
            <w:tcBorders>
              <w:top w:val="nil"/>
              <w:left w:val="nil"/>
              <w:bottom w:val="nil"/>
              <w:right w:val="nil"/>
            </w:tcBorders>
            <w:shd w:val="solid" w:color="000000" w:fill="auto"/>
          </w:tcPr>
          <w:p w:rsidR="004B6846" w:rsidRPr="00090F9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090F94">
              <w:rPr>
                <w:rFonts w:eastAsiaTheme="minorEastAsia" w:cstheme="majorHAnsi"/>
                <w:iCs/>
                <w:color w:val="FFFFFF"/>
                <w:szCs w:val="16"/>
                <w:lang w:eastAsia="en-AU"/>
              </w:rPr>
              <w:t>Total</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4 382</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1 657</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191 903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426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(320)</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26</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2 187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szCs w:val="16"/>
                <w:lang w:eastAsia="en-AU"/>
              </w:rPr>
            </w:pPr>
            <w:r w:rsidRPr="00090F94">
              <w:rPr>
                <w:rFonts w:eastAsiaTheme="minorEastAsia" w:cstheme="majorHAnsi"/>
                <w:b/>
                <w:bCs/>
                <w:color w:val="000000"/>
                <w:szCs w:val="16"/>
                <w:lang w:eastAsia="en-AU"/>
              </w:rPr>
              <w:t>4 062</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1 683</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194 516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4 382</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1 657</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191 903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1 238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(215)</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12</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5 235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szCs w:val="16"/>
                <w:lang w:eastAsia="en-AU"/>
              </w:rPr>
            </w:pPr>
            <w:r w:rsidRPr="00090F94">
              <w:rPr>
                <w:rFonts w:eastAsiaTheme="minorEastAsia" w:cstheme="majorHAnsi"/>
                <w:b/>
                <w:bCs/>
                <w:color w:val="000000"/>
                <w:szCs w:val="16"/>
                <w:lang w:eastAsia="en-AU"/>
              </w:rPr>
              <w:t>4 168</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1 669</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198 376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4 168</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1 669</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198 376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817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80</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33</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9 815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szCs w:val="16"/>
                <w:lang w:eastAsia="en-AU"/>
              </w:rPr>
            </w:pPr>
            <w:r w:rsidRPr="00090F94">
              <w:rPr>
                <w:rFonts w:eastAsiaTheme="minorEastAsia" w:cstheme="majorHAnsi"/>
                <w:b/>
                <w:bCs/>
                <w:color w:val="000000"/>
                <w:szCs w:val="16"/>
                <w:lang w:eastAsia="en-AU"/>
              </w:rPr>
              <w:t>4 247</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1 702</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209 008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4 247</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1 702</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209 008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1 573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131</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3 934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szCs w:val="16"/>
                <w:lang w:eastAsia="en-AU"/>
              </w:rPr>
            </w:pPr>
            <w:r w:rsidRPr="00090F94">
              <w:rPr>
                <w:rFonts w:eastAsiaTheme="minorEastAsia" w:cstheme="majorHAnsi"/>
                <w:b/>
                <w:bCs/>
                <w:color w:val="000000"/>
                <w:szCs w:val="16"/>
                <w:lang w:eastAsia="en-AU"/>
              </w:rPr>
              <w:t>4 378</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1 706</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090F94">
              <w:rPr>
                <w:rFonts w:eastAsiaTheme="minorEastAsia" w:cstheme="majorHAnsi"/>
                <w:b/>
                <w:bCs/>
                <w:color w:val="000000"/>
                <w:szCs w:val="16"/>
                <w:lang w:eastAsia="en-AU"/>
              </w:rPr>
              <w:t>214 515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4 378</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1 706</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214 515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1 845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16</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23</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4 931</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jc w:val="right"/>
              <w:rPr>
                <w:rFonts w:eastAsiaTheme="minorEastAsia" w:cstheme="majorHAnsi"/>
                <w:bCs/>
                <w:color w:val="000000"/>
                <w:szCs w:val="16"/>
                <w:lang w:eastAsia="en-AU"/>
              </w:rPr>
            </w:pPr>
            <w:r w:rsidRPr="00090F94">
              <w:rPr>
                <w:rFonts w:eastAsiaTheme="minorEastAsia" w:cstheme="majorHAnsi"/>
                <w:bCs/>
                <w:color w:val="000000"/>
                <w:szCs w:val="16"/>
                <w:lang w:eastAsia="en-AU"/>
              </w:rPr>
              <w:t>4 394</w:t>
            </w:r>
          </w:p>
        </w:tc>
        <w:tc>
          <w:tcPr>
            <w:tcW w:w="2591"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090F94">
              <w:rPr>
                <w:rFonts w:eastAsiaTheme="minorEastAsia" w:cstheme="majorHAnsi"/>
                <w:bCs/>
                <w:color w:val="000000"/>
                <w:szCs w:val="16"/>
                <w:lang w:eastAsia="en-AU"/>
              </w:rPr>
              <w:t>1 729</w:t>
            </w:r>
          </w:p>
        </w:tc>
        <w:tc>
          <w:tcPr>
            <w:tcW w:w="2591"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090F94">
              <w:rPr>
                <w:rFonts w:eastAsiaTheme="minorEastAsia" w:cstheme="majorHAnsi"/>
                <w:bCs/>
                <w:color w:val="000000"/>
                <w:szCs w:val="16"/>
                <w:lang w:eastAsia="en-AU"/>
              </w:rPr>
              <w:t>221 290</w:t>
            </w:r>
          </w:p>
        </w:tc>
      </w:tr>
    </w:tbl>
    <w:p w:rsidR="004B6846" w:rsidRDefault="004B6846" w:rsidP="00CC0EB7">
      <w:r>
        <w:br/>
      </w:r>
    </w:p>
    <w:p w:rsidR="004B6846" w:rsidRDefault="004B6846" w:rsidP="00CC0EB7">
      <w:pPr>
        <w:pStyle w:val="Heading10"/>
      </w:pPr>
      <w:r>
        <w:br w:type="page"/>
      </w:r>
    </w:p>
    <w:p w:rsidR="004B6846" w:rsidRPr="00631823" w:rsidRDefault="004B6846" w:rsidP="00CC0EB7">
      <w:pPr>
        <w:pStyle w:val="TableHeading"/>
      </w:pPr>
      <w:r>
        <w:lastRenderedPageBreak/>
        <w:t>Table 5.10</w:t>
      </w:r>
      <w:r w:rsidRPr="00631823">
        <w:tab/>
        <w:t>Net acquisition of non-financial asset</w:t>
      </w:r>
      <w:r>
        <w:t>s – non-financial public sector</w:t>
      </w:r>
    </w:p>
    <w:p w:rsidR="004B6846" w:rsidRPr="00090F94" w:rsidRDefault="004B6846" w:rsidP="00CC0EB7">
      <w:pPr>
        <w:pStyle w:val="TableUnits"/>
        <w:rPr>
          <w:rStyle w:val="Heading2Char0"/>
          <w:rFonts w:eastAsiaTheme="minorHAnsi" w:cstheme="minorBidi"/>
          <w:bCs/>
          <w:spacing w:val="0"/>
          <w:sz w:val="20"/>
          <w:szCs w:val="20"/>
          <w:lang w:val="en-US"/>
        </w:rPr>
      </w:pPr>
      <w:r w:rsidRPr="00BC01CF">
        <w:rPr>
          <w:rStyle w:val="Heading2Char0"/>
          <w:rFonts w:eastAsiaTheme="minorHAnsi" w:cstheme="minorBidi"/>
          <w:b/>
          <w:spacing w:val="0"/>
          <w:sz w:val="20"/>
          <w:szCs w:val="20"/>
        </w:rPr>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CC0EB7" w:rsidRPr="00090F9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090F94" w:rsidRDefault="00CC0EB7" w:rsidP="00CC0EB7">
            <w:pPr>
              <w:autoSpaceDE w:val="0"/>
              <w:autoSpaceDN w:val="0"/>
              <w:adjustRightInd w:val="0"/>
              <w:rPr>
                <w:rFonts w:eastAsiaTheme="minorEastAsia" w:cstheme="majorHAnsi"/>
                <w:iCs/>
                <w:color w:val="FFFFFF"/>
                <w:lang w:eastAsia="en-AU"/>
              </w:rPr>
            </w:pPr>
            <w:r w:rsidRPr="00090F94">
              <w:rPr>
                <w:rFonts w:eastAsiaTheme="minorEastAsia" w:cstheme="majorHAnsi"/>
                <w:iCs/>
                <w:color w:val="FFFFFF"/>
                <w:lang w:eastAsia="en-AU"/>
              </w:rPr>
              <w:t xml:space="preserve">  </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budget</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revised</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2019-20</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2020-21</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2021-22</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 xml:space="preserve">Purchases of non-financial assets </w:t>
            </w:r>
            <w:r w:rsidR="00065FD3">
              <w:rPr>
                <w:rFonts w:eastAsiaTheme="minorEastAsia" w:cstheme="majorHAnsi"/>
                <w:color w:val="000000"/>
                <w:szCs w:val="18"/>
                <w:lang w:eastAsia="en-AU"/>
              </w:rPr>
              <w:br/>
            </w:r>
            <w:r w:rsidRPr="00090F94">
              <w:rPr>
                <w:rFonts w:eastAsiaTheme="minorEastAsia" w:cstheme="majorHAnsi"/>
                <w:color w:val="000000"/>
                <w:szCs w:val="18"/>
                <w:lang w:eastAsia="en-AU"/>
              </w:rPr>
              <w:t>(including change in inventories)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13 208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12 546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11 479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9 432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8 448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Less: Sales of non-financial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(692)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(617)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(725)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(595)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(747)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Less: Depreciation and amortisation</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(5 208)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(5 271)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(5 482)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(5 941)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(6 255)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 xml:space="preserve">Plus: Other movements in non-financial assets </w:t>
            </w:r>
            <w:r w:rsidRPr="00090F94">
              <w:rPr>
                <w:rFonts w:eastAsiaTheme="minorEastAsia" w:cstheme="majorHAnsi"/>
                <w:color w:val="000000"/>
                <w:szCs w:val="18"/>
                <w:vertAlign w:val="superscript"/>
                <w:lang w:eastAsia="en-AU"/>
              </w:rPr>
              <w:t>(a)</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733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970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2 427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2 335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1 515</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rPr>
                <w:rFonts w:eastAsiaTheme="minorEastAsia" w:cstheme="majorHAnsi"/>
                <w:bCs/>
                <w:color w:val="000000"/>
                <w:szCs w:val="16"/>
                <w:lang w:eastAsia="en-AU"/>
              </w:rPr>
            </w:pPr>
            <w:r w:rsidRPr="00090F94">
              <w:rPr>
                <w:rFonts w:eastAsiaTheme="minorEastAsia" w:cstheme="majorHAnsi"/>
                <w:bCs/>
                <w:color w:val="000000"/>
                <w:szCs w:val="16"/>
                <w:lang w:eastAsia="en-AU"/>
              </w:rPr>
              <w:t>Total net acquisition of non-financial assets from transactions</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090F94">
              <w:rPr>
                <w:rFonts w:eastAsiaTheme="minorEastAsia" w:cstheme="majorHAnsi"/>
                <w:bCs/>
                <w:color w:val="000000"/>
                <w:szCs w:val="18"/>
                <w:lang w:eastAsia="en-AU"/>
              </w:rPr>
              <w:t>8 041</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090F94">
              <w:rPr>
                <w:rFonts w:eastAsiaTheme="minorEastAsia" w:cstheme="majorHAnsi"/>
                <w:bCs/>
                <w:color w:val="000000"/>
                <w:szCs w:val="18"/>
                <w:lang w:eastAsia="en-AU"/>
              </w:rPr>
              <w:t>7 628</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090F94">
              <w:rPr>
                <w:rFonts w:eastAsiaTheme="minorEastAsia" w:cstheme="majorHAnsi"/>
                <w:bCs/>
                <w:color w:val="000000"/>
                <w:szCs w:val="18"/>
                <w:lang w:eastAsia="en-AU"/>
              </w:rPr>
              <w:t>7 700</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090F94">
              <w:rPr>
                <w:rFonts w:eastAsiaTheme="minorEastAsia" w:cstheme="majorHAnsi"/>
                <w:bCs/>
                <w:color w:val="000000"/>
                <w:szCs w:val="18"/>
                <w:lang w:eastAsia="en-AU"/>
              </w:rPr>
              <w:t>5 232</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090F94">
              <w:rPr>
                <w:rFonts w:eastAsiaTheme="minorEastAsia" w:cstheme="majorHAnsi"/>
                <w:bCs/>
                <w:color w:val="000000"/>
                <w:szCs w:val="18"/>
                <w:lang w:eastAsia="en-AU"/>
              </w:rPr>
              <w:t>2 961</w:t>
            </w:r>
          </w:p>
        </w:tc>
      </w:tr>
    </w:tbl>
    <w:p w:rsidR="004B6846" w:rsidRDefault="004B6846" w:rsidP="00CC0EB7">
      <w:pPr>
        <w:pStyle w:val="Source"/>
      </w:pPr>
      <w:r w:rsidRPr="00D87D22">
        <w:t>Source: Dep</w:t>
      </w:r>
      <w:r>
        <w:t>artment of Treasury and Finance</w:t>
      </w:r>
      <w:r w:rsidRPr="00352C54">
        <w:t xml:space="preserve"> </w:t>
      </w:r>
    </w:p>
    <w:p w:rsidR="004B6846" w:rsidRDefault="004B6846" w:rsidP="00CC0EB7">
      <w:pPr>
        <w:pStyle w:val="Note"/>
      </w:pPr>
      <w:r>
        <w:t>Note:</w:t>
      </w:r>
    </w:p>
    <w:p w:rsidR="004B6846" w:rsidRPr="00995E6E" w:rsidRDefault="004B6846" w:rsidP="00CC0EB7">
      <w:pPr>
        <w:pStyle w:val="Note"/>
      </w:pPr>
      <w:r w:rsidRPr="00056B9E">
        <w:t>(a)</w:t>
      </w:r>
      <w:r>
        <w:tab/>
      </w:r>
      <w:r w:rsidRPr="00ED79CB">
        <w:rPr>
          <w:rFonts w:cs="Times New Roman"/>
          <w:lang w:eastAsia="en-AU"/>
        </w:rPr>
        <w:t xml:space="preserve">The other movements in non-financial assets </w:t>
      </w:r>
      <w:r>
        <w:rPr>
          <w:rFonts w:cs="Times New Roman"/>
          <w:lang w:eastAsia="en-AU"/>
        </w:rPr>
        <w:t xml:space="preserve">across the forward estimates </w:t>
      </w:r>
      <w:r w:rsidRPr="00ED79CB">
        <w:rPr>
          <w:rFonts w:cs="Times New Roman"/>
          <w:lang w:eastAsia="en-AU"/>
        </w:rPr>
        <w:t>predominantly relates</w:t>
      </w:r>
      <w:r>
        <w:rPr>
          <w:rFonts w:cs="Times New Roman"/>
          <w:lang w:eastAsia="en-AU"/>
        </w:rPr>
        <w:t xml:space="preserve"> to finance leases for </w:t>
      </w:r>
      <w:r w:rsidRPr="00C203E5">
        <w:t>the</w:t>
      </w:r>
      <w:r>
        <w:t xml:space="preserve"> High Capacity Metro Trains</w:t>
      </w:r>
      <w:r w:rsidRPr="00C203E5">
        <w:t xml:space="preserve"> Project, the </w:t>
      </w:r>
      <w:r>
        <w:t>Western Roads Upgrade,</w:t>
      </w:r>
      <w:r w:rsidRPr="00C203E5">
        <w:t xml:space="preserve"> </w:t>
      </w:r>
      <w:r>
        <w:t>the</w:t>
      </w:r>
      <w:r w:rsidRPr="00C203E5">
        <w:t xml:space="preserve"> </w:t>
      </w:r>
      <w:r>
        <w:t>Casey Hospital E</w:t>
      </w:r>
      <w:r w:rsidRPr="00C203E5">
        <w:t>xpansion</w:t>
      </w:r>
      <w:r>
        <w:t>, the Northern Roads Upgrade and the</w:t>
      </w:r>
      <w:r w:rsidRPr="00C203E5">
        <w:t xml:space="preserve"> South Eastern Roads Upgrade.</w:t>
      </w:r>
    </w:p>
    <w:p w:rsidR="004B6846" w:rsidRDefault="004B6846" w:rsidP="00CC0EB7">
      <w:pPr>
        <w:pStyle w:val="Heading10"/>
      </w:pPr>
      <w:r>
        <w:br w:type="page"/>
      </w:r>
    </w:p>
    <w:p w:rsidR="004B6846" w:rsidRPr="00090F94" w:rsidRDefault="004B6846" w:rsidP="00CC0EB7">
      <w:pPr>
        <w:pStyle w:val="TableHeading"/>
        <w:rPr>
          <w:bCs/>
          <w:lang w:val="en-US"/>
        </w:rPr>
      </w:pPr>
      <w:r>
        <w:lastRenderedPageBreak/>
        <w:t>Table 5.11</w:t>
      </w:r>
      <w:r>
        <w:tab/>
        <w:t xml:space="preserve">Public financial corporations sector comprehensive operating </w:t>
      </w:r>
      <w:r>
        <w:br/>
        <w:t>statement for the financial year ended 30 June</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170"/>
        <w:gridCol w:w="680"/>
        <w:gridCol w:w="850"/>
        <w:gridCol w:w="850"/>
        <w:gridCol w:w="850"/>
        <w:gridCol w:w="850"/>
      </w:tblGrid>
      <w:tr w:rsidR="00CC0EB7" w:rsidRPr="00090F9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090F94" w:rsidRDefault="00CC0EB7" w:rsidP="00CC0EB7">
            <w:pPr>
              <w:autoSpaceDE w:val="0"/>
              <w:autoSpaceDN w:val="0"/>
              <w:adjustRightInd w:val="0"/>
              <w:rPr>
                <w:rFonts w:eastAsiaTheme="minorEastAsia" w:cstheme="majorHAnsi"/>
                <w:iCs/>
                <w:color w:val="FFFFFF"/>
                <w:sz w:val="16"/>
                <w:lang w:eastAsia="en-AU"/>
              </w:rPr>
            </w:pPr>
            <w:r w:rsidRPr="00090F94">
              <w:rPr>
                <w:rFonts w:eastAsiaTheme="minorEastAsia" w:cstheme="majorHAnsi"/>
                <w:iCs/>
                <w:color w:val="FFFFFF"/>
                <w:sz w:val="16"/>
                <w:lang w:eastAsia="en-AU"/>
              </w:rPr>
              <w:t xml:space="preserve">  </w:t>
            </w:r>
          </w:p>
        </w:tc>
        <w:tc>
          <w:tcPr>
            <w:tcW w:w="850" w:type="dxa"/>
            <w:gridSpan w:val="2"/>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2018-19</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budget</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2018-19</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revised</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2019-20</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2020-21</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2021-22</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estimate</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Revenue from transactions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Interest revenue</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1 922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1 854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1 960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2 081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2 176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Dividend revenue</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1 405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1 607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1 505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1 819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1 862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Sales of goods and services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4 776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4 807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5 022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5 262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5 514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Grant revenue</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revenue</w:t>
            </w:r>
          </w:p>
        </w:tc>
        <w:tc>
          <w:tcPr>
            <w:tcW w:w="850" w:type="dxa"/>
            <w:gridSpan w:val="2"/>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25</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20</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26</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Total revenue from transactions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8 128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8 288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8 509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9 188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9 580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Expenses from transactions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Employee expenses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375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384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381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387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395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superannuation</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Depreciation</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84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116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Interest expense</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1 768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1 718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1 813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1 892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1 965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Grant expense</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731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1 001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799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633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686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operating expenses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6 924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7 122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7 585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7 892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8 331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property expenses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111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Total expenses from transactions</w:t>
            </w:r>
          </w:p>
        </w:tc>
        <w:tc>
          <w:tcPr>
            <w:tcW w:w="850" w:type="dxa"/>
            <w:gridSpan w:val="2"/>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9 900</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10 409</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10 687</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10 971</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11 545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 xml:space="preserve">Net result from transactions – </w:t>
            </w:r>
            <w:r w:rsidR="00A767A3">
              <w:rPr>
                <w:rFonts w:eastAsiaTheme="minorEastAsia" w:cstheme="majorHAnsi"/>
                <w:b/>
                <w:bCs/>
                <w:color w:val="000000"/>
                <w:sz w:val="16"/>
                <w:szCs w:val="18"/>
                <w:lang w:eastAsia="en-AU"/>
              </w:rPr>
              <w:br/>
            </w:r>
            <w:r w:rsidRPr="00090F94">
              <w:rPr>
                <w:rFonts w:eastAsiaTheme="minorEastAsia" w:cstheme="majorHAnsi"/>
                <w:b/>
                <w:bCs/>
                <w:color w:val="000000"/>
                <w:sz w:val="16"/>
                <w:szCs w:val="18"/>
                <w:lang w:eastAsia="en-AU"/>
              </w:rPr>
              <w:t xml:space="preserve">net operating balance </w:t>
            </w:r>
            <w:r w:rsidRPr="00090F94">
              <w:rPr>
                <w:rFonts w:eastAsiaTheme="minorEastAsia" w:cstheme="majorHAnsi"/>
                <w:b/>
                <w:bCs/>
                <w:color w:val="000000"/>
                <w:sz w:val="16"/>
                <w:szCs w:val="18"/>
                <w:vertAlign w:val="superscript"/>
                <w:lang w:eastAsia="en-AU"/>
              </w:rPr>
              <w:t>(a)</w:t>
            </w:r>
          </w:p>
        </w:tc>
        <w:tc>
          <w:tcPr>
            <w:tcW w:w="850" w:type="dxa"/>
            <w:gridSpan w:val="2"/>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(1 772)</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(2 121)</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(2 179)</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(1 783)</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(1 966)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Other economic flows included in net result</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gain/(loss) on disposal of non-financial assets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Net gain/(loss) on financial assets or liabilities at </w:t>
            </w:r>
            <w:r w:rsidR="00A767A3">
              <w:rPr>
                <w:rFonts w:eastAsiaTheme="minorEastAsia" w:cstheme="majorHAnsi"/>
                <w:color w:val="000000"/>
                <w:sz w:val="16"/>
                <w:szCs w:val="18"/>
                <w:lang w:eastAsia="en-AU"/>
              </w:rPr>
              <w:br/>
            </w:r>
            <w:r w:rsidRPr="00090F94">
              <w:rPr>
                <w:rFonts w:eastAsiaTheme="minorEastAsia" w:cstheme="majorHAnsi"/>
                <w:color w:val="000000"/>
                <w:sz w:val="16"/>
                <w:szCs w:val="18"/>
                <w:lang w:eastAsia="en-AU"/>
              </w:rPr>
              <w:t>fair value</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539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960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576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658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632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gains/(losses) from other economic flows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905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1 089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1 063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959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984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Total other economic flows included in net result</w:t>
            </w:r>
          </w:p>
        </w:tc>
        <w:tc>
          <w:tcPr>
            <w:tcW w:w="850" w:type="dxa"/>
            <w:gridSpan w:val="2"/>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1 444</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2 049</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1 639</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1 618</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1 615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result</w:t>
            </w:r>
          </w:p>
        </w:tc>
        <w:tc>
          <w:tcPr>
            <w:tcW w:w="850" w:type="dxa"/>
            <w:gridSpan w:val="2"/>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(328)</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(72)</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(539)</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(165)</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(350)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85" w:type="dxa"/>
            <w:gridSpan w:val="2"/>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Other economic flows – other comprehensive income</w:t>
            </w:r>
          </w:p>
        </w:tc>
        <w:tc>
          <w:tcPr>
            <w:tcW w:w="68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Items that will not be reclassified to net result</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movements in equity</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 xml:space="preserve">Total other economic flows – </w:t>
            </w:r>
            <w:r w:rsidR="00A767A3">
              <w:rPr>
                <w:rFonts w:eastAsiaTheme="minorEastAsia" w:cstheme="majorHAnsi"/>
                <w:b/>
                <w:bCs/>
                <w:color w:val="000000"/>
                <w:sz w:val="16"/>
                <w:szCs w:val="18"/>
                <w:lang w:eastAsia="en-AU"/>
              </w:rPr>
              <w:br/>
            </w:r>
            <w:r w:rsidRPr="00090F94">
              <w:rPr>
                <w:rFonts w:eastAsiaTheme="minorEastAsia" w:cstheme="majorHAnsi"/>
                <w:b/>
                <w:bCs/>
                <w:color w:val="000000"/>
                <w:sz w:val="16"/>
                <w:szCs w:val="18"/>
                <w:lang w:eastAsia="en-AU"/>
              </w:rPr>
              <w:t>other comprehensive income</w:t>
            </w:r>
          </w:p>
        </w:tc>
        <w:tc>
          <w:tcPr>
            <w:tcW w:w="850" w:type="dxa"/>
            <w:gridSpan w:val="2"/>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Comprehensive result – total change in net worth</w:t>
            </w:r>
          </w:p>
        </w:tc>
        <w:tc>
          <w:tcPr>
            <w:tcW w:w="850" w:type="dxa"/>
            <w:gridSpan w:val="2"/>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(327)</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(72)</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(540)</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(166)</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(351)</w:t>
            </w:r>
          </w:p>
        </w:tc>
      </w:tr>
      <w:tr w:rsidR="004B6846" w:rsidRPr="00090F94" w:rsidTr="00CC0EB7">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KEY FISCAL AGGREGATES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operating balance</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(1 772)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(2 121)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(2 179)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(1 783)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(1 966)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Less: Net acquisition of non-financial assets from transactions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75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89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120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122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rPr>
                <w:rFonts w:eastAsiaTheme="minorEastAsia" w:cstheme="majorHAnsi"/>
                <w:bCs/>
                <w:color w:val="000000"/>
                <w:sz w:val="16"/>
                <w:szCs w:val="18"/>
                <w:lang w:eastAsia="en-AU"/>
              </w:rPr>
            </w:pPr>
            <w:r w:rsidRPr="00090F94">
              <w:rPr>
                <w:rFonts w:eastAsiaTheme="minorEastAsia" w:cstheme="majorHAnsi"/>
                <w:bCs/>
                <w:color w:val="000000"/>
                <w:sz w:val="16"/>
                <w:szCs w:val="18"/>
                <w:lang w:eastAsia="en-AU"/>
              </w:rPr>
              <w:t>Net lending/(borrowing)</w:t>
            </w:r>
          </w:p>
        </w:tc>
        <w:tc>
          <w:tcPr>
            <w:tcW w:w="850" w:type="dxa"/>
            <w:gridSpan w:val="2"/>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(1 848)</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(2 210)</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(2 299)</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(1 905)</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(1 967)</w:t>
            </w:r>
          </w:p>
        </w:tc>
      </w:tr>
    </w:tbl>
    <w:p w:rsidR="004B6846" w:rsidRDefault="004B6846" w:rsidP="00CC0EB7">
      <w:pPr>
        <w:pStyle w:val="Source"/>
      </w:pPr>
      <w:r w:rsidRPr="00D87D22">
        <w:t>Source: Dep</w:t>
      </w:r>
      <w:r>
        <w:t>artment of Treasury and Finance</w:t>
      </w:r>
      <w:r w:rsidRPr="00352C54">
        <w:t xml:space="preserve"> </w:t>
      </w:r>
    </w:p>
    <w:p w:rsidR="004B6846" w:rsidRPr="004E629E" w:rsidRDefault="004B6846" w:rsidP="00CC0EB7">
      <w:pPr>
        <w:pStyle w:val="Note"/>
      </w:pPr>
      <w:r>
        <w:t>Note</w:t>
      </w:r>
      <w:r w:rsidRPr="004E629E">
        <w:t>:</w:t>
      </w:r>
    </w:p>
    <w:p w:rsidR="004B6846" w:rsidRPr="004E629E" w:rsidRDefault="004B6846" w:rsidP="00CC0EB7">
      <w:pPr>
        <w:pStyle w:val="Note"/>
      </w:pPr>
      <w:r w:rsidRPr="004E629E">
        <w:t>(a)</w:t>
      </w:r>
      <w:r w:rsidRPr="004E629E">
        <w:tab/>
        <w:t xml:space="preserve">Capital gains on the investment portfolios of the State’s insurance agencies (WorkSafe Victoria, Transport Accident Commission and Victorian Managed Insurance Authority) are classified as other economic flows. As these capital gains are available to fund claims expenses, the net result </w:t>
      </w:r>
      <w:r>
        <w:t xml:space="preserve">more meaningfully reflects </w:t>
      </w:r>
      <w:r w:rsidRPr="004E629E">
        <w:t>the underlying operating and performance of the public financial corporations sector than the net result from transactions.</w:t>
      </w:r>
    </w:p>
    <w:p w:rsidR="004B6846" w:rsidRPr="00981783" w:rsidRDefault="004B6846" w:rsidP="00CC0EB7">
      <w:pPr>
        <w:keepLines w:val="0"/>
        <w:rPr>
          <w:rFonts w:asciiTheme="majorHAnsi" w:hAnsiTheme="majorHAnsi"/>
          <w:i/>
          <w:spacing w:val="-2"/>
          <w:sz w:val="14"/>
        </w:rPr>
      </w:pPr>
      <w:r>
        <w:br w:type="page"/>
      </w:r>
    </w:p>
    <w:p w:rsidR="004B6846" w:rsidRPr="00090F94" w:rsidRDefault="004B6846" w:rsidP="00CC0EB7">
      <w:pPr>
        <w:pStyle w:val="TableHeading"/>
        <w:rPr>
          <w:bCs/>
          <w:lang w:val="en-US"/>
        </w:rPr>
      </w:pPr>
      <w:r>
        <w:lastRenderedPageBreak/>
        <w:t>Table 5.12</w:t>
      </w:r>
      <w:r>
        <w:tab/>
        <w:t>Public financial corporations sector balance sheet as at 30 June</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170"/>
        <w:gridCol w:w="680"/>
        <w:gridCol w:w="850"/>
        <w:gridCol w:w="850"/>
        <w:gridCol w:w="850"/>
        <w:gridCol w:w="850"/>
      </w:tblGrid>
      <w:tr w:rsidR="00CC0EB7" w:rsidRPr="00090F9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090F94" w:rsidRDefault="00CC0EB7" w:rsidP="00CC0EB7">
            <w:pPr>
              <w:autoSpaceDE w:val="0"/>
              <w:autoSpaceDN w:val="0"/>
              <w:adjustRightInd w:val="0"/>
              <w:rPr>
                <w:rFonts w:eastAsiaTheme="minorEastAsia" w:cstheme="majorHAnsi"/>
                <w:iCs/>
                <w:color w:val="FFFFFF"/>
                <w:lang w:eastAsia="en-AU"/>
              </w:rPr>
            </w:pPr>
            <w:r w:rsidRPr="00090F94">
              <w:rPr>
                <w:rFonts w:eastAsiaTheme="minorEastAsia" w:cstheme="majorHAnsi"/>
                <w:iCs/>
                <w:color w:val="FFFFFF"/>
                <w:lang w:eastAsia="en-AU"/>
              </w:rPr>
              <w:t xml:space="preserve">  </w:t>
            </w:r>
          </w:p>
        </w:tc>
        <w:tc>
          <w:tcPr>
            <w:tcW w:w="850" w:type="dxa"/>
            <w:gridSpan w:val="2"/>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 xml:space="preserve">budget </w:t>
            </w:r>
            <w:r w:rsidRPr="00090F94">
              <w:rPr>
                <w:rFonts w:eastAsiaTheme="minorEastAsia" w:cstheme="majorHAnsi"/>
                <w:iCs/>
                <w:color w:val="FFFFFF"/>
                <w:szCs w:val="18"/>
                <w:vertAlign w:val="superscript"/>
                <w:lang w:eastAsia="en-AU"/>
              </w:rPr>
              <w:t>(a)</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revised</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2020</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2021</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2022</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Assets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Financial assets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Cash and deposits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5 645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3 052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3 148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3 238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3 246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Advances paid</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Receivables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1 493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1 367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1 449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1 363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1 425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Investments, loans and placements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38 207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37 946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37 273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37 568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39 078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85" w:type="dxa"/>
            <w:gridSpan w:val="2"/>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 xml:space="preserve">Loans receivable from non-financial public sector </w:t>
            </w:r>
            <w:r w:rsidRPr="00090F94">
              <w:rPr>
                <w:rFonts w:eastAsiaTheme="minorEastAsia" w:cstheme="majorHAnsi"/>
                <w:color w:val="000000"/>
                <w:szCs w:val="18"/>
                <w:vertAlign w:val="superscript"/>
                <w:lang w:eastAsia="en-AU"/>
              </w:rPr>
              <w:t>(b)</w:t>
            </w:r>
          </w:p>
        </w:tc>
        <w:tc>
          <w:tcPr>
            <w:tcW w:w="68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39 917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37 278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42 992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45 928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47 890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Investments in other sector entities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financial assets</w:t>
            </w:r>
          </w:p>
        </w:tc>
        <w:tc>
          <w:tcPr>
            <w:tcW w:w="850" w:type="dxa"/>
            <w:gridSpan w:val="2"/>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85 281</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79 655</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84 875</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88 110</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91 651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Non-financial assets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Land, buildings, infrastructure, plant and equipment</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195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114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125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138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146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Other non-financial assets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956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1 047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1 325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1 454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1 453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non-financial assets</w:t>
            </w:r>
          </w:p>
        </w:tc>
        <w:tc>
          <w:tcPr>
            <w:tcW w:w="850" w:type="dxa"/>
            <w:gridSpan w:val="2"/>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1 151</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1 161</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1 450</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1 592</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1 599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assets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86 432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80 816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86 324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89 701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93 250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Liabilities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Deposits held and advances received</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7 003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4 642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4 324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4 182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4 154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Payables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2 035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1 824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1 816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1 806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1 800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 xml:space="preserve">Borrowings </w:t>
            </w:r>
            <w:r w:rsidRPr="00090F94">
              <w:rPr>
                <w:rFonts w:eastAsiaTheme="minorEastAsia" w:cstheme="majorHAnsi"/>
                <w:color w:val="000000"/>
                <w:szCs w:val="18"/>
                <w:vertAlign w:val="superscript"/>
                <w:lang w:eastAsia="en-AU"/>
              </w:rPr>
              <w:t>(c)</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44 816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41 582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47 296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50 232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52 195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Employee benefits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112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100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103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106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Other provisions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32 549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32 503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34 374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36 330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38 394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liabilities</w:t>
            </w:r>
          </w:p>
        </w:tc>
        <w:tc>
          <w:tcPr>
            <w:tcW w:w="850" w:type="dxa"/>
            <w:gridSpan w:val="2"/>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86 515</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80 647</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87 910</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92 653</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96 649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 xml:space="preserve">Net assets </w:t>
            </w:r>
            <w:r w:rsidRPr="00090F94">
              <w:rPr>
                <w:rFonts w:eastAsiaTheme="minorEastAsia" w:cstheme="majorHAnsi"/>
                <w:b/>
                <w:bCs/>
                <w:color w:val="000000"/>
                <w:szCs w:val="18"/>
                <w:vertAlign w:val="superscript"/>
                <w:lang w:eastAsia="en-AU"/>
              </w:rPr>
              <w:t>(d)</w:t>
            </w:r>
          </w:p>
        </w:tc>
        <w:tc>
          <w:tcPr>
            <w:tcW w:w="850" w:type="dxa"/>
            <w:gridSpan w:val="2"/>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(83)</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169</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(1 586)</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(2 952)</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(3 399)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Accumulated surplus/(deficit)</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(150)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100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(1 625)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(2 991)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(3 438)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Reserves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 xml:space="preserve">Net worth </w:t>
            </w:r>
            <w:r w:rsidRPr="00090F94">
              <w:rPr>
                <w:rFonts w:eastAsiaTheme="minorEastAsia" w:cstheme="majorHAnsi"/>
                <w:b/>
                <w:bCs/>
                <w:color w:val="000000"/>
                <w:szCs w:val="18"/>
                <w:vertAlign w:val="superscript"/>
                <w:lang w:eastAsia="en-AU"/>
              </w:rPr>
              <w:t>(d)</w:t>
            </w:r>
          </w:p>
        </w:tc>
        <w:tc>
          <w:tcPr>
            <w:tcW w:w="850" w:type="dxa"/>
            <w:gridSpan w:val="2"/>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(83)</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169</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(1 586)</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(2 952)</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(3 399)</w:t>
            </w:r>
          </w:p>
        </w:tc>
      </w:tr>
      <w:tr w:rsidR="004B6846" w:rsidRPr="00090F94" w:rsidTr="00CC0EB7">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FISCAL AGGREGATES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Net financial worth</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(1 234)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(992)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(3 035)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(4 544)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(4 998)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Net financial liabilities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1 234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992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3 035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4 544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4 998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Net debt</w:t>
            </w:r>
          </w:p>
        </w:tc>
        <w:tc>
          <w:tcPr>
            <w:tcW w:w="850" w:type="dxa"/>
            <w:gridSpan w:val="2"/>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(31 969)</w:t>
            </w:r>
          </w:p>
        </w:tc>
        <w:tc>
          <w:tcPr>
            <w:tcW w:w="850"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(32 065)</w:t>
            </w:r>
          </w:p>
        </w:tc>
        <w:tc>
          <w:tcPr>
            <w:tcW w:w="850"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(31 806)</w:t>
            </w:r>
          </w:p>
        </w:tc>
        <w:tc>
          <w:tcPr>
            <w:tcW w:w="850"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(32 332)</w:t>
            </w:r>
          </w:p>
        </w:tc>
        <w:tc>
          <w:tcPr>
            <w:tcW w:w="850"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(33 876)</w:t>
            </w:r>
          </w:p>
        </w:tc>
      </w:tr>
    </w:tbl>
    <w:p w:rsidR="004B6846" w:rsidRPr="00203144" w:rsidRDefault="004B6846" w:rsidP="00CC0EB7">
      <w:pPr>
        <w:pStyle w:val="Source"/>
      </w:pPr>
      <w:r w:rsidRPr="00203144">
        <w:t>Source: Department of Treasury and Finance</w:t>
      </w:r>
    </w:p>
    <w:p w:rsidR="004B6846" w:rsidRPr="006E4D7E" w:rsidRDefault="004B6846" w:rsidP="00CC0EB7">
      <w:pPr>
        <w:pStyle w:val="Note"/>
      </w:pPr>
      <w:r w:rsidRPr="006E4D7E">
        <w:t>Notes:</w:t>
      </w:r>
    </w:p>
    <w:p w:rsidR="004B6846" w:rsidRPr="006E4D7E" w:rsidRDefault="004B6846" w:rsidP="00CC0EB7">
      <w:pPr>
        <w:pStyle w:val="Note"/>
      </w:pPr>
      <w:r w:rsidRPr="006E4D7E">
        <w:t>(a)</w:t>
      </w:r>
      <w:r w:rsidRPr="006E4D7E">
        <w:tab/>
        <w:t>Balances represent actual opening balances at 1 July 2018 plus 2018-19 budgeted movements.</w:t>
      </w:r>
    </w:p>
    <w:p w:rsidR="004B6846" w:rsidRPr="006E4D7E" w:rsidRDefault="004B6846" w:rsidP="00CC0EB7">
      <w:pPr>
        <w:pStyle w:val="Note"/>
      </w:pPr>
      <w:r w:rsidRPr="006E4D7E">
        <w:t>(b)</w:t>
      </w:r>
      <w:r w:rsidRPr="006E4D7E">
        <w:tab/>
        <w:t>Loans receivable from the non-financial public sector are at amortised cost.</w:t>
      </w:r>
    </w:p>
    <w:p w:rsidR="004B6846" w:rsidRPr="006E4D7E" w:rsidRDefault="004B6846" w:rsidP="00CC0EB7">
      <w:pPr>
        <w:pStyle w:val="Note"/>
      </w:pPr>
      <w:r w:rsidRPr="006E4D7E">
        <w:t>(c)</w:t>
      </w:r>
      <w:r w:rsidRPr="006E4D7E">
        <w:tab/>
        <w:t>Borrowings with the private sector are at market value.</w:t>
      </w:r>
    </w:p>
    <w:p w:rsidR="004B6846" w:rsidRPr="006E4D7E" w:rsidRDefault="004B6846" w:rsidP="00CC0EB7">
      <w:pPr>
        <w:pStyle w:val="Note"/>
      </w:pPr>
      <w:r w:rsidRPr="006E4D7E">
        <w:t>(d)</w:t>
      </w:r>
      <w:r w:rsidRPr="006E4D7E">
        <w:tab/>
        <w:t>Treasury Corporation of Victoria’s external loan liabilities are at mark-to-market value while the corresponding assets, that is lending to the non-financial public sector, is at historical value. This mismatch results in the negative net asset position of the sector.</w:t>
      </w:r>
    </w:p>
    <w:p w:rsidR="004B6846" w:rsidRPr="00AB0006" w:rsidRDefault="004B6846" w:rsidP="00CC0EB7">
      <w:pPr>
        <w:keepLines w:val="0"/>
        <w:rPr>
          <w:rFonts w:asciiTheme="majorHAnsi" w:hAnsiTheme="majorHAnsi" w:cs="Times New Roman"/>
          <w:i/>
          <w:sz w:val="15"/>
          <w:szCs w:val="15"/>
          <w:lang w:eastAsia="en-AU"/>
        </w:rPr>
      </w:pPr>
      <w:r>
        <w:rPr>
          <w:rFonts w:asciiTheme="majorHAnsi" w:hAnsiTheme="majorHAnsi" w:cs="Times New Roman"/>
          <w:i/>
          <w:sz w:val="15"/>
          <w:szCs w:val="15"/>
          <w:lang w:eastAsia="en-AU"/>
        </w:rPr>
        <w:br w:type="page"/>
      </w:r>
    </w:p>
    <w:p w:rsidR="004B6846" w:rsidRPr="00090F94" w:rsidRDefault="004B6846" w:rsidP="00CC0EB7">
      <w:pPr>
        <w:pStyle w:val="TableHeading"/>
        <w:rPr>
          <w:bCs/>
          <w:lang w:val="en-US"/>
        </w:rPr>
      </w:pPr>
      <w:r>
        <w:lastRenderedPageBreak/>
        <w:t>Table 5.13</w:t>
      </w:r>
      <w:r>
        <w:tab/>
        <w:t xml:space="preserve">Public financial corporations sector cash flow statement for </w:t>
      </w:r>
      <w:r>
        <w:br/>
        <w:t>the financial year ended 30 June</w:t>
      </w:r>
      <w:r>
        <w:tab/>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3515"/>
        <w:gridCol w:w="312"/>
        <w:gridCol w:w="539"/>
        <w:gridCol w:w="850"/>
        <w:gridCol w:w="850"/>
        <w:gridCol w:w="850"/>
        <w:gridCol w:w="850"/>
      </w:tblGrid>
      <w:tr w:rsidR="00CC0EB7" w:rsidRPr="00090F9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090F94" w:rsidRDefault="00CC0EB7" w:rsidP="00CC0EB7">
            <w:pPr>
              <w:autoSpaceDE w:val="0"/>
              <w:autoSpaceDN w:val="0"/>
              <w:adjustRightInd w:val="0"/>
              <w:spacing w:after="0"/>
              <w:rPr>
                <w:rFonts w:eastAsiaTheme="minorEastAsia" w:cstheme="majorHAnsi"/>
                <w:iCs/>
                <w:color w:val="FFFFFF"/>
                <w:sz w:val="16"/>
                <w:lang w:eastAsia="en-AU"/>
              </w:rPr>
            </w:pPr>
            <w:r w:rsidRPr="00090F94">
              <w:rPr>
                <w:rFonts w:eastAsiaTheme="minorEastAsia" w:cstheme="majorHAnsi"/>
                <w:iCs/>
                <w:color w:val="FFFFFF"/>
                <w:sz w:val="16"/>
                <w:lang w:eastAsia="en-AU"/>
              </w:rPr>
              <w:t xml:space="preserve">  </w:t>
            </w:r>
          </w:p>
        </w:tc>
        <w:tc>
          <w:tcPr>
            <w:tcW w:w="851" w:type="dxa"/>
            <w:gridSpan w:val="2"/>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2018-19</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budget</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2018-19</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revised</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2019-20</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2020-21</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2021-22</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estimate</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Cash flows from operating activities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Receipts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Grants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Sales of goods and services </w:t>
            </w:r>
            <w:r w:rsidRPr="00090F94">
              <w:rPr>
                <w:rFonts w:eastAsiaTheme="minorEastAsia" w:cstheme="majorHAnsi"/>
                <w:color w:val="000000"/>
                <w:sz w:val="16"/>
                <w:szCs w:val="18"/>
                <w:vertAlign w:val="superscript"/>
                <w:lang w:eastAsia="en-AU"/>
              </w:rPr>
              <w:t>(a)</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5 292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5 247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5 503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5 771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6 049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Interest received</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1 862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1 794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1 900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2 021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2 116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Dividend receipts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1 405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1 607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1 505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1 819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1 862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receipts</w:t>
            </w:r>
          </w:p>
        </w:tc>
        <w:tc>
          <w:tcPr>
            <w:tcW w:w="851" w:type="dxa"/>
            <w:gridSpan w:val="2"/>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34</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29</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56</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Total receipts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8 592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8 708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8 937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9 667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10 057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Payments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Payments for employees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(373)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(397)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(377)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(385)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(392)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Superannuation</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Interest paid</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(1 822)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(1 786)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(1 865)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(1 943)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(2 015)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Grants and subsidies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(731)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(1 001)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(822)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(633)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(686)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Goods and services </w:t>
            </w:r>
            <w:r w:rsidRPr="00090F94">
              <w:rPr>
                <w:rFonts w:eastAsiaTheme="minorEastAsia" w:cstheme="majorHAnsi"/>
                <w:color w:val="000000"/>
                <w:sz w:val="16"/>
                <w:szCs w:val="18"/>
                <w:vertAlign w:val="superscript"/>
                <w:lang w:eastAsia="en-AU"/>
              </w:rPr>
              <w:t>(a)</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(4 924)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(5 096)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(5 384)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(5 581)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(5 917)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payments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(91)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Total payments</w:t>
            </w:r>
          </w:p>
        </w:tc>
        <w:tc>
          <w:tcPr>
            <w:tcW w:w="851" w:type="dxa"/>
            <w:gridSpan w:val="2"/>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(7 893)</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(8 399)</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(8 500)</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(8 613)</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(9 050)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cash flows from operating activities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699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309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437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1 054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1 007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Cash flows from investing activities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827"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Cash flows from investments in non-financial assets</w:t>
            </w:r>
          </w:p>
        </w:tc>
        <w:tc>
          <w:tcPr>
            <w:tcW w:w="539"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Purchases of non-financial assets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(121)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(133)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(178)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(206)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(118)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Sales of non-financial assets</w:t>
            </w:r>
          </w:p>
        </w:tc>
        <w:tc>
          <w:tcPr>
            <w:tcW w:w="851" w:type="dxa"/>
            <w:gridSpan w:val="2"/>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cash flows from investments in non-financial assets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(121)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(132)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(178)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(206)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(118)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cash flows from investments in financial assets for policy purposes</w:t>
            </w:r>
          </w:p>
        </w:tc>
        <w:tc>
          <w:tcPr>
            <w:tcW w:w="851" w:type="dxa"/>
            <w:gridSpan w:val="2"/>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Subtotal</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(121)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(126)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(179)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(207)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(117)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cash flows from investment in financial assets for liquidity management purposes</w:t>
            </w:r>
          </w:p>
        </w:tc>
        <w:tc>
          <w:tcPr>
            <w:tcW w:w="851" w:type="dxa"/>
            <w:gridSpan w:val="2"/>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(4 723)</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(1 949)</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(4 403)</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(2 411)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(2 779)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cash flows from investing activities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(4 844)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(2 075)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(4 582)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(2 618)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(2 895)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Cash flows from financing activities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Advances received (net)</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borrowings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5 384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2 776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5 773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2 995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2 021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Deposits received (net)</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(641)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(2 988)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(318)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(143)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financing (net)</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(507)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(511)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(1 215)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(1 201)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(96)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cash flows from financing activities</w:t>
            </w:r>
          </w:p>
        </w:tc>
        <w:tc>
          <w:tcPr>
            <w:tcW w:w="851" w:type="dxa"/>
            <w:gridSpan w:val="2"/>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4 237</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(736)</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4 241</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1 653</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1 897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increase/(decrease) in cash and cash equivalents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92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(2 502)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96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90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Cash and cash equivalents at beginning of </w:t>
            </w:r>
            <w:r w:rsidR="00A767A3">
              <w:rPr>
                <w:rFonts w:eastAsiaTheme="minorEastAsia" w:cstheme="majorHAnsi"/>
                <w:color w:val="000000"/>
                <w:sz w:val="16"/>
                <w:szCs w:val="18"/>
                <w:lang w:eastAsia="en-AU"/>
              </w:rPr>
              <w:br/>
            </w:r>
            <w:r w:rsidRPr="00090F94">
              <w:rPr>
                <w:rFonts w:eastAsiaTheme="minorEastAsia" w:cstheme="majorHAnsi"/>
                <w:color w:val="000000"/>
                <w:sz w:val="16"/>
                <w:szCs w:val="18"/>
                <w:lang w:eastAsia="en-AU"/>
              </w:rPr>
              <w:t xml:space="preserve">reporting period </w:t>
            </w:r>
            <w:r w:rsidRPr="00090F94">
              <w:rPr>
                <w:rFonts w:eastAsiaTheme="minorEastAsia" w:cstheme="majorHAnsi"/>
                <w:color w:val="000000"/>
                <w:sz w:val="16"/>
                <w:szCs w:val="18"/>
                <w:vertAlign w:val="superscript"/>
                <w:lang w:eastAsia="en-AU"/>
              </w:rPr>
              <w:t>(b)</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5 554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5 554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3 052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3 148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3 238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 xml:space="preserve">Cash and cash equivalents at end of </w:t>
            </w:r>
            <w:r w:rsidR="00A767A3">
              <w:rPr>
                <w:rFonts w:eastAsiaTheme="minorEastAsia" w:cstheme="majorHAnsi"/>
                <w:b/>
                <w:bCs/>
                <w:color w:val="000000"/>
                <w:sz w:val="16"/>
                <w:szCs w:val="18"/>
                <w:lang w:eastAsia="en-AU"/>
              </w:rPr>
              <w:br/>
            </w:r>
            <w:r w:rsidRPr="00090F94">
              <w:rPr>
                <w:rFonts w:eastAsiaTheme="minorEastAsia" w:cstheme="majorHAnsi"/>
                <w:b/>
                <w:bCs/>
                <w:color w:val="000000"/>
                <w:sz w:val="16"/>
                <w:szCs w:val="18"/>
                <w:lang w:eastAsia="en-AU"/>
              </w:rPr>
              <w:t xml:space="preserve">reporting period </w:t>
            </w:r>
            <w:r w:rsidRPr="00090F94">
              <w:rPr>
                <w:rFonts w:eastAsiaTheme="minorEastAsia" w:cstheme="majorHAnsi"/>
                <w:b/>
                <w:bCs/>
                <w:color w:val="000000"/>
                <w:sz w:val="16"/>
                <w:szCs w:val="18"/>
                <w:vertAlign w:val="superscript"/>
                <w:lang w:eastAsia="en-AU"/>
              </w:rPr>
              <w:t>(b)</w:t>
            </w:r>
          </w:p>
        </w:tc>
        <w:tc>
          <w:tcPr>
            <w:tcW w:w="851" w:type="dxa"/>
            <w:gridSpan w:val="2"/>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5 645</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3 052</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3 148</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3 238</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3 246</w:t>
            </w:r>
          </w:p>
        </w:tc>
      </w:tr>
      <w:tr w:rsidR="004B6846" w:rsidRPr="00090F94" w:rsidTr="00CC0EB7">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FISCAL AGGREGATES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cash flows from operating activities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699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309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437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1 054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1 007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Dividends paid </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(507)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(511)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(81)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(96)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cash flows from investments in non-financial assets</w:t>
            </w:r>
          </w:p>
        </w:tc>
        <w:tc>
          <w:tcPr>
            <w:tcW w:w="85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(121)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(132)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(178)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(206)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(118)</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rPr>
                <w:rFonts w:eastAsiaTheme="minorEastAsia" w:cstheme="majorHAnsi"/>
                <w:bCs/>
                <w:color w:val="000000"/>
                <w:sz w:val="16"/>
                <w:szCs w:val="18"/>
                <w:lang w:eastAsia="en-AU"/>
              </w:rPr>
            </w:pPr>
            <w:r w:rsidRPr="00090F94">
              <w:rPr>
                <w:rFonts w:eastAsiaTheme="minorEastAsia" w:cstheme="majorHAnsi"/>
                <w:bCs/>
                <w:color w:val="000000"/>
                <w:sz w:val="16"/>
                <w:szCs w:val="18"/>
                <w:lang w:eastAsia="en-AU"/>
              </w:rPr>
              <w:t>Cash surplus/(deficit)</w:t>
            </w:r>
          </w:p>
        </w:tc>
        <w:tc>
          <w:tcPr>
            <w:tcW w:w="851" w:type="dxa"/>
            <w:gridSpan w:val="2"/>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71</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(334)</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194</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768</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793</w:t>
            </w:r>
          </w:p>
        </w:tc>
      </w:tr>
    </w:tbl>
    <w:p w:rsidR="004B6846" w:rsidRPr="00203144" w:rsidRDefault="004B6846" w:rsidP="00CC0EB7">
      <w:pPr>
        <w:pStyle w:val="Source"/>
      </w:pPr>
      <w:r w:rsidRPr="00203144">
        <w:t>Source: Department of Treasury and Finance</w:t>
      </w:r>
    </w:p>
    <w:p w:rsidR="004B6846" w:rsidRPr="00AF04C7" w:rsidRDefault="004B6846" w:rsidP="00CC0EB7">
      <w:pPr>
        <w:pStyle w:val="Note"/>
      </w:pPr>
      <w:r w:rsidRPr="00AF04C7">
        <w:t>Notes:</w:t>
      </w:r>
    </w:p>
    <w:p w:rsidR="004B6846" w:rsidRPr="00AF04C7" w:rsidRDefault="004B6846" w:rsidP="00CC0EB7">
      <w:pPr>
        <w:pStyle w:val="Note"/>
      </w:pPr>
      <w:r w:rsidRPr="00AF04C7">
        <w:t>(a)</w:t>
      </w:r>
      <w:r w:rsidRPr="00AF04C7">
        <w:tab/>
        <w:t>Inclusive of goods and services tax.</w:t>
      </w:r>
    </w:p>
    <w:p w:rsidR="004B6846" w:rsidRPr="00AF04C7" w:rsidRDefault="004B6846" w:rsidP="00CC0EB7">
      <w:pPr>
        <w:pStyle w:val="Note"/>
        <w:rPr>
          <w:b/>
        </w:rPr>
      </w:pPr>
      <w:r w:rsidRPr="00AF04C7">
        <w:t>(b)</w:t>
      </w:r>
      <w:r w:rsidRPr="00AF04C7">
        <w:tab/>
      </w:r>
      <w:r w:rsidRPr="00D51820">
        <w:rPr>
          <w:i w:val="0"/>
        </w:rPr>
        <w:t>2018-19 Budget</w:t>
      </w:r>
      <w:r w:rsidRPr="00AF04C7">
        <w:t xml:space="preserve"> figures have been restated to represent actual opening balances at 1 July 2018. </w:t>
      </w:r>
    </w:p>
    <w:p w:rsidR="004B6846" w:rsidRPr="00090F94" w:rsidRDefault="004B6846" w:rsidP="00CC0EB7">
      <w:pPr>
        <w:pStyle w:val="TableHeading"/>
        <w:rPr>
          <w:bCs/>
          <w:lang w:val="en-US"/>
        </w:rPr>
      </w:pPr>
      <w:r>
        <w:lastRenderedPageBreak/>
        <w:t>Table 5.14</w:t>
      </w:r>
      <w:r>
        <w:tab/>
        <w:t xml:space="preserve">Public financial corporations sector statement of changes in equity </w:t>
      </w:r>
      <w:r>
        <w:br/>
        <w:t>for the financial year ended 30 June</w:t>
      </w:r>
      <w:r>
        <w:tab/>
        <w:t>($ million)</w:t>
      </w:r>
    </w:p>
    <w:tbl>
      <w:tblPr>
        <w:tblStyle w:val="DTFTable"/>
        <w:tblW w:w="7762" w:type="dxa"/>
        <w:tblInd w:w="45" w:type="dxa"/>
        <w:tblLayout w:type="fixed"/>
        <w:tblCellMar>
          <w:left w:w="45" w:type="dxa"/>
          <w:right w:w="45" w:type="dxa"/>
        </w:tblCellMar>
        <w:tblLook w:val="06E0" w:firstRow="1" w:lastRow="1" w:firstColumn="1" w:lastColumn="0" w:noHBand="1" w:noVBand="1"/>
      </w:tblPr>
      <w:tblGrid>
        <w:gridCol w:w="4394"/>
        <w:gridCol w:w="1684"/>
        <w:gridCol w:w="1684"/>
      </w:tblGrid>
      <w:tr w:rsidR="004B6846" w:rsidRPr="00090F94"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shd w:val="solid" w:color="000000" w:fill="auto"/>
          </w:tcPr>
          <w:p w:rsidR="004B6846" w:rsidRPr="00090F94" w:rsidRDefault="004B6846" w:rsidP="00CC0EB7">
            <w:pPr>
              <w:autoSpaceDE w:val="0"/>
              <w:autoSpaceDN w:val="0"/>
              <w:adjustRightInd w:val="0"/>
              <w:rPr>
                <w:rFonts w:eastAsiaTheme="minorEastAsia" w:cstheme="majorHAnsi"/>
                <w:iCs/>
                <w:color w:val="FFFFFF"/>
                <w:lang w:eastAsia="en-AU"/>
              </w:rPr>
            </w:pPr>
            <w:r w:rsidRPr="00090F94">
              <w:rPr>
                <w:rFonts w:eastAsiaTheme="minorEastAsia" w:cstheme="majorHAnsi"/>
                <w:iCs/>
                <w:color w:val="FFFFFF"/>
                <w:lang w:eastAsia="en-AU"/>
              </w:rPr>
              <w:t xml:space="preserve"> </w:t>
            </w:r>
          </w:p>
        </w:tc>
        <w:tc>
          <w:tcPr>
            <w:tcW w:w="1684" w:type="dxa"/>
            <w:tcBorders>
              <w:top w:val="nil"/>
              <w:left w:val="nil"/>
              <w:bottom w:val="nil"/>
              <w:right w:val="nil"/>
            </w:tcBorders>
            <w:shd w:val="solid" w:color="000000" w:fill="auto"/>
          </w:tcPr>
          <w:p w:rsidR="004B6846" w:rsidRPr="00090F9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090F94">
              <w:rPr>
                <w:rFonts w:eastAsiaTheme="minorEastAsia" w:cstheme="majorHAnsi"/>
                <w:iCs/>
                <w:color w:val="FFFFFF"/>
                <w:szCs w:val="16"/>
                <w:lang w:eastAsia="en-AU"/>
              </w:rPr>
              <w:t>Accumulated surplus/(deficit)</w:t>
            </w:r>
          </w:p>
        </w:tc>
        <w:tc>
          <w:tcPr>
            <w:tcW w:w="1684" w:type="dxa"/>
            <w:tcBorders>
              <w:top w:val="nil"/>
              <w:left w:val="nil"/>
              <w:bottom w:val="nil"/>
              <w:right w:val="nil"/>
            </w:tcBorders>
            <w:shd w:val="solid" w:color="000000" w:fill="auto"/>
          </w:tcPr>
          <w:p w:rsidR="004B6846" w:rsidRPr="00090F9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090F94">
              <w:rPr>
                <w:rFonts w:eastAsiaTheme="minorEastAsia" w:cstheme="majorHAnsi"/>
                <w:iCs/>
                <w:color w:val="FFFFFF"/>
                <w:szCs w:val="16"/>
                <w:lang w:eastAsia="en-AU"/>
              </w:rPr>
              <w:t xml:space="preserve">Contributions </w:t>
            </w:r>
            <w:r w:rsidR="00532FB4">
              <w:rPr>
                <w:rFonts w:eastAsiaTheme="minorEastAsia" w:cstheme="majorHAnsi"/>
                <w:iCs/>
                <w:color w:val="FFFFFF"/>
                <w:szCs w:val="16"/>
                <w:lang w:eastAsia="en-AU"/>
              </w:rPr>
              <w:br/>
            </w:r>
            <w:r w:rsidRPr="00090F94">
              <w:rPr>
                <w:rFonts w:eastAsiaTheme="minorEastAsia" w:cstheme="majorHAnsi"/>
                <w:iCs/>
                <w:color w:val="FFFFFF"/>
                <w:szCs w:val="16"/>
                <w:lang w:eastAsia="en-AU"/>
              </w:rPr>
              <w:t>by owners</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 xml:space="preserve">2018-19 budget </w:t>
            </w:r>
            <w:r w:rsidRPr="00090F94">
              <w:rPr>
                <w:rFonts w:eastAsiaTheme="minorEastAsia" w:cstheme="majorHAnsi"/>
                <w:b/>
                <w:bCs/>
                <w:color w:val="000000"/>
                <w:szCs w:val="16"/>
                <w:vertAlign w:val="superscript"/>
                <w:lang w:eastAsia="en-AU"/>
              </w:rPr>
              <w:t>(a)</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Balance at 1 July 2018</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684</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Net result for the year</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(328)</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Other comprehensive income for the year</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Dividends paid</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(507)</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Transfer to/(from) accumulated surplus</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Transactions with owners in their capacity as owners</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Total equity as at 30 June 2019</w:t>
            </w:r>
          </w:p>
        </w:tc>
        <w:tc>
          <w:tcPr>
            <w:tcW w:w="168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(150)</w:t>
            </w:r>
          </w:p>
        </w:tc>
        <w:tc>
          <w:tcPr>
            <w:tcW w:w="168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29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2018-19 revised</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Balance at 1 July 2018</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683</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Net result for the year</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(72)</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Other comprehensive income for the year</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Dividends paid</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(511)</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Transfer to/(from) accumulated surplus</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Transactions with owners in their capacity as owners</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Total equity as at 30 June 2019</w:t>
            </w:r>
          </w:p>
        </w:tc>
        <w:tc>
          <w:tcPr>
            <w:tcW w:w="168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100</w:t>
            </w:r>
          </w:p>
        </w:tc>
        <w:tc>
          <w:tcPr>
            <w:tcW w:w="168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29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2019-20 estimate</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Balance at 1 July 2019</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100</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Net result for the year</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(539)</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Other comprehensive income for the year</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Dividends paid</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(65)</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Transfer to/(from) accumulated surplus</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(1 120)</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1 120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Transactions with owners in their capacity as owners</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(1 150)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Total equity as at 30 June 2020</w:t>
            </w:r>
          </w:p>
        </w:tc>
        <w:tc>
          <w:tcPr>
            <w:tcW w:w="168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(1 625)</w:t>
            </w:r>
          </w:p>
        </w:tc>
        <w:tc>
          <w:tcPr>
            <w:tcW w:w="168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2020-21 estimate</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Balance at 1 July 2020</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(1 625)</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Net result for the year</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(165)</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Other comprehensive income for the year</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Dividends paid</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(81)</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Transfer to/(from) accumulated surplus</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(1 120)</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1 120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Transactions with owners in their capacity as owners</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(1 120)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Total equity as at 30 June 2021</w:t>
            </w:r>
          </w:p>
        </w:tc>
        <w:tc>
          <w:tcPr>
            <w:tcW w:w="168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(2 991)</w:t>
            </w:r>
          </w:p>
        </w:tc>
        <w:tc>
          <w:tcPr>
            <w:tcW w:w="168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6"/>
                <w:lang w:eastAsia="en-AU"/>
              </w:rPr>
            </w:pPr>
            <w:r w:rsidRPr="00090F94">
              <w:rPr>
                <w:rFonts w:eastAsiaTheme="minorEastAsia" w:cstheme="majorHAnsi"/>
                <w:b/>
                <w:bCs/>
                <w:color w:val="000000"/>
                <w:szCs w:val="16"/>
                <w:lang w:eastAsia="en-AU"/>
              </w:rPr>
              <w:t>2021-22 estimate</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Balance at 1 July 2021</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(2 991)</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Net result for the year</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(350)</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Other comprehensive income for the year</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Dividends paid</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(96)</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Transfer to/(from) accumulated surplus</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6"/>
                <w:lang w:eastAsia="en-AU"/>
              </w:rPr>
            </w:pPr>
            <w:r w:rsidRPr="00090F94">
              <w:rPr>
                <w:rFonts w:eastAsiaTheme="minorEastAsia" w:cstheme="majorHAnsi"/>
                <w:color w:val="000000"/>
                <w:szCs w:val="16"/>
                <w:lang w:eastAsia="en-AU"/>
              </w:rPr>
              <w:t>Transactions with owners in their capacity as owners</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c>
          <w:tcPr>
            <w:tcW w:w="168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rPr>
                <w:rFonts w:eastAsiaTheme="minorEastAsia" w:cstheme="majorHAnsi"/>
                <w:bCs/>
                <w:color w:val="000000"/>
                <w:szCs w:val="16"/>
                <w:lang w:eastAsia="en-AU"/>
              </w:rPr>
            </w:pPr>
            <w:r w:rsidRPr="00090F94">
              <w:rPr>
                <w:rFonts w:eastAsiaTheme="minorEastAsia" w:cstheme="majorHAnsi"/>
                <w:bCs/>
                <w:color w:val="000000"/>
                <w:szCs w:val="16"/>
                <w:lang w:eastAsia="en-AU"/>
              </w:rPr>
              <w:t>Total equity as at 30 June 2022</w:t>
            </w:r>
          </w:p>
        </w:tc>
        <w:tc>
          <w:tcPr>
            <w:tcW w:w="1684"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(3 438)</w:t>
            </w:r>
          </w:p>
        </w:tc>
        <w:tc>
          <w:tcPr>
            <w:tcW w:w="1684"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w:t>
            </w:r>
          </w:p>
        </w:tc>
      </w:tr>
    </w:tbl>
    <w:p w:rsidR="004B6846" w:rsidRPr="00203144" w:rsidRDefault="004B6846" w:rsidP="00CC0EB7">
      <w:pPr>
        <w:pStyle w:val="Source"/>
      </w:pPr>
      <w:r w:rsidRPr="00203144">
        <w:t>Source: Department of Treasury and Finance</w:t>
      </w:r>
    </w:p>
    <w:p w:rsidR="004B6846" w:rsidRPr="00AF04C7" w:rsidRDefault="004B6846" w:rsidP="00CC0EB7">
      <w:pPr>
        <w:pStyle w:val="Note"/>
      </w:pPr>
      <w:r w:rsidRPr="00AF04C7">
        <w:t>Note:</w:t>
      </w:r>
    </w:p>
    <w:p w:rsidR="004B6846" w:rsidRPr="00AF04C7" w:rsidRDefault="004B6846" w:rsidP="00CC0EB7">
      <w:pPr>
        <w:pStyle w:val="Note"/>
      </w:pPr>
      <w:r w:rsidRPr="00AF04C7">
        <w:t>(a)</w:t>
      </w:r>
      <w:r w:rsidRPr="00AF04C7">
        <w:tab/>
        <w:t>Balances represent actual opening balances at 1 July 2018 plus 2018-19 budgeted movements.</w:t>
      </w:r>
    </w:p>
    <w:p w:rsidR="004B6846" w:rsidRDefault="004B6846">
      <w:pPr>
        <w:keepLines w:val="0"/>
        <w:rPr>
          <w:rFonts w:asciiTheme="majorHAnsi" w:hAnsiTheme="majorHAnsi"/>
          <w:b/>
          <w:sz w:val="20"/>
          <w:szCs w:val="20"/>
        </w:rPr>
      </w:pPr>
      <w:r>
        <w:br w:type="page"/>
      </w:r>
    </w:p>
    <w:p w:rsidR="004B6846" w:rsidRPr="00090F94" w:rsidRDefault="004B6846" w:rsidP="00CC0EB7">
      <w:pPr>
        <w:pStyle w:val="TableHeading"/>
        <w:rPr>
          <w:bCs/>
          <w:lang w:val="en-US"/>
        </w:rPr>
      </w:pPr>
      <w:r>
        <w:lastRenderedPageBreak/>
        <w:br/>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591"/>
        <w:gridCol w:w="2591"/>
        <w:gridCol w:w="2591"/>
      </w:tblGrid>
      <w:tr w:rsidR="004B6846" w:rsidRPr="00090F94"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shd w:val="solid" w:color="000000" w:fill="auto"/>
          </w:tcPr>
          <w:p w:rsidR="004B6846" w:rsidRPr="00090F94" w:rsidRDefault="004B6846" w:rsidP="00CC0EB7">
            <w:pPr>
              <w:autoSpaceDE w:val="0"/>
              <w:autoSpaceDN w:val="0"/>
              <w:adjustRightInd w:val="0"/>
              <w:jc w:val="right"/>
              <w:rPr>
                <w:rFonts w:eastAsiaTheme="minorEastAsia" w:cstheme="majorHAnsi"/>
                <w:iCs/>
                <w:color w:val="FFFFFF"/>
                <w:szCs w:val="16"/>
                <w:lang w:eastAsia="en-AU"/>
              </w:rPr>
            </w:pPr>
            <w:r w:rsidRPr="00090F94">
              <w:rPr>
                <w:rFonts w:eastAsiaTheme="minorEastAsia" w:cstheme="majorHAnsi"/>
                <w:iCs/>
                <w:color w:val="FFFFFF"/>
                <w:szCs w:val="16"/>
                <w:lang w:eastAsia="en-AU"/>
              </w:rPr>
              <w:t xml:space="preserve">Non-financial assets </w:t>
            </w:r>
            <w:r w:rsidR="00065FD3">
              <w:rPr>
                <w:rFonts w:eastAsiaTheme="minorEastAsia" w:cstheme="majorHAnsi"/>
                <w:iCs/>
                <w:color w:val="FFFFFF"/>
                <w:szCs w:val="16"/>
                <w:lang w:eastAsia="en-AU"/>
              </w:rPr>
              <w:br/>
            </w:r>
            <w:r w:rsidRPr="00090F94">
              <w:rPr>
                <w:rFonts w:eastAsiaTheme="minorEastAsia" w:cstheme="majorHAnsi"/>
                <w:iCs/>
                <w:color w:val="FFFFFF"/>
                <w:szCs w:val="16"/>
                <w:lang w:eastAsia="en-AU"/>
              </w:rPr>
              <w:t>revaluation surplus</w:t>
            </w:r>
          </w:p>
        </w:tc>
        <w:tc>
          <w:tcPr>
            <w:tcW w:w="2591" w:type="dxa"/>
            <w:tcBorders>
              <w:top w:val="nil"/>
              <w:left w:val="nil"/>
              <w:bottom w:val="nil"/>
              <w:right w:val="nil"/>
            </w:tcBorders>
            <w:shd w:val="solid" w:color="000000" w:fill="auto"/>
          </w:tcPr>
          <w:p w:rsidR="004B6846" w:rsidRPr="00090F9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090F94">
              <w:rPr>
                <w:rFonts w:eastAsiaTheme="minorEastAsia" w:cstheme="majorHAnsi"/>
                <w:iCs/>
                <w:color w:val="FFFFFF"/>
                <w:szCs w:val="16"/>
                <w:lang w:eastAsia="en-AU"/>
              </w:rPr>
              <w:t>Other reserves</w:t>
            </w:r>
          </w:p>
        </w:tc>
        <w:tc>
          <w:tcPr>
            <w:tcW w:w="2591" w:type="dxa"/>
            <w:tcBorders>
              <w:top w:val="nil"/>
              <w:left w:val="nil"/>
              <w:bottom w:val="nil"/>
              <w:right w:val="nil"/>
            </w:tcBorders>
            <w:shd w:val="solid" w:color="000000" w:fill="auto"/>
          </w:tcPr>
          <w:p w:rsidR="004B6846" w:rsidRPr="00090F9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090F94">
              <w:rPr>
                <w:rFonts w:eastAsiaTheme="minorEastAsia" w:cstheme="majorHAnsi"/>
                <w:iCs/>
                <w:color w:val="FFFFFF"/>
                <w:szCs w:val="16"/>
                <w:lang w:eastAsia="en-AU"/>
              </w:rPr>
              <w:t>Total</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2</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36</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751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(328)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(507)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szCs w:val="16"/>
                <w:lang w:eastAsia="en-AU"/>
              </w:rPr>
            </w:pPr>
            <w:r>
              <w:rPr>
                <w:rFonts w:eastAsiaTheme="minorEastAsia" w:cstheme="majorHAnsi"/>
                <w:b/>
                <w:bCs/>
                <w:color w:val="000000"/>
                <w:szCs w:val="16"/>
                <w:lang w:eastAsia="en-AU"/>
              </w:rPr>
              <w:t>2</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37</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(83)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2</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36</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751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(511)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szCs w:val="16"/>
                <w:lang w:eastAsia="en-AU"/>
              </w:rPr>
            </w:pPr>
            <w:r>
              <w:rPr>
                <w:rFonts w:eastAsiaTheme="minorEastAsia" w:cstheme="majorHAnsi"/>
                <w:b/>
                <w:bCs/>
                <w:color w:val="000000"/>
                <w:szCs w:val="16"/>
                <w:lang w:eastAsia="en-AU"/>
              </w:rPr>
              <w:t>2</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36</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169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2</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36</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169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(539)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(1 150)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szCs w:val="16"/>
                <w:lang w:eastAsia="en-AU"/>
              </w:rPr>
            </w:pPr>
            <w:r>
              <w:rPr>
                <w:rFonts w:eastAsiaTheme="minorEastAsia" w:cstheme="majorHAnsi"/>
                <w:b/>
                <w:bCs/>
                <w:color w:val="000000"/>
                <w:szCs w:val="16"/>
                <w:lang w:eastAsia="en-AU"/>
              </w:rPr>
              <w:t>2</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36</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(1 586)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2</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36</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(1 586)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(165)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(1 120)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szCs w:val="16"/>
                <w:lang w:eastAsia="en-AU"/>
              </w:rPr>
            </w:pPr>
            <w:r>
              <w:rPr>
                <w:rFonts w:eastAsiaTheme="minorEastAsia" w:cstheme="majorHAnsi"/>
                <w:b/>
                <w:bCs/>
                <w:color w:val="000000"/>
                <w:szCs w:val="16"/>
                <w:lang w:eastAsia="en-AU"/>
              </w:rPr>
              <w:t>2</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36</w:t>
            </w:r>
          </w:p>
        </w:tc>
        <w:tc>
          <w:tcPr>
            <w:tcW w:w="2591"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(2 952)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2</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36</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(2 952)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(350)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4B6846" w:rsidRPr="00090F94" w:rsidRDefault="004B6846" w:rsidP="00CC0EB7">
            <w:pPr>
              <w:keepLines w:val="0"/>
              <w:autoSpaceDE w:val="0"/>
              <w:autoSpaceDN w:val="0"/>
              <w:adjustRightInd w:val="0"/>
              <w:jc w:val="right"/>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c>
          <w:tcPr>
            <w:tcW w:w="2591"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090F94">
              <w:rPr>
                <w:rFonts w:eastAsiaTheme="minorEastAsia" w:cstheme="majorHAnsi"/>
                <w:color w:val="000000"/>
                <w:szCs w:val="16"/>
                <w:lang w:eastAsia="en-AU"/>
              </w:rPr>
              <w:t xml:space="preserve"> </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jc w:val="right"/>
              <w:rPr>
                <w:rFonts w:eastAsiaTheme="minorEastAsia" w:cstheme="majorHAnsi"/>
                <w:bCs/>
                <w:color w:val="000000"/>
                <w:szCs w:val="16"/>
                <w:lang w:eastAsia="en-AU"/>
              </w:rPr>
            </w:pPr>
            <w:r>
              <w:rPr>
                <w:rFonts w:eastAsiaTheme="minorEastAsia" w:cstheme="majorHAnsi"/>
                <w:bCs/>
                <w:color w:val="000000"/>
                <w:szCs w:val="16"/>
                <w:lang w:eastAsia="en-AU"/>
              </w:rPr>
              <w:t>2</w:t>
            </w:r>
          </w:p>
        </w:tc>
        <w:tc>
          <w:tcPr>
            <w:tcW w:w="2591"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37</w:t>
            </w:r>
          </w:p>
        </w:tc>
        <w:tc>
          <w:tcPr>
            <w:tcW w:w="2591"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(3 399)</w:t>
            </w:r>
          </w:p>
        </w:tc>
      </w:tr>
    </w:tbl>
    <w:p w:rsidR="004B6846" w:rsidRDefault="004B6846" w:rsidP="00CC0EB7">
      <w:r>
        <w:br/>
      </w:r>
    </w:p>
    <w:p w:rsidR="004B6846" w:rsidRDefault="004B6846" w:rsidP="00CC0EB7">
      <w:pPr>
        <w:pStyle w:val="Heading10"/>
      </w:pPr>
      <w:r>
        <w:br w:type="page"/>
      </w:r>
    </w:p>
    <w:p w:rsidR="004B6846" w:rsidRPr="00090F94" w:rsidRDefault="004B6846" w:rsidP="00CC0EB7">
      <w:pPr>
        <w:pStyle w:val="TableHeading"/>
        <w:rPr>
          <w:bCs/>
          <w:lang w:val="en-US"/>
        </w:rPr>
      </w:pPr>
      <w:r>
        <w:lastRenderedPageBreak/>
        <w:t>Table 5.15</w:t>
      </w:r>
      <w:r>
        <w:tab/>
        <w:t>Net acquisition of non-financial assets – public financial corporations sector</w:t>
      </w:r>
      <w:r>
        <w:br/>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CC0EB7" w:rsidRPr="00090F9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090F94" w:rsidRDefault="00CC0EB7" w:rsidP="00CC0EB7">
            <w:pPr>
              <w:autoSpaceDE w:val="0"/>
              <w:autoSpaceDN w:val="0"/>
              <w:adjustRightInd w:val="0"/>
              <w:rPr>
                <w:rFonts w:eastAsiaTheme="minorEastAsia" w:cstheme="majorHAnsi"/>
                <w:iCs/>
                <w:color w:val="FFFFFF"/>
                <w:lang w:eastAsia="en-AU"/>
              </w:rPr>
            </w:pPr>
            <w:r w:rsidRPr="00090F94">
              <w:rPr>
                <w:rFonts w:eastAsiaTheme="minorEastAsia" w:cstheme="majorHAnsi"/>
                <w:iCs/>
                <w:color w:val="FFFFFF"/>
                <w:lang w:eastAsia="en-AU"/>
              </w:rPr>
              <w:t xml:space="preserve">  </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budget</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revised</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2019-20</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2020-21</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2021-22</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 xml:space="preserve">Purchases of non-financial assets less sale of </w:t>
            </w:r>
            <w:r w:rsidR="00065FD3">
              <w:rPr>
                <w:rFonts w:eastAsiaTheme="minorEastAsia" w:cstheme="majorHAnsi"/>
                <w:color w:val="000000"/>
                <w:szCs w:val="18"/>
                <w:lang w:eastAsia="en-AU"/>
              </w:rPr>
              <w:br/>
            </w:r>
            <w:r w:rsidRPr="00090F94">
              <w:rPr>
                <w:rFonts w:eastAsiaTheme="minorEastAsia" w:cstheme="majorHAnsi"/>
                <w:color w:val="000000"/>
                <w:szCs w:val="18"/>
                <w:lang w:eastAsia="en-AU"/>
              </w:rPr>
              <w:t>non-financial asset (including change in inventories)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121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132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178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118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Less: Depreciation and amortisation</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(116)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Plus: Other movements in non-financial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 xml:space="preserve"> </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rPr>
                <w:rFonts w:eastAsiaTheme="minorEastAsia" w:cstheme="majorHAnsi"/>
                <w:bCs/>
                <w:color w:val="000000"/>
                <w:szCs w:val="16"/>
                <w:lang w:eastAsia="en-AU"/>
              </w:rPr>
            </w:pPr>
            <w:r w:rsidRPr="00090F94">
              <w:rPr>
                <w:rFonts w:eastAsiaTheme="minorEastAsia" w:cstheme="majorHAnsi"/>
                <w:bCs/>
                <w:color w:val="000000"/>
                <w:szCs w:val="16"/>
                <w:lang w:eastAsia="en-AU"/>
              </w:rPr>
              <w:t>Total net acquisition of non-financial assets from transactions</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75</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89</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120</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122</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1</w:t>
            </w:r>
          </w:p>
        </w:tc>
      </w:tr>
    </w:tbl>
    <w:p w:rsidR="004B6846" w:rsidRPr="004C4397" w:rsidRDefault="004B6846" w:rsidP="00CC0EB7">
      <w:pPr>
        <w:pStyle w:val="Source"/>
      </w:pPr>
      <w:r w:rsidRPr="004C4397">
        <w:t>Source: Department of Treasury and Finance</w:t>
      </w:r>
    </w:p>
    <w:p w:rsidR="004B6846" w:rsidRDefault="004B6846" w:rsidP="00CC0EB7">
      <w:pPr>
        <w:pStyle w:val="Heading10"/>
      </w:pPr>
      <w:r>
        <w:br w:type="page"/>
      </w:r>
    </w:p>
    <w:p w:rsidR="004B6846" w:rsidRPr="009E7C4B" w:rsidRDefault="004B6846" w:rsidP="00CC0EB7">
      <w:pPr>
        <w:pStyle w:val="TableHeading"/>
      </w:pPr>
      <w:r>
        <w:lastRenderedPageBreak/>
        <w:t>Table 5.16</w:t>
      </w:r>
      <w:r w:rsidRPr="009E7C4B">
        <w:tab/>
        <w:t>State of Victoria operating statement for t</w:t>
      </w:r>
      <w:r>
        <w:t>he financial year ended 30 June</w:t>
      </w:r>
    </w:p>
    <w:p w:rsidR="004B6846" w:rsidRPr="00090F94" w:rsidRDefault="004B6846" w:rsidP="00CC0EB7">
      <w:pPr>
        <w:pStyle w:val="TableUnits"/>
        <w:rPr>
          <w:bCs/>
          <w:lang w:val="en-US"/>
        </w:rPr>
      </w:pPr>
      <w:r>
        <w:t xml:space="preserve">($ </w:t>
      </w:r>
      <w:r w:rsidRPr="009E7C4B">
        <w:t>million</w:t>
      </w:r>
      <w:r>
        <w:t>)</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170"/>
        <w:gridCol w:w="680"/>
        <w:gridCol w:w="850"/>
        <w:gridCol w:w="850"/>
        <w:gridCol w:w="850"/>
        <w:gridCol w:w="850"/>
      </w:tblGrid>
      <w:tr w:rsidR="00CC0EB7" w:rsidRPr="00090F94" w:rsidTr="00065FD3">
        <w:trPr>
          <w:cnfStyle w:val="100000000000" w:firstRow="1" w:lastRow="0" w:firstColumn="0" w:lastColumn="0" w:oddVBand="0" w:evenVBand="0" w:oddHBand="0" w:evenHBand="0" w:firstRowFirstColumn="0" w:firstRowLastColumn="0" w:lastRowFirstColumn="0" w:lastRowLastColumn="0"/>
          <w:trHeight w:val="173"/>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090F94" w:rsidRDefault="00CC0EB7" w:rsidP="00CC0EB7">
            <w:pPr>
              <w:autoSpaceDE w:val="0"/>
              <w:autoSpaceDN w:val="0"/>
              <w:adjustRightInd w:val="0"/>
              <w:spacing w:after="0"/>
              <w:rPr>
                <w:rFonts w:eastAsiaTheme="minorEastAsia" w:cstheme="majorHAnsi"/>
                <w:iCs/>
                <w:color w:val="FFFFFF"/>
                <w:sz w:val="16"/>
                <w:lang w:eastAsia="en-AU"/>
              </w:rPr>
            </w:pPr>
            <w:r w:rsidRPr="00090F94">
              <w:rPr>
                <w:rFonts w:eastAsiaTheme="minorEastAsia" w:cstheme="majorHAnsi"/>
                <w:iCs/>
                <w:color w:val="FFFFFF"/>
                <w:sz w:val="16"/>
                <w:lang w:eastAsia="en-AU"/>
              </w:rPr>
              <w:t xml:space="preserve">  </w:t>
            </w:r>
          </w:p>
        </w:tc>
        <w:tc>
          <w:tcPr>
            <w:tcW w:w="850" w:type="dxa"/>
            <w:gridSpan w:val="2"/>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2018-19</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budget</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2018-19</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revised</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2019-20</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2020-21</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2021-22</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estimate</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Revenue from transactions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Taxation revenue</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23 636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23 634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24 584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25 508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26 772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Interest revenue</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535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517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527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570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605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Dividend revenue</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1 451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1 708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1 635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1 951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2 001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Sales of goods and services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15 296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15 286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16 439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16 972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17 668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Grant revenue</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32 735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32 525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32 912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34 068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35 271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revenue</w:t>
            </w:r>
          </w:p>
        </w:tc>
        <w:tc>
          <w:tcPr>
            <w:tcW w:w="850" w:type="dxa"/>
            <w:gridSpan w:val="2"/>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3 246</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3 281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3 233</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3 317</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3 361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Total revenue from transactions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76 899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76 951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79 330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82 387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85 679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Expenses from transactions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Employee expenses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26 752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26 246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27 725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28 794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29 897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superannuation interest expense</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667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692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643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614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585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superannuation</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2 826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2 909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2 965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3 039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3 163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Depreciation</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5 253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5 315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5 540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6 025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6 371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Interest expense</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2 622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2 569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2 670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2 797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2 864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Grant expense</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9 423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9 143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10 380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10 404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10 844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operating expenses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30 921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31 199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30 516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30 595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31 882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property expenses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Total expenses from transactions</w:t>
            </w:r>
          </w:p>
        </w:tc>
        <w:tc>
          <w:tcPr>
            <w:tcW w:w="850" w:type="dxa"/>
            <w:gridSpan w:val="2"/>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78 464</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78 074</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80 439</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82 267</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85 606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 xml:space="preserve">Net result from transactions – </w:t>
            </w:r>
            <w:r w:rsidR="00A767A3">
              <w:rPr>
                <w:rFonts w:eastAsiaTheme="minorEastAsia" w:cstheme="majorHAnsi"/>
                <w:b/>
                <w:bCs/>
                <w:color w:val="000000"/>
                <w:sz w:val="16"/>
                <w:szCs w:val="18"/>
                <w:lang w:eastAsia="en-AU"/>
              </w:rPr>
              <w:br/>
            </w:r>
            <w:r w:rsidRPr="00090F94">
              <w:rPr>
                <w:rFonts w:eastAsiaTheme="minorEastAsia" w:cstheme="majorHAnsi"/>
                <w:b/>
                <w:bCs/>
                <w:color w:val="000000"/>
                <w:sz w:val="16"/>
                <w:szCs w:val="18"/>
                <w:lang w:eastAsia="en-AU"/>
              </w:rPr>
              <w:t>net operating balance</w:t>
            </w:r>
          </w:p>
        </w:tc>
        <w:tc>
          <w:tcPr>
            <w:tcW w:w="850" w:type="dxa"/>
            <w:gridSpan w:val="2"/>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(1 565)</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(1 123)</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(1 109)</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120</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Other economic flows included in net result</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gain/(loss) on disposal of non-financial assets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113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141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104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72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112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Net gain/(loss) on financial assets or liabilities at </w:t>
            </w:r>
            <w:r w:rsidR="00A767A3">
              <w:rPr>
                <w:rFonts w:eastAsiaTheme="minorEastAsia" w:cstheme="majorHAnsi"/>
                <w:color w:val="000000"/>
                <w:sz w:val="16"/>
                <w:szCs w:val="18"/>
                <w:lang w:eastAsia="en-AU"/>
              </w:rPr>
              <w:br/>
            </w:r>
            <w:r w:rsidRPr="00090F94">
              <w:rPr>
                <w:rFonts w:eastAsiaTheme="minorEastAsia" w:cstheme="majorHAnsi"/>
                <w:color w:val="000000"/>
                <w:sz w:val="16"/>
                <w:szCs w:val="18"/>
                <w:lang w:eastAsia="en-AU"/>
              </w:rPr>
              <w:t>fair value</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566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985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603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684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659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gains/(losses) from other economic flows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395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595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455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493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521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685" w:type="dxa"/>
            <w:gridSpan w:val="2"/>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Total other economic flows included in net result</w:t>
            </w:r>
          </w:p>
        </w:tc>
        <w:tc>
          <w:tcPr>
            <w:tcW w:w="68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1 074</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1 721</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1 162</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1 249</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1 292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result</w:t>
            </w:r>
          </w:p>
        </w:tc>
        <w:tc>
          <w:tcPr>
            <w:tcW w:w="850" w:type="dxa"/>
            <w:gridSpan w:val="2"/>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(491)</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598</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53</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1 369</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1 364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 xml:space="preserve">Other economic flows – </w:t>
            </w:r>
            <w:r w:rsidR="00A767A3">
              <w:rPr>
                <w:rFonts w:eastAsiaTheme="minorEastAsia" w:cstheme="majorHAnsi"/>
                <w:b/>
                <w:bCs/>
                <w:color w:val="000000"/>
                <w:sz w:val="16"/>
                <w:szCs w:val="18"/>
                <w:lang w:eastAsia="en-AU"/>
              </w:rPr>
              <w:br/>
            </w:r>
            <w:r w:rsidRPr="00090F94">
              <w:rPr>
                <w:rFonts w:eastAsiaTheme="minorEastAsia" w:cstheme="majorHAnsi"/>
                <w:b/>
                <w:bCs/>
                <w:color w:val="000000"/>
                <w:sz w:val="16"/>
                <w:szCs w:val="18"/>
                <w:lang w:eastAsia="en-AU"/>
              </w:rPr>
              <w:t>other comprehensive income</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Items that will not be reclassified to net result</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Changes in non-financial assets revaluation surplus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1 504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3 485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8 668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2 748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3 804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Remeasurement of superannuation defined benefit plans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1 014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1 996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1 053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1 074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1 094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movements in equity</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 xml:space="preserve">Items that may be reclassified subsequently to </w:t>
            </w:r>
            <w:r w:rsidR="00A767A3">
              <w:rPr>
                <w:rFonts w:eastAsiaTheme="minorEastAsia" w:cstheme="majorHAnsi"/>
                <w:b/>
                <w:bCs/>
                <w:color w:val="000000"/>
                <w:sz w:val="16"/>
                <w:szCs w:val="18"/>
                <w:lang w:eastAsia="en-AU"/>
              </w:rPr>
              <w:br/>
            </w:r>
            <w:r w:rsidRPr="00090F94">
              <w:rPr>
                <w:rFonts w:eastAsiaTheme="minorEastAsia" w:cstheme="majorHAnsi"/>
                <w:b/>
                <w:bCs/>
                <w:color w:val="000000"/>
                <w:sz w:val="16"/>
                <w:szCs w:val="18"/>
                <w:lang w:eastAsia="en-AU"/>
              </w:rPr>
              <w:t>net result</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gain/(loss) on financial assets at fair value</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gain/(loss) on equity investments in other sector entities at proportional share of the carrying amount of net assets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Total other economic flows –</w:t>
            </w:r>
            <w:r w:rsidR="00A767A3">
              <w:rPr>
                <w:rFonts w:eastAsiaTheme="minorEastAsia" w:cstheme="majorHAnsi"/>
                <w:b/>
                <w:bCs/>
                <w:color w:val="000000"/>
                <w:sz w:val="16"/>
                <w:szCs w:val="18"/>
                <w:lang w:eastAsia="en-AU"/>
              </w:rPr>
              <w:br/>
            </w:r>
            <w:r w:rsidRPr="00090F94">
              <w:rPr>
                <w:rFonts w:eastAsiaTheme="minorEastAsia" w:cstheme="majorHAnsi"/>
                <w:b/>
                <w:bCs/>
                <w:color w:val="000000"/>
                <w:sz w:val="16"/>
                <w:szCs w:val="18"/>
                <w:lang w:eastAsia="en-AU"/>
              </w:rPr>
              <w:t>other comprehensive income</w:t>
            </w:r>
          </w:p>
        </w:tc>
        <w:tc>
          <w:tcPr>
            <w:tcW w:w="850" w:type="dxa"/>
            <w:gridSpan w:val="2"/>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2 508</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5 449</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9 736</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3 803</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4 914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Comprehensive result – total change in net worth</w:t>
            </w:r>
          </w:p>
        </w:tc>
        <w:tc>
          <w:tcPr>
            <w:tcW w:w="850" w:type="dxa"/>
            <w:gridSpan w:val="2"/>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2 017</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6 048</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9 788</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5 172</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6 279</w:t>
            </w:r>
          </w:p>
        </w:tc>
      </w:tr>
      <w:tr w:rsidR="004B6846" w:rsidRPr="00090F94" w:rsidTr="00CC0EB7">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KEY FISCAL AGGREGATES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operating balance</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(1 565)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(1 123)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(1 109)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120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Less: Net acquisition of non-financial assets from transactions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8 117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7 716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7 820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5 353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2 962</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rPr>
                <w:rFonts w:eastAsiaTheme="minorEastAsia" w:cstheme="majorHAnsi"/>
                <w:bCs/>
                <w:color w:val="000000"/>
                <w:sz w:val="16"/>
                <w:szCs w:val="18"/>
                <w:lang w:eastAsia="en-AU"/>
              </w:rPr>
            </w:pPr>
            <w:r w:rsidRPr="00090F94">
              <w:rPr>
                <w:rFonts w:eastAsiaTheme="minorEastAsia" w:cstheme="majorHAnsi"/>
                <w:bCs/>
                <w:color w:val="000000"/>
                <w:sz w:val="16"/>
                <w:szCs w:val="18"/>
                <w:lang w:eastAsia="en-AU"/>
              </w:rPr>
              <w:t>Net lending/(borrowing)</w:t>
            </w:r>
          </w:p>
        </w:tc>
        <w:tc>
          <w:tcPr>
            <w:tcW w:w="850" w:type="dxa"/>
            <w:gridSpan w:val="2"/>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(9 682)</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(8 839)</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(8 929)</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(5 234)</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(2 890)</w:t>
            </w:r>
          </w:p>
        </w:tc>
      </w:tr>
    </w:tbl>
    <w:p w:rsidR="004B6846" w:rsidRDefault="004B6846" w:rsidP="00CC0EB7">
      <w:pPr>
        <w:pStyle w:val="Source"/>
      </w:pPr>
      <w:r w:rsidRPr="00557C52">
        <w:t>Source: Department of Treasury and Finance</w:t>
      </w:r>
      <w:r w:rsidRPr="00A76FCF">
        <w:t xml:space="preserve"> </w:t>
      </w:r>
    </w:p>
    <w:p w:rsidR="004B6846" w:rsidRPr="00090F94" w:rsidRDefault="004B6846" w:rsidP="00CC0EB7">
      <w:pPr>
        <w:pStyle w:val="TableHeading"/>
        <w:rPr>
          <w:bCs/>
          <w:lang w:val="en-US"/>
        </w:rPr>
      </w:pPr>
      <w:r>
        <w:lastRenderedPageBreak/>
        <w:t>Table 5.17</w:t>
      </w:r>
      <w:r>
        <w:tab/>
        <w:t>State of Victoria balance sheet as at 30 June</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CC0EB7" w:rsidRPr="00090F9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090F94" w:rsidRDefault="00CC0EB7" w:rsidP="00CC0EB7">
            <w:pPr>
              <w:autoSpaceDE w:val="0"/>
              <w:autoSpaceDN w:val="0"/>
              <w:adjustRightInd w:val="0"/>
              <w:rPr>
                <w:rFonts w:eastAsiaTheme="minorEastAsia" w:cstheme="majorHAnsi"/>
                <w:iCs/>
                <w:color w:val="FFFFFF"/>
                <w:lang w:eastAsia="en-AU"/>
              </w:rPr>
            </w:pPr>
            <w:r w:rsidRPr="00090F94">
              <w:rPr>
                <w:rFonts w:eastAsiaTheme="minorEastAsia" w:cstheme="majorHAnsi"/>
                <w:iCs/>
                <w:color w:val="FFFFFF"/>
                <w:lang w:eastAsia="en-AU"/>
              </w:rPr>
              <w:t xml:space="preserve">  </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 xml:space="preserve">budget </w:t>
            </w:r>
            <w:r w:rsidRPr="00090F94">
              <w:rPr>
                <w:rFonts w:eastAsiaTheme="minorEastAsia" w:cstheme="majorHAnsi"/>
                <w:iCs/>
                <w:color w:val="FFFFFF"/>
                <w:szCs w:val="18"/>
                <w:vertAlign w:val="superscript"/>
                <w:lang w:eastAsia="en-AU"/>
              </w:rPr>
              <w:t>(a)</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revised</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2020</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2021</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2022</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Financial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Cash and deposits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6 733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5 941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6 291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6 473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6 567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Advances paid</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504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504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361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354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402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Receivables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9 071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8 884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9 151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9 468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9 898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Investments, loans and placements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41 658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41 402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41 307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41 866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43 566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Investments accounted for using equity method</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Investments in other sector entities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financial assets</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58 020</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56 783</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57 163</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58 214</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60 486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Non-financial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Inventories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1 296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1 354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1 478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1 509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1 414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Non-financial assets held for sale</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463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446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447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448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449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Land, buildings, infrastructure, plant and equipment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269 991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271 219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286 468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292 970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298 694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Other non-financial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3 169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3 448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4 590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6 102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6 784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non-financial assets</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274 920</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276 467</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292 983</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301 029</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307 341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332 939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333 250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350 145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359 243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367 828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Liabilities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Deposits held and advances received</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2 083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2 074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2 121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2 112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2 067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Payables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20 052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20 484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20 003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19 504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18 408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Borrowings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55 080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52 025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58 436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61 674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63 730</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Employee benefits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7 931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7 860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8 178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8 481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8 789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Superannuation</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24 192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23 298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22 249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21 168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20 156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Other provisions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33 645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33 521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35 382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37 356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39 451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Total liabilities</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142 982</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139 262</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146 369</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150 295</w:t>
            </w:r>
          </w:p>
        </w:tc>
        <w:tc>
          <w:tcPr>
            <w:tcW w:w="850" w:type="dxa"/>
            <w:tcBorders>
              <w:top w:val="single" w:sz="6" w:space="0" w:color="000000"/>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152 601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Net assets</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189 957</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193 988</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203 776</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208 948</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215 227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Accumulated surplus/(deficit)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78 611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80 675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81 762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84 182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86 634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Reserves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111 346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113 313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122 015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124 766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128 593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Net worth</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189 957</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193 988</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203 776</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208 948</w:t>
            </w:r>
          </w:p>
        </w:tc>
        <w:tc>
          <w:tcPr>
            <w:tcW w:w="850" w:type="dxa"/>
            <w:tcBorders>
              <w:top w:val="single" w:sz="6" w:space="0" w:color="000000"/>
              <w:left w:val="nil"/>
              <w:bottom w:val="single" w:sz="12" w:space="0" w:color="000000"/>
              <w:right w:val="nil"/>
            </w:tcBorders>
          </w:tcPr>
          <w:p w:rsidR="004B6846" w:rsidRPr="00090F94"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090F94">
              <w:rPr>
                <w:rFonts w:eastAsiaTheme="minorEastAsia" w:cstheme="majorHAnsi"/>
                <w:b/>
                <w:bCs/>
                <w:color w:val="000000"/>
                <w:szCs w:val="18"/>
                <w:lang w:eastAsia="en-AU"/>
              </w:rPr>
              <w:t>215 227</w:t>
            </w:r>
          </w:p>
        </w:tc>
      </w:tr>
      <w:tr w:rsidR="004B6846" w:rsidRPr="00090F94" w:rsidTr="00CC0EB7">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090F94">
              <w:rPr>
                <w:rFonts w:eastAsiaTheme="minorEastAsia" w:cstheme="majorHAnsi"/>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Cs w:val="18"/>
                <w:lang w:eastAsia="en-AU"/>
              </w:rPr>
            </w:pPr>
            <w:r w:rsidRPr="00090F94">
              <w:rPr>
                <w:rFonts w:eastAsiaTheme="minorEastAsia" w:cstheme="majorHAnsi"/>
                <w:b/>
                <w:bCs/>
                <w:color w:val="000000"/>
                <w:szCs w:val="18"/>
                <w:lang w:eastAsia="en-AU"/>
              </w:rPr>
              <w:t>FISCAL AGGREGATES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090F94">
              <w:rPr>
                <w:rFonts w:eastAsiaTheme="minorEastAsia" w:cstheme="majorHAnsi"/>
                <w:b/>
                <w:bCs/>
                <w:color w:val="000000"/>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Net financial worth</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(84 963)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(82 479)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(89 206)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(92 080)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(92 114)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Net financial liabilities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84 963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82 479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89 206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92 080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92 114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Net debt</w:t>
            </w:r>
          </w:p>
        </w:tc>
        <w:tc>
          <w:tcPr>
            <w:tcW w:w="850"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8 267</w:t>
            </w:r>
          </w:p>
        </w:tc>
        <w:tc>
          <w:tcPr>
            <w:tcW w:w="850"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6 253</w:t>
            </w:r>
          </w:p>
        </w:tc>
        <w:tc>
          <w:tcPr>
            <w:tcW w:w="850"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12 598</w:t>
            </w:r>
          </w:p>
        </w:tc>
        <w:tc>
          <w:tcPr>
            <w:tcW w:w="850"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15 092</w:t>
            </w:r>
          </w:p>
        </w:tc>
        <w:tc>
          <w:tcPr>
            <w:tcW w:w="850" w:type="dxa"/>
            <w:tcBorders>
              <w:top w:val="nil"/>
              <w:left w:val="nil"/>
              <w:bottom w:val="single" w:sz="12"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15 262</w:t>
            </w:r>
          </w:p>
        </w:tc>
      </w:tr>
    </w:tbl>
    <w:p w:rsidR="004B6846" w:rsidRDefault="004B6846" w:rsidP="00CC0EB7">
      <w:pPr>
        <w:pStyle w:val="Source"/>
      </w:pPr>
      <w:r w:rsidRPr="00907CB9">
        <w:t>Source: Department of Treasury and Finance</w:t>
      </w:r>
    </w:p>
    <w:p w:rsidR="004B6846" w:rsidRPr="00AF04C7" w:rsidRDefault="004B6846" w:rsidP="00CC0EB7">
      <w:pPr>
        <w:pStyle w:val="Note"/>
      </w:pPr>
      <w:r w:rsidRPr="00AF04C7">
        <w:t>Note:</w:t>
      </w:r>
    </w:p>
    <w:p w:rsidR="004B6846" w:rsidRPr="00AF04C7" w:rsidRDefault="004B6846" w:rsidP="00CC0EB7">
      <w:pPr>
        <w:pStyle w:val="Note"/>
      </w:pPr>
      <w:r w:rsidRPr="00AF04C7">
        <w:t>(a)</w:t>
      </w:r>
      <w:r w:rsidRPr="00AF04C7">
        <w:tab/>
        <w:t>Balances represent actual opening balances at 1 July 2018 plus 2018-19 budgeted movements.</w:t>
      </w:r>
    </w:p>
    <w:p w:rsidR="004B6846" w:rsidRDefault="004B6846" w:rsidP="00CC0EB7"/>
    <w:p w:rsidR="004B6846" w:rsidRDefault="004B6846" w:rsidP="00CC0EB7">
      <w:pPr>
        <w:pStyle w:val="Heading10"/>
      </w:pPr>
      <w:r>
        <w:br w:type="page"/>
      </w:r>
    </w:p>
    <w:p w:rsidR="004B6846" w:rsidRPr="00090F94" w:rsidRDefault="004B6846" w:rsidP="00CC0EB7">
      <w:pPr>
        <w:pStyle w:val="TableHeading"/>
        <w:rPr>
          <w:bCs/>
          <w:lang w:val="en-US"/>
        </w:rPr>
      </w:pPr>
      <w:r>
        <w:lastRenderedPageBreak/>
        <w:t>Table 5.18</w:t>
      </w:r>
      <w:r>
        <w:tab/>
        <w:t xml:space="preserve">State of Victoria cash flow statement for the financial year </w:t>
      </w:r>
      <w:r>
        <w:br/>
        <w:t>ended 30 June</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126"/>
        <w:gridCol w:w="724"/>
        <w:gridCol w:w="850"/>
        <w:gridCol w:w="850"/>
        <w:gridCol w:w="850"/>
        <w:gridCol w:w="850"/>
      </w:tblGrid>
      <w:tr w:rsidR="00CC0EB7" w:rsidRPr="00090F9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090F94" w:rsidRDefault="00CC0EB7" w:rsidP="00CC0EB7">
            <w:pPr>
              <w:autoSpaceDE w:val="0"/>
              <w:autoSpaceDN w:val="0"/>
              <w:adjustRightInd w:val="0"/>
              <w:spacing w:after="0"/>
              <w:rPr>
                <w:rFonts w:eastAsiaTheme="minorEastAsia" w:cstheme="majorHAnsi"/>
                <w:iCs/>
                <w:color w:val="FFFFFF"/>
                <w:sz w:val="16"/>
                <w:lang w:eastAsia="en-AU"/>
              </w:rPr>
            </w:pPr>
            <w:r w:rsidRPr="00090F94">
              <w:rPr>
                <w:rFonts w:eastAsiaTheme="minorEastAsia" w:cstheme="majorHAnsi"/>
                <w:iCs/>
                <w:color w:val="FFFFFF"/>
                <w:sz w:val="16"/>
                <w:lang w:eastAsia="en-AU"/>
              </w:rPr>
              <w:t xml:space="preserve">  </w:t>
            </w:r>
          </w:p>
        </w:tc>
        <w:tc>
          <w:tcPr>
            <w:tcW w:w="850" w:type="dxa"/>
            <w:gridSpan w:val="2"/>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2018-19</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budget</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2018-19</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revised</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2019-20</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2020-21</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8"/>
                <w:lang w:eastAsia="en-AU"/>
              </w:rPr>
            </w:pPr>
            <w:r w:rsidRPr="00090F94">
              <w:rPr>
                <w:rFonts w:eastAsiaTheme="minorEastAsia" w:cstheme="majorHAnsi"/>
                <w:iCs/>
                <w:color w:val="FFFFFF"/>
                <w:sz w:val="16"/>
                <w:szCs w:val="18"/>
                <w:lang w:eastAsia="en-AU"/>
              </w:rPr>
              <w:t>2021-22</w:t>
            </w:r>
            <w:r>
              <w:rPr>
                <w:rFonts w:eastAsiaTheme="minorEastAsia" w:cstheme="majorHAnsi"/>
                <w:iCs/>
                <w:color w:val="FFFFFF"/>
                <w:sz w:val="16"/>
                <w:szCs w:val="18"/>
                <w:lang w:eastAsia="en-AU"/>
              </w:rPr>
              <w:br/>
            </w:r>
            <w:r w:rsidRPr="00090F94">
              <w:rPr>
                <w:rFonts w:eastAsiaTheme="minorEastAsia" w:cstheme="majorHAnsi"/>
                <w:iCs/>
                <w:color w:val="FFFFFF"/>
                <w:sz w:val="16"/>
                <w:szCs w:val="18"/>
                <w:lang w:eastAsia="en-AU"/>
              </w:rPr>
              <w:t>estimate</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Cash flows from operating activities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Receipts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Taxes received</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23 462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23 461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24 370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25 124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26 364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Grants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32 730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32 482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32 912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34 068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35 271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Sales of goods and services </w:t>
            </w:r>
            <w:r w:rsidRPr="00090F94">
              <w:rPr>
                <w:rFonts w:eastAsiaTheme="minorEastAsia" w:cstheme="majorHAnsi"/>
                <w:color w:val="000000"/>
                <w:sz w:val="16"/>
                <w:szCs w:val="18"/>
                <w:vertAlign w:val="superscript"/>
                <w:lang w:eastAsia="en-AU"/>
              </w:rPr>
              <w:t>(a)</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18 805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19 703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18 043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18 673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19 394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Interest received</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487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457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467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510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545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Dividend receipts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1 451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1 707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1 635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1 951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2 001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receipts</w:t>
            </w:r>
          </w:p>
        </w:tc>
        <w:tc>
          <w:tcPr>
            <w:tcW w:w="850" w:type="dxa"/>
            <w:gridSpan w:val="2"/>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2 550</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2 513</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2 505</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2 570</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2 646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Total receipts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79 486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80 325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79 931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82 897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86 222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Payments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Payments for employees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(26 398)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(25 963)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(27 413)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(28 496)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(29 595)</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Superannuation</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(3 518)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(3 540)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(3 604)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(3 659)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(3 667)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Interest paid</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(2 635)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(2 582)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(2 683)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(2 810)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(2 877)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Grants and subsidies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(9 491)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(9 409)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(11 523)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(11 939)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(11 639)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Goods and services </w:t>
            </w:r>
            <w:r w:rsidRPr="00090F94">
              <w:rPr>
                <w:rFonts w:eastAsiaTheme="minorEastAsia" w:cstheme="majorHAnsi"/>
                <w:color w:val="000000"/>
                <w:sz w:val="16"/>
                <w:szCs w:val="18"/>
                <w:vertAlign w:val="superscript"/>
                <w:lang w:eastAsia="en-AU"/>
              </w:rPr>
              <w:t>(a)</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(29 533)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(29 978)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(29 012)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(28 955)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(30 333)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Other payments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(833)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(824)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(810)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(846)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(808)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Total payments</w:t>
            </w:r>
          </w:p>
        </w:tc>
        <w:tc>
          <w:tcPr>
            <w:tcW w:w="850" w:type="dxa"/>
            <w:gridSpan w:val="2"/>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(72 409)</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(72 296)</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(75 046)</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(76 705)</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(78 919)</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cash flows from operating activities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7 077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8 028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4 886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6 192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7 303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Cash flows from investing activities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641"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Cash flows from investments in non-financial assets</w:t>
            </w:r>
          </w:p>
        </w:tc>
        <w:tc>
          <w:tcPr>
            <w:tcW w:w="724"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Purchases of non-financial assets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(13 326)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(12 688)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(11 654)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(9 634)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(8 561)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Sales of non-financial assets</w:t>
            </w:r>
          </w:p>
        </w:tc>
        <w:tc>
          <w:tcPr>
            <w:tcW w:w="850" w:type="dxa"/>
            <w:gridSpan w:val="2"/>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693</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617</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725</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595</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748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cash flows from investments in non-financial assets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(12 632)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(12 071)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(10 928)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(9 038)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(7 814)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cash flows from investments in financial assets for policy purposes</w:t>
            </w:r>
          </w:p>
        </w:tc>
        <w:tc>
          <w:tcPr>
            <w:tcW w:w="850" w:type="dxa"/>
            <w:gridSpan w:val="2"/>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(161)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(147)</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141</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Subtotal</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(12 794)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(12 217)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(10 787)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(9 044)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(7 847)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cash flows from investment in financial assets for liquidity management purposes</w:t>
            </w:r>
          </w:p>
        </w:tc>
        <w:tc>
          <w:tcPr>
            <w:tcW w:w="850" w:type="dxa"/>
            <w:gridSpan w:val="2"/>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1 313</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1 430</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807</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299</w:t>
            </w:r>
          </w:p>
        </w:tc>
        <w:tc>
          <w:tcPr>
            <w:tcW w:w="850" w:type="dxa"/>
            <w:tcBorders>
              <w:top w:val="nil"/>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(964)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cash flows from investing activities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(11 481)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(10 787)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(9 980)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(8 745)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(8 811)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Cash flows from financing activities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Advances received (net)</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(244)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(251)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borrowings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4 892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2 463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5 397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2 744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1 647</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Deposits received (net)</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cash flows from financing activities</w:t>
            </w:r>
          </w:p>
        </w:tc>
        <w:tc>
          <w:tcPr>
            <w:tcW w:w="850" w:type="dxa"/>
            <w:gridSpan w:val="2"/>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4 644</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2 206</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5 444</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2 735</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1 602</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Net increase/(decrease) in cash and cash equivalents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239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(552)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349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182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Pr>
                <w:rFonts w:eastAsiaTheme="minorEastAsia" w:cstheme="majorHAnsi"/>
                <w:b/>
                <w:bCs/>
                <w:color w:val="000000"/>
                <w:sz w:val="16"/>
                <w:szCs w:val="18"/>
                <w:lang w:eastAsia="en-AU"/>
              </w:rPr>
              <w:t>94</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 xml:space="preserve">Cash and cash equivalents at beginning of </w:t>
            </w:r>
            <w:r w:rsidR="00A767A3">
              <w:rPr>
                <w:rFonts w:eastAsiaTheme="minorEastAsia" w:cstheme="majorHAnsi"/>
                <w:color w:val="000000"/>
                <w:sz w:val="16"/>
                <w:szCs w:val="18"/>
                <w:lang w:eastAsia="en-AU"/>
              </w:rPr>
              <w:br/>
            </w:r>
            <w:r w:rsidRPr="00090F94">
              <w:rPr>
                <w:rFonts w:eastAsiaTheme="minorEastAsia" w:cstheme="majorHAnsi"/>
                <w:color w:val="000000"/>
                <w:sz w:val="16"/>
                <w:szCs w:val="18"/>
                <w:lang w:eastAsia="en-AU"/>
              </w:rPr>
              <w:t xml:space="preserve">reporting period </w:t>
            </w:r>
            <w:r w:rsidRPr="00090F94">
              <w:rPr>
                <w:rFonts w:eastAsiaTheme="minorEastAsia" w:cstheme="majorHAnsi"/>
                <w:color w:val="000000"/>
                <w:sz w:val="16"/>
                <w:szCs w:val="18"/>
                <w:vertAlign w:val="superscript"/>
                <w:lang w:eastAsia="en-AU"/>
              </w:rPr>
              <w:t>(b)</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6 494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6 494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5 941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6 291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6 473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 xml:space="preserve">Cash and cash equivalents at end of </w:t>
            </w:r>
            <w:r w:rsidR="00A767A3">
              <w:rPr>
                <w:rFonts w:eastAsiaTheme="minorEastAsia" w:cstheme="majorHAnsi"/>
                <w:b/>
                <w:bCs/>
                <w:color w:val="000000"/>
                <w:sz w:val="16"/>
                <w:szCs w:val="18"/>
                <w:lang w:eastAsia="en-AU"/>
              </w:rPr>
              <w:br/>
            </w:r>
            <w:r w:rsidRPr="00090F94">
              <w:rPr>
                <w:rFonts w:eastAsiaTheme="minorEastAsia" w:cstheme="majorHAnsi"/>
                <w:b/>
                <w:bCs/>
                <w:color w:val="000000"/>
                <w:sz w:val="16"/>
                <w:szCs w:val="18"/>
                <w:lang w:eastAsia="en-AU"/>
              </w:rPr>
              <w:t xml:space="preserve">reporting period </w:t>
            </w:r>
            <w:r w:rsidRPr="00090F94">
              <w:rPr>
                <w:rFonts w:eastAsiaTheme="minorEastAsia" w:cstheme="majorHAnsi"/>
                <w:b/>
                <w:bCs/>
                <w:color w:val="000000"/>
                <w:sz w:val="16"/>
                <w:szCs w:val="18"/>
                <w:vertAlign w:val="superscript"/>
                <w:lang w:eastAsia="en-AU"/>
              </w:rPr>
              <w:t>(b)</w:t>
            </w:r>
          </w:p>
        </w:tc>
        <w:tc>
          <w:tcPr>
            <w:tcW w:w="850" w:type="dxa"/>
            <w:gridSpan w:val="2"/>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6 733</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5 941</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6 291</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6 473</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6 567</w:t>
            </w:r>
          </w:p>
        </w:tc>
      </w:tr>
      <w:tr w:rsidR="004B6846" w:rsidRPr="00090F94" w:rsidTr="00CC0EB7">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lang w:eastAsia="en-AU"/>
              </w:rPr>
            </w:pPr>
            <w:r w:rsidRPr="00090F94">
              <w:rPr>
                <w:rFonts w:eastAsiaTheme="minorEastAsia" w:cstheme="majorHAnsi"/>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b/>
                <w:bCs/>
                <w:color w:val="000000"/>
                <w:sz w:val="16"/>
                <w:szCs w:val="18"/>
                <w:lang w:eastAsia="en-AU"/>
              </w:rPr>
            </w:pPr>
            <w:r w:rsidRPr="00090F94">
              <w:rPr>
                <w:rFonts w:eastAsiaTheme="minorEastAsia" w:cstheme="majorHAnsi"/>
                <w:b/>
                <w:bCs/>
                <w:color w:val="000000"/>
                <w:sz w:val="16"/>
                <w:szCs w:val="18"/>
                <w:lang w:eastAsia="en-AU"/>
              </w:rPr>
              <w:t>FISCAL AGGREGATES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cash flows from operating activities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7 077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8 028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4 886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6 192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7 303</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spacing w:after="0"/>
              <w:rPr>
                <w:rFonts w:eastAsiaTheme="minorEastAsia" w:cstheme="majorHAnsi"/>
                <w:color w:val="000000"/>
                <w:sz w:val="16"/>
                <w:szCs w:val="18"/>
                <w:lang w:eastAsia="en-AU"/>
              </w:rPr>
            </w:pPr>
            <w:r w:rsidRPr="00090F94">
              <w:rPr>
                <w:rFonts w:eastAsiaTheme="minorEastAsia" w:cstheme="majorHAnsi"/>
                <w:color w:val="000000"/>
                <w:sz w:val="16"/>
                <w:szCs w:val="18"/>
                <w:lang w:eastAsia="en-AU"/>
              </w:rPr>
              <w:t>Net cash flows from investments in non-financial assets</w:t>
            </w:r>
          </w:p>
        </w:tc>
        <w:tc>
          <w:tcPr>
            <w:tcW w:w="850" w:type="dxa"/>
            <w:gridSpan w:val="2"/>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(12 632)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(12 071)</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(10 928)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(9 038)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8"/>
                <w:lang w:eastAsia="en-AU"/>
              </w:rPr>
            </w:pPr>
            <w:r>
              <w:rPr>
                <w:rFonts w:eastAsiaTheme="minorEastAsia" w:cstheme="majorHAnsi"/>
                <w:color w:val="000000"/>
                <w:sz w:val="16"/>
                <w:szCs w:val="18"/>
                <w:lang w:eastAsia="en-AU"/>
              </w:rPr>
              <w:t>(7 814)</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rPr>
                <w:rFonts w:eastAsiaTheme="minorEastAsia" w:cstheme="majorHAnsi"/>
                <w:bCs/>
                <w:color w:val="000000"/>
                <w:sz w:val="16"/>
                <w:szCs w:val="18"/>
                <w:lang w:eastAsia="en-AU"/>
              </w:rPr>
            </w:pPr>
            <w:r w:rsidRPr="00090F94">
              <w:rPr>
                <w:rFonts w:eastAsiaTheme="minorEastAsia" w:cstheme="majorHAnsi"/>
                <w:bCs/>
                <w:color w:val="000000"/>
                <w:sz w:val="16"/>
                <w:szCs w:val="18"/>
                <w:lang w:eastAsia="en-AU"/>
              </w:rPr>
              <w:t>Cash surplus/(deficit)</w:t>
            </w:r>
          </w:p>
        </w:tc>
        <w:tc>
          <w:tcPr>
            <w:tcW w:w="850" w:type="dxa"/>
            <w:gridSpan w:val="2"/>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(5 556)</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(4 042)</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(6 042)</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(2 846)</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8"/>
                <w:lang w:eastAsia="en-AU"/>
              </w:rPr>
            </w:pPr>
            <w:r>
              <w:rPr>
                <w:rFonts w:eastAsiaTheme="minorEastAsia" w:cstheme="majorHAnsi"/>
                <w:bCs/>
                <w:color w:val="000000"/>
                <w:sz w:val="16"/>
                <w:szCs w:val="18"/>
                <w:lang w:eastAsia="en-AU"/>
              </w:rPr>
              <w:t>(511)</w:t>
            </w:r>
          </w:p>
        </w:tc>
      </w:tr>
    </w:tbl>
    <w:p w:rsidR="004B6846" w:rsidRDefault="004B6846" w:rsidP="00CC0EB7">
      <w:pPr>
        <w:pStyle w:val="Source"/>
        <w:rPr>
          <w:vertAlign w:val="superscript"/>
        </w:rPr>
      </w:pPr>
      <w:r w:rsidRPr="00907CB9">
        <w:t>Source: Department of Treasury and Finance</w:t>
      </w:r>
    </w:p>
    <w:p w:rsidR="004B6846" w:rsidRPr="00AF04C7" w:rsidRDefault="004B6846" w:rsidP="00CC0EB7">
      <w:pPr>
        <w:pStyle w:val="Note"/>
      </w:pPr>
      <w:r w:rsidRPr="00AF04C7">
        <w:t>Notes:</w:t>
      </w:r>
    </w:p>
    <w:p w:rsidR="004B6846" w:rsidRPr="00AF04C7" w:rsidRDefault="004B6846" w:rsidP="00CC0EB7">
      <w:pPr>
        <w:pStyle w:val="Note"/>
      </w:pPr>
      <w:r w:rsidRPr="00AF04C7">
        <w:t>(a)</w:t>
      </w:r>
      <w:r w:rsidRPr="00AF04C7">
        <w:tab/>
        <w:t>Inclusive of goods and services tax.</w:t>
      </w:r>
    </w:p>
    <w:p w:rsidR="004B6846" w:rsidRPr="00AF04C7" w:rsidRDefault="004B6846" w:rsidP="00CC0EB7">
      <w:pPr>
        <w:pStyle w:val="Note"/>
      </w:pPr>
      <w:r w:rsidRPr="00AF04C7">
        <w:t>(b)</w:t>
      </w:r>
      <w:r w:rsidRPr="00AF04C7">
        <w:tab/>
        <w:t>2018-19 Budget figures have been restated to represent actual opening balances at 1 July 2018.</w:t>
      </w:r>
    </w:p>
    <w:p w:rsidR="004B6846" w:rsidRPr="00090F94" w:rsidRDefault="004B6846" w:rsidP="00CC0EB7">
      <w:pPr>
        <w:pStyle w:val="TableHeading"/>
        <w:rPr>
          <w:bCs/>
          <w:lang w:val="en-US"/>
        </w:rPr>
      </w:pPr>
      <w:r>
        <w:lastRenderedPageBreak/>
        <w:t>Table 5.19</w:t>
      </w:r>
      <w:r>
        <w:tab/>
        <w:t xml:space="preserve">State of Victoria statement of changes in equity for the financial year </w:t>
      </w:r>
      <w:r>
        <w:br/>
        <w:t>ended 30 June</w:t>
      </w:r>
      <w:r>
        <w:tab/>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3357"/>
        <w:gridCol w:w="1134"/>
        <w:gridCol w:w="1560"/>
        <w:gridCol w:w="865"/>
        <w:gridCol w:w="850"/>
      </w:tblGrid>
      <w:tr w:rsidR="004B6846" w:rsidRPr="00090F94" w:rsidTr="00A767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shd w:val="solid" w:color="000000" w:fill="auto"/>
          </w:tcPr>
          <w:p w:rsidR="004B6846" w:rsidRPr="00090F94" w:rsidRDefault="004B6846" w:rsidP="00CC0EB7">
            <w:pPr>
              <w:autoSpaceDE w:val="0"/>
              <w:autoSpaceDN w:val="0"/>
              <w:adjustRightInd w:val="0"/>
              <w:rPr>
                <w:rFonts w:eastAsiaTheme="minorEastAsia" w:cstheme="majorHAnsi"/>
                <w:iCs/>
                <w:color w:val="FFFFFF"/>
                <w:sz w:val="16"/>
                <w:lang w:eastAsia="en-AU"/>
              </w:rPr>
            </w:pPr>
            <w:r w:rsidRPr="00090F94">
              <w:rPr>
                <w:rFonts w:eastAsiaTheme="minorEastAsia" w:cstheme="majorHAnsi"/>
                <w:iCs/>
                <w:color w:val="FFFFFF"/>
                <w:sz w:val="16"/>
                <w:lang w:eastAsia="en-AU"/>
              </w:rPr>
              <w:t xml:space="preserve"> </w:t>
            </w:r>
          </w:p>
        </w:tc>
        <w:tc>
          <w:tcPr>
            <w:tcW w:w="1134" w:type="dxa"/>
            <w:tcBorders>
              <w:top w:val="nil"/>
              <w:left w:val="nil"/>
              <w:bottom w:val="nil"/>
              <w:right w:val="nil"/>
            </w:tcBorders>
            <w:shd w:val="solid" w:color="000000" w:fill="auto"/>
          </w:tcPr>
          <w:p w:rsidR="004B6846" w:rsidRPr="00090F9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090F94">
              <w:rPr>
                <w:rFonts w:eastAsiaTheme="minorEastAsia" w:cstheme="majorHAnsi"/>
                <w:iCs/>
                <w:color w:val="FFFFFF"/>
                <w:sz w:val="16"/>
                <w:szCs w:val="16"/>
                <w:lang w:eastAsia="en-AU"/>
              </w:rPr>
              <w:t>Accumulated surplus/(deficit)</w:t>
            </w:r>
          </w:p>
        </w:tc>
        <w:tc>
          <w:tcPr>
            <w:tcW w:w="1560" w:type="dxa"/>
            <w:tcBorders>
              <w:top w:val="nil"/>
              <w:left w:val="nil"/>
              <w:bottom w:val="nil"/>
              <w:right w:val="nil"/>
            </w:tcBorders>
            <w:shd w:val="solid" w:color="000000" w:fill="auto"/>
          </w:tcPr>
          <w:p w:rsidR="004B6846" w:rsidRPr="00090F9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090F94">
              <w:rPr>
                <w:rFonts w:eastAsiaTheme="minorEastAsia" w:cstheme="majorHAnsi"/>
                <w:iCs/>
                <w:color w:val="FFFFFF"/>
                <w:sz w:val="16"/>
                <w:szCs w:val="16"/>
                <w:lang w:eastAsia="en-AU"/>
              </w:rPr>
              <w:t>Non-financial assets revaluation surplus</w:t>
            </w:r>
          </w:p>
        </w:tc>
        <w:tc>
          <w:tcPr>
            <w:tcW w:w="865" w:type="dxa"/>
            <w:tcBorders>
              <w:top w:val="nil"/>
              <w:left w:val="nil"/>
              <w:bottom w:val="nil"/>
              <w:right w:val="nil"/>
            </w:tcBorders>
            <w:shd w:val="solid" w:color="000000" w:fill="auto"/>
          </w:tcPr>
          <w:p w:rsidR="004B6846" w:rsidRPr="00090F9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090F94">
              <w:rPr>
                <w:rFonts w:eastAsiaTheme="minorEastAsia" w:cstheme="majorHAnsi"/>
                <w:iCs/>
                <w:color w:val="FFFFFF"/>
                <w:sz w:val="16"/>
                <w:szCs w:val="16"/>
                <w:lang w:eastAsia="en-AU"/>
              </w:rPr>
              <w:t>Other reserves</w:t>
            </w:r>
          </w:p>
        </w:tc>
        <w:tc>
          <w:tcPr>
            <w:tcW w:w="850" w:type="dxa"/>
            <w:tcBorders>
              <w:top w:val="nil"/>
              <w:left w:val="nil"/>
              <w:bottom w:val="nil"/>
              <w:right w:val="nil"/>
            </w:tcBorders>
            <w:shd w:val="solid" w:color="000000" w:fill="auto"/>
          </w:tcPr>
          <w:p w:rsidR="004B6846" w:rsidRPr="00090F94"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090F94">
              <w:rPr>
                <w:rFonts w:eastAsiaTheme="minorEastAsia" w:cstheme="majorHAnsi"/>
                <w:iCs/>
                <w:color w:val="FFFFFF"/>
                <w:sz w:val="16"/>
                <w:szCs w:val="16"/>
                <w:lang w:eastAsia="en-AU"/>
              </w:rPr>
              <w:t>Total</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 xml:space="preserve">2018-19 budget </w:t>
            </w:r>
            <w:r w:rsidRPr="00090F94">
              <w:rPr>
                <w:rFonts w:eastAsiaTheme="minorEastAsia" w:cstheme="majorHAnsi"/>
                <w:b/>
                <w:bCs/>
                <w:color w:val="000000"/>
                <w:sz w:val="16"/>
                <w:szCs w:val="16"/>
                <w:vertAlign w:val="superscript"/>
                <w:lang w:eastAsia="en-AU"/>
              </w:rPr>
              <w:t>(a)</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Balance at 1 July 2018</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78 125</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108 122</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1 694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187 941</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Net result for the year</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(491)</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(491)</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 xml:space="preserve">Other comprehensive income for the year </w:t>
            </w:r>
            <w:r w:rsidRPr="00090F94">
              <w:rPr>
                <w:rFonts w:eastAsiaTheme="minorEastAsia" w:cstheme="majorHAnsi"/>
                <w:color w:val="000000"/>
                <w:sz w:val="16"/>
                <w:szCs w:val="16"/>
                <w:vertAlign w:val="superscript"/>
                <w:lang w:eastAsia="en-AU"/>
              </w:rPr>
              <w:t>(b)</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978</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1 504</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26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2 508</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Total equity as at 30 June 2019</w:t>
            </w:r>
          </w:p>
        </w:tc>
        <w:tc>
          <w:tcPr>
            <w:tcW w:w="113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78 611</w:t>
            </w:r>
          </w:p>
        </w:tc>
        <w:tc>
          <w:tcPr>
            <w:tcW w:w="156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109 626</w:t>
            </w:r>
          </w:p>
        </w:tc>
        <w:tc>
          <w:tcPr>
            <w:tcW w:w="86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1 720</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189 957</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2018-19 revised</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Balance at 1 July 2018</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78 125</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108 122</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1 694</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187 941</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Net result for the year</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598</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598</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Other comprehensive income for the year</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1 952</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3 485</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12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5 449</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Total equity as at 30 June 2019</w:t>
            </w:r>
          </w:p>
        </w:tc>
        <w:tc>
          <w:tcPr>
            <w:tcW w:w="113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80 675</w:t>
            </w:r>
          </w:p>
        </w:tc>
        <w:tc>
          <w:tcPr>
            <w:tcW w:w="156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111 607</w:t>
            </w:r>
          </w:p>
        </w:tc>
        <w:tc>
          <w:tcPr>
            <w:tcW w:w="86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1 706</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193 988</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2019-20 estimate</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Balance at 1 July 2019</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80 675</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111 607</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1 706</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193 988</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Net result for the year</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53</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53</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Other comprehensive income for the year</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1 034</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8 668</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33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9 736</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Total equity as at 30 June 2020</w:t>
            </w:r>
          </w:p>
        </w:tc>
        <w:tc>
          <w:tcPr>
            <w:tcW w:w="113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81 762</w:t>
            </w:r>
          </w:p>
        </w:tc>
        <w:tc>
          <w:tcPr>
            <w:tcW w:w="156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120 276</w:t>
            </w:r>
          </w:p>
        </w:tc>
        <w:tc>
          <w:tcPr>
            <w:tcW w:w="86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1 739</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203 776</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2020-21 estimate</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Balance at 1 July 2020</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81 762</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120 276</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1 739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203 776</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Net result for the year</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1 369</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1 369</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Other comprehensive income for the year</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1 052</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2 748</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3 803</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Total equity as at 30 June 2021</w:t>
            </w:r>
          </w:p>
        </w:tc>
        <w:tc>
          <w:tcPr>
            <w:tcW w:w="1134"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84 182</w:t>
            </w:r>
          </w:p>
        </w:tc>
        <w:tc>
          <w:tcPr>
            <w:tcW w:w="156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123 024</w:t>
            </w:r>
          </w:p>
        </w:tc>
        <w:tc>
          <w:tcPr>
            <w:tcW w:w="865"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1 742</w:t>
            </w:r>
          </w:p>
        </w:tc>
        <w:tc>
          <w:tcPr>
            <w:tcW w:w="850" w:type="dxa"/>
            <w:tcBorders>
              <w:top w:val="single" w:sz="6" w:space="0" w:color="000000"/>
              <w:left w:val="nil"/>
              <w:bottom w:val="single" w:sz="6" w:space="0" w:color="000000"/>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208 948</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b/>
                <w:bCs/>
                <w:color w:val="000000"/>
                <w:sz w:val="16"/>
                <w:szCs w:val="16"/>
                <w:lang w:eastAsia="en-AU"/>
              </w:rPr>
            </w:pPr>
            <w:r w:rsidRPr="00090F94">
              <w:rPr>
                <w:rFonts w:eastAsiaTheme="minorEastAsia" w:cstheme="majorHAnsi"/>
                <w:b/>
                <w:bCs/>
                <w:color w:val="000000"/>
                <w:sz w:val="16"/>
                <w:szCs w:val="16"/>
                <w:lang w:eastAsia="en-AU"/>
              </w:rPr>
              <w:t>2021-22 estimate</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lang w:eastAsia="en-AU"/>
              </w:rPr>
            </w:pPr>
            <w:r w:rsidRPr="00090F94">
              <w:rPr>
                <w:rFonts w:eastAsiaTheme="minorEastAsia" w:cstheme="majorHAnsi"/>
                <w:b/>
                <w:bCs/>
                <w:color w:val="000000"/>
                <w:sz w:val="16"/>
                <w:lang w:eastAsia="en-AU"/>
              </w:rPr>
              <w:t xml:space="preserve"> </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Balance at 1 July 2021</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84 182</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123 024</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1 742</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208 948</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Net result for the year</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1 364</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1 364</w:t>
            </w:r>
          </w:p>
        </w:tc>
      </w:tr>
      <w:tr w:rsidR="004B6846" w:rsidRPr="00090F94" w:rsidTr="00A767A3">
        <w:tc>
          <w:tcPr>
            <w:cnfStyle w:val="001000000000" w:firstRow="0" w:lastRow="0" w:firstColumn="1" w:lastColumn="0" w:oddVBand="0" w:evenVBand="0" w:oddHBand="0" w:evenHBand="0" w:firstRowFirstColumn="0" w:firstRowLastColumn="0" w:lastRowFirstColumn="0" w:lastRowLastColumn="0"/>
            <w:tcW w:w="3357"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Other comprehensive income for the year</w:t>
            </w:r>
          </w:p>
        </w:tc>
        <w:tc>
          <w:tcPr>
            <w:tcW w:w="1134"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1 088</w:t>
            </w:r>
          </w:p>
        </w:tc>
        <w:tc>
          <w:tcPr>
            <w:tcW w:w="156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3 804</w:t>
            </w:r>
          </w:p>
        </w:tc>
        <w:tc>
          <w:tcPr>
            <w:tcW w:w="865"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Pr>
                <w:rFonts w:eastAsiaTheme="minorEastAsia" w:cstheme="majorHAnsi"/>
                <w:color w:val="000000"/>
                <w:sz w:val="16"/>
                <w:szCs w:val="16"/>
                <w:lang w:eastAsia="en-AU"/>
              </w:rPr>
              <w:t>23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90F94">
              <w:rPr>
                <w:rFonts w:eastAsiaTheme="minorEastAsia" w:cstheme="majorHAnsi"/>
                <w:color w:val="000000"/>
                <w:sz w:val="16"/>
                <w:szCs w:val="16"/>
                <w:lang w:eastAsia="en-AU"/>
              </w:rPr>
              <w:t>4 914</w:t>
            </w:r>
          </w:p>
        </w:tc>
      </w:tr>
      <w:tr w:rsidR="004B6846" w:rsidRPr="00090F94" w:rsidTr="00A767A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7"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rPr>
                <w:rFonts w:eastAsiaTheme="minorEastAsia" w:cstheme="majorHAnsi"/>
                <w:bCs/>
                <w:color w:val="000000"/>
                <w:sz w:val="16"/>
                <w:szCs w:val="16"/>
                <w:lang w:eastAsia="en-AU"/>
              </w:rPr>
            </w:pPr>
            <w:r w:rsidRPr="00090F94">
              <w:rPr>
                <w:rFonts w:eastAsiaTheme="minorEastAsia" w:cstheme="majorHAnsi"/>
                <w:bCs/>
                <w:color w:val="000000"/>
                <w:sz w:val="16"/>
                <w:szCs w:val="16"/>
                <w:lang w:eastAsia="en-AU"/>
              </w:rPr>
              <w:t>Total equity as at 30 June 2022</w:t>
            </w:r>
          </w:p>
        </w:tc>
        <w:tc>
          <w:tcPr>
            <w:tcW w:w="1134"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90F94">
              <w:rPr>
                <w:rFonts w:eastAsiaTheme="minorEastAsia" w:cstheme="majorHAnsi"/>
                <w:bCs/>
                <w:color w:val="000000"/>
                <w:sz w:val="16"/>
                <w:szCs w:val="16"/>
                <w:lang w:eastAsia="en-AU"/>
              </w:rPr>
              <w:t>86 634</w:t>
            </w:r>
          </w:p>
        </w:tc>
        <w:tc>
          <w:tcPr>
            <w:tcW w:w="156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90F94">
              <w:rPr>
                <w:rFonts w:eastAsiaTheme="minorEastAsia" w:cstheme="majorHAnsi"/>
                <w:bCs/>
                <w:color w:val="000000"/>
                <w:sz w:val="16"/>
                <w:szCs w:val="16"/>
                <w:lang w:eastAsia="en-AU"/>
              </w:rPr>
              <w:t>126 827</w:t>
            </w:r>
          </w:p>
        </w:tc>
        <w:tc>
          <w:tcPr>
            <w:tcW w:w="865"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90F94">
              <w:rPr>
                <w:rFonts w:eastAsiaTheme="minorEastAsia" w:cstheme="majorHAnsi"/>
                <w:bCs/>
                <w:color w:val="000000"/>
                <w:sz w:val="16"/>
                <w:szCs w:val="16"/>
                <w:lang w:eastAsia="en-AU"/>
              </w:rPr>
              <w:t>1 766</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90F94">
              <w:rPr>
                <w:rFonts w:eastAsiaTheme="minorEastAsia" w:cstheme="majorHAnsi"/>
                <w:bCs/>
                <w:color w:val="000000"/>
                <w:sz w:val="16"/>
                <w:szCs w:val="16"/>
                <w:lang w:eastAsia="en-AU"/>
              </w:rPr>
              <w:t>215 227</w:t>
            </w:r>
          </w:p>
        </w:tc>
      </w:tr>
    </w:tbl>
    <w:p w:rsidR="004B6846" w:rsidRPr="00203144" w:rsidRDefault="004B6846" w:rsidP="00CC0EB7">
      <w:pPr>
        <w:pStyle w:val="Source"/>
      </w:pPr>
      <w:r w:rsidRPr="00203144">
        <w:t>Source: Department of Treasury and Finance</w:t>
      </w:r>
    </w:p>
    <w:p w:rsidR="004B6846" w:rsidRPr="00AF04C7" w:rsidRDefault="004B6846" w:rsidP="00CC0EB7">
      <w:pPr>
        <w:pStyle w:val="Note"/>
      </w:pPr>
      <w:r w:rsidRPr="00AF04C7">
        <w:t>Note</w:t>
      </w:r>
      <w:r>
        <w:t>s</w:t>
      </w:r>
      <w:r w:rsidRPr="00AF04C7">
        <w:t>:</w:t>
      </w:r>
    </w:p>
    <w:p w:rsidR="004B6846" w:rsidRPr="00AF04C7" w:rsidRDefault="004B6846" w:rsidP="00CC0EB7">
      <w:pPr>
        <w:pStyle w:val="Note"/>
      </w:pPr>
      <w:r w:rsidRPr="00AF04C7">
        <w:t>(a)</w:t>
      </w:r>
      <w:r w:rsidRPr="00AF04C7">
        <w:tab/>
        <w:t>Balances represent actual opening balances at 1 July 2018 plus 2018-19 budgeted movements.</w:t>
      </w:r>
    </w:p>
    <w:p w:rsidR="004B6846" w:rsidRPr="006E4D7E" w:rsidRDefault="004B6846" w:rsidP="00CC0EB7">
      <w:pPr>
        <w:pStyle w:val="Note"/>
      </w:pPr>
      <w:r w:rsidRPr="006E4D7E">
        <w:t>(b)</w:t>
      </w:r>
      <w:r w:rsidRPr="006E4D7E">
        <w:tab/>
      </w:r>
      <w:r w:rsidRPr="00D51820">
        <w:rPr>
          <w:i w:val="0"/>
        </w:rPr>
        <w:t>2018-19 Budget</w:t>
      </w:r>
      <w:r w:rsidRPr="006E4D7E">
        <w:t xml:space="preserve"> figures have been updated to reflect more current information.</w:t>
      </w:r>
    </w:p>
    <w:p w:rsidR="004B6846" w:rsidRPr="009A256A" w:rsidRDefault="004B6846" w:rsidP="00CC0EB7">
      <w:pPr>
        <w:pStyle w:val="Note"/>
        <w:rPr>
          <w:rFonts w:cs="Times New Roman"/>
          <w:lang w:eastAsia="en-AU"/>
        </w:rPr>
      </w:pPr>
    </w:p>
    <w:p w:rsidR="004B6846" w:rsidRPr="00DB4F3B" w:rsidRDefault="004B6846" w:rsidP="00CC0EB7">
      <w:pPr>
        <w:keepLines w:val="0"/>
      </w:pPr>
      <w:r>
        <w:br w:type="page"/>
      </w:r>
    </w:p>
    <w:p w:rsidR="004B6846" w:rsidRPr="00090F94" w:rsidRDefault="004B6846" w:rsidP="00CC0EB7">
      <w:pPr>
        <w:pStyle w:val="TableHeading"/>
        <w:rPr>
          <w:bCs/>
          <w:lang w:val="en-US"/>
        </w:rPr>
      </w:pPr>
      <w:r>
        <w:lastRenderedPageBreak/>
        <w:t>Table 5.20</w:t>
      </w:r>
      <w:r>
        <w:tab/>
        <w:t>Net acquisition of non-financial assets – State of Victoria</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CC0EB7" w:rsidRPr="00090F94"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C0EB7" w:rsidRPr="00090F94" w:rsidRDefault="00CC0EB7" w:rsidP="00CC0EB7">
            <w:pPr>
              <w:autoSpaceDE w:val="0"/>
              <w:autoSpaceDN w:val="0"/>
              <w:adjustRightInd w:val="0"/>
              <w:rPr>
                <w:rFonts w:eastAsiaTheme="minorEastAsia" w:cstheme="majorHAnsi"/>
                <w:iCs/>
                <w:color w:val="FFFFFF"/>
                <w:lang w:eastAsia="en-AU"/>
              </w:rPr>
            </w:pPr>
            <w:r w:rsidRPr="00090F94">
              <w:rPr>
                <w:rFonts w:eastAsiaTheme="minorEastAsia" w:cstheme="majorHAnsi"/>
                <w:iCs/>
                <w:color w:val="FFFFFF"/>
                <w:lang w:eastAsia="en-AU"/>
              </w:rPr>
              <w:t xml:space="preserve">  </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budget</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revised</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2019-20</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2020-21</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c>
          <w:tcPr>
            <w:tcW w:w="850" w:type="dxa"/>
            <w:tcBorders>
              <w:top w:val="nil"/>
              <w:left w:val="nil"/>
              <w:right w:val="nil"/>
            </w:tcBorders>
            <w:shd w:val="solid" w:color="000000" w:fill="auto"/>
          </w:tcPr>
          <w:p w:rsidR="00CC0EB7" w:rsidRPr="00090F94"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090F94">
              <w:rPr>
                <w:rFonts w:eastAsiaTheme="minorEastAsia" w:cstheme="majorHAnsi"/>
                <w:iCs/>
                <w:color w:val="FFFFFF"/>
                <w:szCs w:val="18"/>
                <w:lang w:eastAsia="en-AU"/>
              </w:rPr>
              <w:t>2021-22</w:t>
            </w:r>
            <w:r>
              <w:rPr>
                <w:rFonts w:eastAsiaTheme="minorEastAsia" w:cstheme="majorHAnsi"/>
                <w:iCs/>
                <w:color w:val="FFFFFF"/>
                <w:szCs w:val="18"/>
                <w:lang w:eastAsia="en-AU"/>
              </w:rPr>
              <w:br/>
            </w:r>
            <w:r w:rsidRPr="00090F94">
              <w:rPr>
                <w:rFonts w:eastAsiaTheme="minorEastAsia" w:cstheme="majorHAnsi"/>
                <w:iCs/>
                <w:color w:val="FFFFFF"/>
                <w:szCs w:val="18"/>
                <w:lang w:eastAsia="en-AU"/>
              </w:rPr>
              <w:t>estimate</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 xml:space="preserve">Purchases of non-financial assets </w:t>
            </w:r>
            <w:r w:rsidR="00065FD3">
              <w:rPr>
                <w:rFonts w:eastAsiaTheme="minorEastAsia" w:cstheme="majorHAnsi"/>
                <w:color w:val="000000"/>
                <w:szCs w:val="18"/>
                <w:lang w:eastAsia="en-AU"/>
              </w:rPr>
              <w:br/>
            </w:r>
            <w:r w:rsidRPr="00090F94">
              <w:rPr>
                <w:rFonts w:eastAsiaTheme="minorEastAsia" w:cstheme="majorHAnsi"/>
                <w:color w:val="000000"/>
                <w:szCs w:val="18"/>
                <w:lang w:eastAsia="en-AU"/>
              </w:rPr>
              <w:t>(including change in inventories)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13 329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12 679</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11 658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9 638</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8 566</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Less: Sales of non-financial assets</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(693)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(617)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(725)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(595)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(748)</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Less: Depreciation and amortisation</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(5 253)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(5 315)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(5 540)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(6 025)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(6 371)</w:t>
            </w:r>
          </w:p>
        </w:tc>
      </w:tr>
      <w:tr w:rsidR="004B6846" w:rsidRPr="00090F94"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090F94" w:rsidRDefault="004B6846" w:rsidP="00CC0EB7">
            <w:pPr>
              <w:keepLines w:val="0"/>
              <w:autoSpaceDE w:val="0"/>
              <w:autoSpaceDN w:val="0"/>
              <w:adjustRightInd w:val="0"/>
              <w:rPr>
                <w:rFonts w:eastAsiaTheme="minorEastAsia" w:cstheme="majorHAnsi"/>
                <w:color w:val="000000"/>
                <w:szCs w:val="18"/>
                <w:lang w:eastAsia="en-AU"/>
              </w:rPr>
            </w:pPr>
            <w:r w:rsidRPr="00090F94">
              <w:rPr>
                <w:rFonts w:eastAsiaTheme="minorEastAsia" w:cstheme="majorHAnsi"/>
                <w:color w:val="000000"/>
                <w:szCs w:val="18"/>
                <w:lang w:eastAsia="en-AU"/>
              </w:rPr>
              <w:t xml:space="preserve">Plus: Other movements in non-financial assets </w:t>
            </w:r>
            <w:r w:rsidRPr="00090F94">
              <w:rPr>
                <w:rFonts w:eastAsiaTheme="minorEastAsia" w:cstheme="majorHAnsi"/>
                <w:color w:val="000000"/>
                <w:szCs w:val="18"/>
                <w:vertAlign w:val="superscript"/>
                <w:lang w:eastAsia="en-AU"/>
              </w:rPr>
              <w:t>(a)</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733</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970</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2 427</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2 335</w:t>
            </w:r>
          </w:p>
        </w:tc>
        <w:tc>
          <w:tcPr>
            <w:tcW w:w="850" w:type="dxa"/>
            <w:tcBorders>
              <w:top w:val="nil"/>
              <w:left w:val="nil"/>
              <w:bottom w:val="nil"/>
              <w:right w:val="nil"/>
            </w:tcBorders>
          </w:tcPr>
          <w:p w:rsidR="004B6846" w:rsidRPr="00090F94"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090F94">
              <w:rPr>
                <w:rFonts w:eastAsiaTheme="minorEastAsia" w:cstheme="majorHAnsi"/>
                <w:color w:val="000000"/>
                <w:szCs w:val="18"/>
                <w:lang w:eastAsia="en-AU"/>
              </w:rPr>
              <w:t>1 515</w:t>
            </w:r>
          </w:p>
        </w:tc>
      </w:tr>
      <w:tr w:rsidR="004B6846" w:rsidRPr="00090F94"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rPr>
                <w:rFonts w:eastAsiaTheme="minorEastAsia" w:cstheme="majorHAnsi"/>
                <w:bCs/>
                <w:color w:val="000000"/>
                <w:szCs w:val="16"/>
                <w:lang w:eastAsia="en-AU"/>
              </w:rPr>
            </w:pPr>
            <w:r w:rsidRPr="00090F94">
              <w:rPr>
                <w:rFonts w:eastAsiaTheme="minorEastAsia" w:cstheme="majorHAnsi"/>
                <w:bCs/>
                <w:color w:val="000000"/>
                <w:szCs w:val="16"/>
                <w:lang w:eastAsia="en-AU"/>
              </w:rPr>
              <w:t>Total net acquisition of non-financial assets from transactions</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090F94">
              <w:rPr>
                <w:rFonts w:eastAsiaTheme="minorEastAsia" w:cstheme="majorHAnsi"/>
                <w:bCs/>
                <w:color w:val="000000"/>
                <w:szCs w:val="18"/>
                <w:lang w:eastAsia="en-AU"/>
              </w:rPr>
              <w:t>8 117</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090F94">
              <w:rPr>
                <w:rFonts w:eastAsiaTheme="minorEastAsia" w:cstheme="majorHAnsi"/>
                <w:bCs/>
                <w:color w:val="000000"/>
                <w:szCs w:val="18"/>
                <w:lang w:eastAsia="en-AU"/>
              </w:rPr>
              <w:t>7 716</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090F94">
              <w:rPr>
                <w:rFonts w:eastAsiaTheme="minorEastAsia" w:cstheme="majorHAnsi"/>
                <w:bCs/>
                <w:color w:val="000000"/>
                <w:szCs w:val="18"/>
                <w:lang w:eastAsia="en-AU"/>
              </w:rPr>
              <w:t>7 820</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090F94">
              <w:rPr>
                <w:rFonts w:eastAsiaTheme="minorEastAsia" w:cstheme="majorHAnsi"/>
                <w:bCs/>
                <w:color w:val="000000"/>
                <w:szCs w:val="18"/>
                <w:lang w:eastAsia="en-AU"/>
              </w:rPr>
              <w:t>5 353</w:t>
            </w:r>
          </w:p>
        </w:tc>
        <w:tc>
          <w:tcPr>
            <w:tcW w:w="850" w:type="dxa"/>
            <w:tcBorders>
              <w:top w:val="single" w:sz="6" w:space="0" w:color="000000"/>
              <w:bottom w:val="single" w:sz="12" w:space="0" w:color="000000"/>
            </w:tcBorders>
          </w:tcPr>
          <w:p w:rsidR="004B6846" w:rsidRPr="00090F94"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090F94">
              <w:rPr>
                <w:rFonts w:eastAsiaTheme="minorEastAsia" w:cstheme="majorHAnsi"/>
                <w:bCs/>
                <w:color w:val="000000"/>
                <w:szCs w:val="18"/>
                <w:lang w:eastAsia="en-AU"/>
              </w:rPr>
              <w:t>2 962</w:t>
            </w:r>
          </w:p>
        </w:tc>
      </w:tr>
    </w:tbl>
    <w:p w:rsidR="004B6846" w:rsidRPr="006E4D7E" w:rsidRDefault="004B6846" w:rsidP="00CC0EB7">
      <w:pPr>
        <w:pStyle w:val="Source"/>
      </w:pPr>
      <w:r w:rsidRPr="006E4D7E">
        <w:t>Source: Department of Treasury and Finance</w:t>
      </w:r>
    </w:p>
    <w:p w:rsidR="004B6846" w:rsidRPr="00AF04C7" w:rsidRDefault="004B6846" w:rsidP="00CC0EB7">
      <w:pPr>
        <w:pStyle w:val="Note"/>
      </w:pPr>
      <w:r>
        <w:t>Note</w:t>
      </w:r>
      <w:r w:rsidRPr="00AF04C7">
        <w:t>:</w:t>
      </w:r>
    </w:p>
    <w:p w:rsidR="004B6846" w:rsidRPr="00995E6E" w:rsidRDefault="004B6846" w:rsidP="00CC0EB7">
      <w:pPr>
        <w:pStyle w:val="Note"/>
      </w:pPr>
      <w:r w:rsidRPr="00AF04C7">
        <w:t>(a)</w:t>
      </w:r>
      <w:r w:rsidRPr="00AF04C7">
        <w:tab/>
      </w:r>
      <w:r w:rsidRPr="00ED79CB">
        <w:rPr>
          <w:rFonts w:cs="Times New Roman"/>
          <w:lang w:eastAsia="en-AU"/>
        </w:rPr>
        <w:t xml:space="preserve">The other movements in non-financial assets </w:t>
      </w:r>
      <w:r>
        <w:rPr>
          <w:rFonts w:cs="Times New Roman"/>
          <w:lang w:eastAsia="en-AU"/>
        </w:rPr>
        <w:t xml:space="preserve">across the forward estimates </w:t>
      </w:r>
      <w:r w:rsidRPr="00ED79CB">
        <w:rPr>
          <w:rFonts w:cs="Times New Roman"/>
          <w:lang w:eastAsia="en-AU"/>
        </w:rPr>
        <w:t>predominantly relates</w:t>
      </w:r>
      <w:r>
        <w:rPr>
          <w:rFonts w:cs="Times New Roman"/>
          <w:lang w:eastAsia="en-AU"/>
        </w:rPr>
        <w:t xml:space="preserve"> to finance leases for</w:t>
      </w:r>
      <w:r>
        <w:t xml:space="preserve"> </w:t>
      </w:r>
      <w:r w:rsidRPr="00C203E5">
        <w:t>the</w:t>
      </w:r>
      <w:r>
        <w:t xml:space="preserve"> High Capacity Metro Trains</w:t>
      </w:r>
      <w:r w:rsidRPr="00C203E5">
        <w:t xml:space="preserve"> Project, the </w:t>
      </w:r>
      <w:r>
        <w:t>Western Roads Upgrade,</w:t>
      </w:r>
      <w:r w:rsidRPr="00C203E5">
        <w:t xml:space="preserve"> </w:t>
      </w:r>
      <w:r>
        <w:t>the</w:t>
      </w:r>
      <w:r w:rsidRPr="00C203E5">
        <w:t xml:space="preserve"> </w:t>
      </w:r>
      <w:r>
        <w:t>Casey Hospital E</w:t>
      </w:r>
      <w:r w:rsidRPr="00C203E5">
        <w:t>xpansion</w:t>
      </w:r>
      <w:r>
        <w:t>, the Northern Roads Upgrade and the</w:t>
      </w:r>
      <w:r w:rsidRPr="00C203E5">
        <w:t xml:space="preserve"> South Eastern Roads Upgrade.</w:t>
      </w:r>
    </w:p>
    <w:p w:rsidR="004B6846" w:rsidRPr="00AF04C7" w:rsidRDefault="004B6846" w:rsidP="00CC0EB7">
      <w:pPr>
        <w:pStyle w:val="Note"/>
      </w:pPr>
    </w:p>
    <w:p w:rsidR="004B6846" w:rsidRDefault="004B6846">
      <w:pPr>
        <w:keepLines w:val="0"/>
      </w:pPr>
      <w:r>
        <w:br w:type="page"/>
      </w:r>
    </w:p>
    <w:p w:rsidR="004B6846" w:rsidRPr="00526B0B" w:rsidRDefault="004B6846" w:rsidP="00CC0EB7">
      <w:pPr>
        <w:jc w:val="center"/>
        <w:rPr>
          <w:rFonts w:eastAsia="Times New Roman" w:cs="Times New Roman"/>
        </w:rPr>
      </w:pPr>
    </w:p>
    <w:p w:rsidR="004B6846" w:rsidRPr="00526B0B" w:rsidRDefault="004B6846" w:rsidP="00CC0EB7">
      <w:pPr>
        <w:jc w:val="center"/>
        <w:rPr>
          <w:rFonts w:eastAsia="Times New Roman" w:cs="Times New Roman"/>
        </w:rPr>
      </w:pPr>
    </w:p>
    <w:p w:rsidR="004B6846" w:rsidRPr="00526B0B" w:rsidRDefault="004B6846" w:rsidP="00CC0EB7">
      <w:pPr>
        <w:jc w:val="center"/>
        <w:rPr>
          <w:rFonts w:eastAsia="Times New Roman" w:cs="Times New Roman"/>
        </w:rPr>
      </w:pPr>
    </w:p>
    <w:p w:rsidR="004B6846" w:rsidRDefault="004B6846" w:rsidP="00CC0EB7"/>
    <w:p w:rsidR="004B6846" w:rsidRDefault="004B6846" w:rsidP="004B6846">
      <w:pPr>
        <w:pStyle w:val="Heading10"/>
        <w:sectPr w:rsidR="004B6846" w:rsidSect="00CC0EB7">
          <w:footerReference w:type="even" r:id="rId63"/>
          <w:footerReference w:type="default" r:id="rId64"/>
          <w:type w:val="oddPage"/>
          <w:pgSz w:w="9979" w:h="14175" w:code="9"/>
          <w:pgMar w:top="850" w:right="1134" w:bottom="850" w:left="1134" w:header="624" w:footer="567" w:gutter="0"/>
          <w:cols w:space="567"/>
          <w:titlePg/>
          <w:docGrid w:linePitch="360"/>
        </w:sectPr>
      </w:pPr>
    </w:p>
    <w:p w:rsidR="004B6846" w:rsidRDefault="004B6846" w:rsidP="00CC0EB7">
      <w:pPr>
        <w:pStyle w:val="Chapterheading"/>
      </w:pPr>
      <w:bookmarkStart w:id="88" w:name="_Toc531884961"/>
      <w:bookmarkStart w:id="89" w:name="_Toc500179543"/>
      <w:r>
        <w:lastRenderedPageBreak/>
        <w:t>Chapter 6 – Contingent assets and contingent liabilities</w:t>
      </w:r>
      <w:bookmarkEnd w:id="88"/>
    </w:p>
    <w:bookmarkEnd w:id="89"/>
    <w:p w:rsidR="004B6846" w:rsidRDefault="004B6846" w:rsidP="00CC0EB7">
      <w:r>
        <w:t>This chapter contains information on contingent assets and liabilities for the general government sector and should be read in conjunction with Chapter 4</w:t>
      </w:r>
      <w:r w:rsidRPr="00EB7792">
        <w:t>.</w:t>
      </w:r>
    </w:p>
    <w:p w:rsidR="004B6846" w:rsidRDefault="004B6846" w:rsidP="00CC0EB7">
      <w:r>
        <w:t>Contingent assets and contingent liabilities are not recognised in the balance sheet but are disclosed and, if quantifiable, are measured at nominal value.</w:t>
      </w:r>
    </w:p>
    <w:p w:rsidR="004B6846" w:rsidRDefault="004B6846" w:rsidP="00CC0EB7">
      <w:r>
        <w:t>Contingent assets and liabilities are presented inclusive of GST receivable or payable respectively.</w:t>
      </w:r>
    </w:p>
    <w:p w:rsidR="004B6846" w:rsidRDefault="004B6846" w:rsidP="00CC0EB7">
      <w:pPr>
        <w:pStyle w:val="Heading10"/>
      </w:pPr>
      <w:bookmarkStart w:id="90" w:name="_Toc531884962"/>
      <w:r>
        <w:t>Contingent assets</w:t>
      </w:r>
      <w:bookmarkEnd w:id="90"/>
    </w:p>
    <w:p w:rsidR="004B6846" w:rsidRDefault="004B6846" w:rsidP="00CC0EB7">
      <w:r>
        <w:t>Contingent assets are possible assets that arise from past events, whose existence will be confirmed only by the occurrence or non-occurrence of one or more uncertain future events not wholly within the control of the entity.</w:t>
      </w:r>
    </w:p>
    <w:p w:rsidR="004B6846" w:rsidRDefault="004B6846" w:rsidP="00CC0EB7">
      <w:r>
        <w:t>These are classified as either quantifiable, where the potential economic benefit is known, or non</w:t>
      </w:r>
      <w:r>
        <w:noBreakHyphen/>
        <w:t xml:space="preserve">quantifiable. </w:t>
      </w:r>
    </w:p>
    <w:p w:rsidR="004B6846" w:rsidRDefault="004B6846" w:rsidP="00CC0EB7">
      <w:r>
        <w:t>Table 6</w:t>
      </w:r>
      <w:r w:rsidRPr="005B299A">
        <w:t xml:space="preserve">.1 contains quantifiable contingent assets as at </w:t>
      </w:r>
      <w:r>
        <w:t>30</w:t>
      </w:r>
      <w:r w:rsidRPr="00F56B7E">
        <w:t xml:space="preserve"> November 2018</w:t>
      </w:r>
      <w:r>
        <w:t xml:space="preserve"> (arising from outside of government).</w:t>
      </w:r>
    </w:p>
    <w:p w:rsidR="004B6846" w:rsidRPr="00BA3D25" w:rsidRDefault="004B6846" w:rsidP="00CC0EB7">
      <w:pPr>
        <w:pStyle w:val="TableHeading"/>
        <w:rPr>
          <w:bCs/>
          <w:lang w:val="en-US"/>
        </w:rPr>
      </w:pPr>
      <w:r>
        <w:t>Table 6.1:</w:t>
      </w:r>
      <w:r>
        <w:tab/>
        <w:t xml:space="preserve">Quantifiable contingent assets </w:t>
      </w:r>
      <w:r>
        <w:tab/>
        <w:t>($ million)</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5386"/>
        <w:gridCol w:w="850"/>
        <w:gridCol w:w="1531"/>
      </w:tblGrid>
      <w:tr w:rsidR="004B6846" w:rsidRPr="00BA3D25" w:rsidTr="00CC0EB7">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386" w:type="dxa"/>
            <w:tcBorders>
              <w:top w:val="nil"/>
              <w:left w:val="nil"/>
              <w:right w:val="nil"/>
            </w:tcBorders>
            <w:shd w:val="solid" w:color="000000" w:fill="auto"/>
          </w:tcPr>
          <w:p w:rsidR="004B6846" w:rsidRPr="00BA3D25" w:rsidRDefault="004B6846" w:rsidP="00CC0EB7">
            <w:pPr>
              <w:autoSpaceDE w:val="0"/>
              <w:autoSpaceDN w:val="0"/>
              <w:adjustRightInd w:val="0"/>
              <w:rPr>
                <w:rFonts w:eastAsiaTheme="minorEastAsia" w:cs="Calibri"/>
                <w:iCs/>
                <w:color w:val="FFFFFF"/>
                <w:szCs w:val="19"/>
                <w:lang w:eastAsia="en-AU"/>
              </w:rPr>
            </w:pPr>
            <w:r w:rsidRPr="00BA3D25">
              <w:rPr>
                <w:rFonts w:eastAsiaTheme="minorEastAsia" w:cs="Calibri"/>
                <w:iCs/>
                <w:color w:val="FFFFFF"/>
                <w:szCs w:val="19"/>
                <w:lang w:eastAsia="en-AU"/>
              </w:rPr>
              <w:t xml:space="preserve">  </w:t>
            </w:r>
          </w:p>
        </w:tc>
        <w:tc>
          <w:tcPr>
            <w:tcW w:w="850" w:type="dxa"/>
            <w:tcBorders>
              <w:top w:val="nil"/>
              <w:left w:val="nil"/>
              <w:right w:val="nil"/>
            </w:tcBorders>
            <w:shd w:val="solid" w:color="000000" w:fill="auto"/>
          </w:tcPr>
          <w:p w:rsidR="004B6846" w:rsidRPr="00BA3D25"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A3D25">
              <w:rPr>
                <w:rFonts w:eastAsiaTheme="minorEastAsia" w:cs="Calibri"/>
                <w:iCs/>
                <w:color w:val="FFFFFF"/>
                <w:szCs w:val="19"/>
                <w:lang w:eastAsia="en-AU"/>
              </w:rPr>
              <w:t>As at</w:t>
            </w:r>
            <w:r>
              <w:rPr>
                <w:rFonts w:eastAsiaTheme="minorEastAsia" w:cs="Calibri"/>
                <w:iCs/>
                <w:color w:val="FFFFFF"/>
                <w:szCs w:val="19"/>
                <w:lang w:eastAsia="en-AU"/>
              </w:rPr>
              <w:br/>
              <w:t>Dec 2018</w:t>
            </w:r>
          </w:p>
        </w:tc>
        <w:tc>
          <w:tcPr>
            <w:tcW w:w="1531" w:type="dxa"/>
            <w:tcBorders>
              <w:top w:val="nil"/>
              <w:left w:val="nil"/>
              <w:right w:val="nil"/>
            </w:tcBorders>
            <w:shd w:val="solid" w:color="000000" w:fill="auto"/>
          </w:tcPr>
          <w:p w:rsidR="004B6846" w:rsidRPr="00BA3D25"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A3D25">
              <w:rPr>
                <w:rFonts w:eastAsiaTheme="minorEastAsia" w:cs="Calibri"/>
                <w:iCs/>
                <w:color w:val="FFFFFF"/>
                <w:szCs w:val="19"/>
                <w:lang w:eastAsia="en-AU"/>
              </w:rPr>
              <w:t>Published budget</w:t>
            </w:r>
            <w:r>
              <w:rPr>
                <w:rFonts w:eastAsiaTheme="minorEastAsia" w:cs="Calibri"/>
                <w:iCs/>
                <w:color w:val="FFFFFF"/>
                <w:szCs w:val="19"/>
                <w:lang w:eastAsia="en-AU"/>
              </w:rPr>
              <w:br/>
            </w:r>
            <w:r w:rsidRPr="00BA3D25">
              <w:rPr>
                <w:rFonts w:eastAsiaTheme="minorEastAsia" w:cs="Calibri"/>
                <w:iCs/>
                <w:color w:val="FFFFFF"/>
                <w:szCs w:val="19"/>
                <w:lang w:eastAsia="en-AU"/>
              </w:rPr>
              <w:t xml:space="preserve">estimate </w:t>
            </w:r>
            <w:r w:rsidRPr="00BA3D25">
              <w:rPr>
                <w:rFonts w:eastAsiaTheme="minorEastAsia" w:cs="Calibri"/>
                <w:iCs/>
                <w:color w:val="FFFFFF"/>
                <w:szCs w:val="19"/>
                <w:vertAlign w:val="superscript"/>
                <w:lang w:eastAsia="en-AU"/>
              </w:rPr>
              <w:t>(a)</w:t>
            </w:r>
          </w:p>
        </w:tc>
      </w:tr>
      <w:tr w:rsidR="004B6846" w:rsidRPr="00BA3D25" w:rsidTr="00CC0EB7">
        <w:tc>
          <w:tcPr>
            <w:cnfStyle w:val="001000000000" w:firstRow="0" w:lastRow="0" w:firstColumn="1" w:lastColumn="0" w:oddVBand="0" w:evenVBand="0" w:oddHBand="0" w:evenHBand="0" w:firstRowFirstColumn="0" w:firstRowLastColumn="0" w:lastRowFirstColumn="0" w:lastRowLastColumn="0"/>
            <w:tcW w:w="5386" w:type="dxa"/>
            <w:tcBorders>
              <w:top w:val="nil"/>
              <w:left w:val="nil"/>
              <w:bottom w:val="nil"/>
              <w:right w:val="nil"/>
            </w:tcBorders>
          </w:tcPr>
          <w:p w:rsidR="004B6846" w:rsidRPr="00BA3D25" w:rsidRDefault="004B6846" w:rsidP="00CC0EB7">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Guarantees, indemnities and warranties</w:t>
            </w:r>
          </w:p>
        </w:tc>
        <w:tc>
          <w:tcPr>
            <w:tcW w:w="850" w:type="dxa"/>
            <w:tcBorders>
              <w:top w:val="nil"/>
              <w:left w:val="nil"/>
              <w:bottom w:val="nil"/>
              <w:right w:val="nil"/>
            </w:tcBorders>
          </w:tcPr>
          <w:p w:rsidR="004B6846" w:rsidRPr="00BA3D25"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34</w:t>
            </w:r>
          </w:p>
        </w:tc>
        <w:tc>
          <w:tcPr>
            <w:tcW w:w="1531" w:type="dxa"/>
            <w:tcBorders>
              <w:top w:val="nil"/>
              <w:left w:val="nil"/>
              <w:bottom w:val="nil"/>
              <w:right w:val="nil"/>
            </w:tcBorders>
          </w:tcPr>
          <w:p w:rsidR="004B6846" w:rsidRPr="00BA3D25"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36</w:t>
            </w:r>
          </w:p>
        </w:tc>
      </w:tr>
      <w:tr w:rsidR="004B6846" w:rsidRPr="00BA3D25" w:rsidTr="00CC0EB7">
        <w:tc>
          <w:tcPr>
            <w:cnfStyle w:val="001000000000" w:firstRow="0" w:lastRow="0" w:firstColumn="1" w:lastColumn="0" w:oddVBand="0" w:evenVBand="0" w:oddHBand="0" w:evenHBand="0" w:firstRowFirstColumn="0" w:firstRowLastColumn="0" w:lastRowFirstColumn="0" w:lastRowLastColumn="0"/>
            <w:tcW w:w="5386" w:type="dxa"/>
            <w:tcBorders>
              <w:top w:val="nil"/>
              <w:left w:val="nil"/>
              <w:bottom w:val="nil"/>
              <w:right w:val="nil"/>
            </w:tcBorders>
          </w:tcPr>
          <w:p w:rsidR="004B6846" w:rsidRPr="00BA3D25" w:rsidRDefault="004B6846" w:rsidP="00CC0EB7">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Legal proceedings and disputes</w:t>
            </w:r>
          </w:p>
        </w:tc>
        <w:tc>
          <w:tcPr>
            <w:tcW w:w="850" w:type="dxa"/>
            <w:tcBorders>
              <w:top w:val="nil"/>
              <w:left w:val="nil"/>
              <w:bottom w:val="nil"/>
              <w:right w:val="nil"/>
            </w:tcBorders>
          </w:tcPr>
          <w:p w:rsidR="004B6846" w:rsidRPr="00BA3D25"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w:t>
            </w:r>
          </w:p>
        </w:tc>
        <w:tc>
          <w:tcPr>
            <w:tcW w:w="1531" w:type="dxa"/>
            <w:tcBorders>
              <w:top w:val="nil"/>
              <w:left w:val="nil"/>
              <w:bottom w:val="nil"/>
              <w:right w:val="nil"/>
            </w:tcBorders>
          </w:tcPr>
          <w:p w:rsidR="004B6846" w:rsidRPr="00BA3D25"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9</w:t>
            </w:r>
          </w:p>
        </w:tc>
      </w:tr>
      <w:tr w:rsidR="004B6846" w:rsidRPr="00BA3D25" w:rsidTr="00CC0EB7">
        <w:tc>
          <w:tcPr>
            <w:cnfStyle w:val="001000000000" w:firstRow="0" w:lastRow="0" w:firstColumn="1" w:lastColumn="0" w:oddVBand="0" w:evenVBand="0" w:oddHBand="0" w:evenHBand="0" w:firstRowFirstColumn="0" w:firstRowLastColumn="0" w:lastRowFirstColumn="0" w:lastRowLastColumn="0"/>
            <w:tcW w:w="5386" w:type="dxa"/>
            <w:tcBorders>
              <w:top w:val="nil"/>
              <w:left w:val="nil"/>
              <w:bottom w:val="nil"/>
              <w:right w:val="nil"/>
            </w:tcBorders>
          </w:tcPr>
          <w:p w:rsidR="004B6846" w:rsidRPr="00BA3D25" w:rsidRDefault="004B6846" w:rsidP="00CC0EB7">
            <w:pPr>
              <w:keepLines w:val="0"/>
              <w:autoSpaceDE w:val="0"/>
              <w:autoSpaceDN w:val="0"/>
              <w:adjustRightInd w:val="0"/>
              <w:rPr>
                <w:rFonts w:eastAsiaTheme="minorEastAsia" w:cs="Calibri"/>
                <w:color w:val="000000"/>
                <w:szCs w:val="19"/>
                <w:vertAlign w:val="superscript"/>
                <w:lang w:eastAsia="en-AU"/>
              </w:rPr>
            </w:pPr>
            <w:r w:rsidRPr="00BA3D25">
              <w:rPr>
                <w:rFonts w:eastAsiaTheme="minorEastAsia" w:cs="Calibri"/>
                <w:color w:val="000000"/>
                <w:szCs w:val="19"/>
                <w:lang w:eastAsia="en-AU"/>
              </w:rPr>
              <w:t xml:space="preserve">Other </w:t>
            </w:r>
            <w:r w:rsidRPr="00BA3D25">
              <w:rPr>
                <w:rFonts w:eastAsiaTheme="minorEastAsia" w:cs="Calibri"/>
                <w:color w:val="000000"/>
                <w:szCs w:val="19"/>
                <w:vertAlign w:val="superscript"/>
                <w:lang w:eastAsia="en-AU"/>
              </w:rPr>
              <w:t>(b)</w:t>
            </w:r>
          </w:p>
        </w:tc>
        <w:tc>
          <w:tcPr>
            <w:tcW w:w="850" w:type="dxa"/>
            <w:tcBorders>
              <w:top w:val="nil"/>
              <w:left w:val="nil"/>
              <w:bottom w:val="nil"/>
              <w:right w:val="nil"/>
            </w:tcBorders>
          </w:tcPr>
          <w:p w:rsidR="004B6846" w:rsidRPr="00BA3D25"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113</w:t>
            </w:r>
          </w:p>
        </w:tc>
        <w:tc>
          <w:tcPr>
            <w:tcW w:w="1531" w:type="dxa"/>
            <w:tcBorders>
              <w:top w:val="nil"/>
              <w:left w:val="nil"/>
              <w:bottom w:val="nil"/>
              <w:right w:val="nil"/>
            </w:tcBorders>
          </w:tcPr>
          <w:p w:rsidR="004B6846" w:rsidRPr="00BA3D25"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100</w:t>
            </w:r>
          </w:p>
        </w:tc>
      </w:tr>
      <w:tr w:rsidR="004B6846" w:rsidRPr="00BA3D25" w:rsidTr="00CC0EB7">
        <w:tc>
          <w:tcPr>
            <w:cnfStyle w:val="001000000000" w:firstRow="0" w:lastRow="0" w:firstColumn="1" w:lastColumn="0" w:oddVBand="0" w:evenVBand="0" w:oddHBand="0" w:evenHBand="0" w:firstRowFirstColumn="0" w:firstRowLastColumn="0" w:lastRowFirstColumn="0" w:lastRowLastColumn="0"/>
            <w:tcW w:w="5386" w:type="dxa"/>
            <w:tcBorders>
              <w:top w:val="single" w:sz="6" w:space="0" w:color="auto"/>
              <w:left w:val="nil"/>
              <w:bottom w:val="single" w:sz="12" w:space="0" w:color="auto"/>
              <w:right w:val="nil"/>
            </w:tcBorders>
          </w:tcPr>
          <w:p w:rsidR="004B6846" w:rsidRPr="00BA3D25" w:rsidRDefault="004B6846" w:rsidP="00CC0EB7">
            <w:pPr>
              <w:keepLines w:val="0"/>
              <w:autoSpaceDE w:val="0"/>
              <w:autoSpaceDN w:val="0"/>
              <w:adjustRightInd w:val="0"/>
              <w:rPr>
                <w:rFonts w:eastAsiaTheme="minorEastAsia" w:cs="Calibri"/>
                <w:b/>
                <w:bCs/>
                <w:color w:val="000000"/>
                <w:szCs w:val="19"/>
                <w:lang w:eastAsia="en-AU"/>
              </w:rPr>
            </w:pPr>
            <w:r w:rsidRPr="00BA3D25">
              <w:rPr>
                <w:rFonts w:eastAsiaTheme="minorEastAsia" w:cs="Calibri"/>
                <w:b/>
                <w:bCs/>
                <w:color w:val="000000"/>
                <w:szCs w:val="19"/>
                <w:lang w:eastAsia="en-AU"/>
              </w:rPr>
              <w:t>Total contingent assets</w:t>
            </w:r>
          </w:p>
        </w:tc>
        <w:tc>
          <w:tcPr>
            <w:tcW w:w="850" w:type="dxa"/>
            <w:tcBorders>
              <w:top w:val="single" w:sz="6" w:space="0" w:color="auto"/>
              <w:left w:val="nil"/>
              <w:bottom w:val="single" w:sz="12" w:space="0" w:color="auto"/>
              <w:right w:val="nil"/>
            </w:tcBorders>
          </w:tcPr>
          <w:p w:rsidR="004B6846" w:rsidRPr="0044342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149</w:t>
            </w:r>
          </w:p>
        </w:tc>
        <w:tc>
          <w:tcPr>
            <w:tcW w:w="1531" w:type="dxa"/>
            <w:tcBorders>
              <w:top w:val="single" w:sz="6" w:space="0" w:color="auto"/>
              <w:left w:val="nil"/>
              <w:bottom w:val="single" w:sz="12" w:space="0" w:color="auto"/>
              <w:right w:val="nil"/>
            </w:tcBorders>
          </w:tcPr>
          <w:p w:rsidR="004B6846" w:rsidRPr="0044342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145</w:t>
            </w:r>
          </w:p>
        </w:tc>
      </w:tr>
    </w:tbl>
    <w:p w:rsidR="004B6846" w:rsidRDefault="004B6846" w:rsidP="00CC0EB7">
      <w:pPr>
        <w:pStyle w:val="Source"/>
      </w:pPr>
      <w:r>
        <w:t>Source: Department of Treasury and Finance</w:t>
      </w:r>
    </w:p>
    <w:p w:rsidR="004B6846" w:rsidRDefault="004B6846" w:rsidP="00CC0EB7">
      <w:pPr>
        <w:pStyle w:val="Note"/>
      </w:pPr>
      <w:r>
        <w:t>Notes:</w:t>
      </w:r>
    </w:p>
    <w:p w:rsidR="004B6846" w:rsidRDefault="004B6846" w:rsidP="00CC0EB7">
      <w:pPr>
        <w:pStyle w:val="Note"/>
      </w:pPr>
      <w:r w:rsidRPr="0041245C">
        <w:t xml:space="preserve">(a) </w:t>
      </w:r>
      <w:r w:rsidRPr="0041245C">
        <w:tab/>
        <w:t xml:space="preserve">As published in the </w:t>
      </w:r>
      <w:r w:rsidRPr="0041245C">
        <w:rPr>
          <w:i w:val="0"/>
        </w:rPr>
        <w:t>2018-19 Budget</w:t>
      </w:r>
      <w:r w:rsidRPr="0041245C">
        <w:t>.</w:t>
      </w:r>
    </w:p>
    <w:p w:rsidR="004B6846" w:rsidRPr="00B723BB" w:rsidRDefault="004B6846" w:rsidP="00CC0EB7">
      <w:pPr>
        <w:pStyle w:val="Note"/>
      </w:pPr>
      <w:r>
        <w:t xml:space="preserve">(b) </w:t>
      </w:r>
      <w:r>
        <w:tab/>
      </w:r>
      <w:r w:rsidRPr="007F6FB8">
        <w:t xml:space="preserve">Other contingent assets in the general government sector consists </w:t>
      </w:r>
      <w:r>
        <w:t xml:space="preserve">mainly </w:t>
      </w:r>
      <w:r w:rsidRPr="007F6FB8">
        <w:t>of a contingent payment for Crown Melbourne licence amendments that may be payable in calendar year 2022</w:t>
      </w:r>
      <w:r w:rsidRPr="00A27D08">
        <w:t>.</w:t>
      </w:r>
    </w:p>
    <w:p w:rsidR="004B6846" w:rsidRDefault="004B6846" w:rsidP="00CC0EB7">
      <w:pPr>
        <w:keepLines w:val="0"/>
        <w:rPr>
          <w:rFonts w:asciiTheme="majorHAnsi" w:eastAsiaTheme="majorEastAsia" w:hAnsiTheme="majorHAnsi" w:cstheme="majorBidi"/>
          <w:b/>
          <w:spacing w:val="-2"/>
          <w:sz w:val="26"/>
          <w:szCs w:val="26"/>
        </w:rPr>
      </w:pPr>
      <w:r>
        <w:br w:type="page"/>
      </w:r>
    </w:p>
    <w:p w:rsidR="004B6846" w:rsidRDefault="004B6846" w:rsidP="00CC0EB7">
      <w:pPr>
        <w:pStyle w:val="Heading20"/>
      </w:pPr>
      <w:r>
        <w:lastRenderedPageBreak/>
        <w:t>Non-quantifiable contingent assets</w:t>
      </w:r>
    </w:p>
    <w:p w:rsidR="004B6846" w:rsidRPr="00EA1A49" w:rsidRDefault="004B6846" w:rsidP="00CC0EB7">
      <w:pPr>
        <w:pStyle w:val="Heading30"/>
      </w:pPr>
      <w:r w:rsidRPr="00EA1A49">
        <w:t>Peninsula Link compensable enhancement claim</w:t>
      </w:r>
    </w:p>
    <w:p w:rsidR="004B6846" w:rsidRDefault="004B6846" w:rsidP="00CC0EB7">
      <w:r>
        <w:t>The EastLink Concession Deed contains compensable enhancement provisions that enable the State to claim 50 per cent of any additional revenue derived by ConnectEast Pty Ltd (ConnectEast) as a result of certain events that particularly benefit EastLink, including changes to the adjoining road network.</w:t>
      </w:r>
    </w:p>
    <w:p w:rsidR="004B6846" w:rsidRDefault="004B6846" w:rsidP="00CC0EB7">
      <w:r>
        <w:t>On 2 January 2014, the State lodged a compensable enhancement claim as a result of opening Peninsula Link. The claim remains outstanding.</w:t>
      </w:r>
    </w:p>
    <w:p w:rsidR="004B6846" w:rsidRDefault="004B6846" w:rsidP="00CC0EB7">
      <w:pPr>
        <w:pStyle w:val="Heading10"/>
      </w:pPr>
      <w:bookmarkStart w:id="91" w:name="_Toc517171549"/>
      <w:bookmarkStart w:id="92" w:name="_Toc531884963"/>
      <w:r>
        <w:t>Contingent liabilities</w:t>
      </w:r>
      <w:bookmarkEnd w:id="91"/>
      <w:bookmarkEnd w:id="92"/>
    </w:p>
    <w:p w:rsidR="004B6846" w:rsidRDefault="004B6846" w:rsidP="00CC0EB7">
      <w:r>
        <w:t>Contingent liabilities are:</w:t>
      </w:r>
    </w:p>
    <w:p w:rsidR="004B6846" w:rsidRDefault="004B6846" w:rsidP="00393CA4">
      <w:pPr>
        <w:pStyle w:val="ListBullet"/>
        <w:numPr>
          <w:ilvl w:val="0"/>
          <w:numId w:val="18"/>
        </w:numPr>
      </w:pPr>
      <w:r>
        <w:t>possible obligations that arise from past events, whose existence will be confirmed only by the occurrence or non-occurrence of one or more uncertain future events not wholly within the control of the entity; or</w:t>
      </w:r>
    </w:p>
    <w:p w:rsidR="004B6846" w:rsidRDefault="004B6846" w:rsidP="00393CA4">
      <w:pPr>
        <w:pStyle w:val="ListBullet"/>
        <w:numPr>
          <w:ilvl w:val="0"/>
          <w:numId w:val="18"/>
        </w:numPr>
      </w:pPr>
      <w:r>
        <w:t>present obligations that arise from past events but are not recognised because:</w:t>
      </w:r>
    </w:p>
    <w:p w:rsidR="004B6846" w:rsidRPr="00716A8E" w:rsidRDefault="004B6846" w:rsidP="00393CA4">
      <w:pPr>
        <w:pStyle w:val="ListBullet2"/>
        <w:numPr>
          <w:ilvl w:val="1"/>
          <w:numId w:val="18"/>
        </w:numPr>
      </w:pPr>
      <w:r w:rsidRPr="00716A8E">
        <w:t xml:space="preserve">it is not probable that an outflow of resources embodying economic benefits will be required to settle the obligations; or </w:t>
      </w:r>
    </w:p>
    <w:p w:rsidR="004B6846" w:rsidRPr="00716A8E" w:rsidRDefault="004B6846" w:rsidP="00393CA4">
      <w:pPr>
        <w:pStyle w:val="ListBullet2"/>
        <w:numPr>
          <w:ilvl w:val="1"/>
          <w:numId w:val="18"/>
        </w:numPr>
      </w:pPr>
      <w:r w:rsidRPr="00716A8E">
        <w:t>the amount of the obligations cannot be measured with sufficient reliability.</w:t>
      </w:r>
    </w:p>
    <w:p w:rsidR="004B6846" w:rsidRDefault="004B6846" w:rsidP="00CC0EB7">
      <w:r>
        <w:t>Contingent liabilities are also classified as either quantifiable or non-quantifiable.</w:t>
      </w:r>
    </w:p>
    <w:p w:rsidR="004B6846" w:rsidRDefault="004B6846" w:rsidP="00CC0EB7">
      <w:r w:rsidRPr="005B299A">
        <w:t xml:space="preserve">The table below contains quantifiable contingent liabilities as at </w:t>
      </w:r>
      <w:r>
        <w:t>30</w:t>
      </w:r>
      <w:r w:rsidRPr="00F56B7E">
        <w:t xml:space="preserve"> November 2018</w:t>
      </w:r>
      <w:r w:rsidRPr="005B299A">
        <w:t>.</w:t>
      </w:r>
    </w:p>
    <w:p w:rsidR="004B6846" w:rsidRPr="00BA3D25" w:rsidRDefault="004B6846" w:rsidP="00CC0EB7">
      <w:pPr>
        <w:pStyle w:val="TableHeading"/>
        <w:rPr>
          <w:bCs/>
          <w:lang w:val="en-US"/>
        </w:rPr>
      </w:pPr>
      <w:r>
        <w:t>Table 6.2:</w:t>
      </w:r>
      <w:r>
        <w:tab/>
        <w:t>Quantifiable contingent liabilities</w:t>
      </w:r>
      <w:r>
        <w:tab/>
        <w:t>($ million)</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5244"/>
        <w:gridCol w:w="992"/>
        <w:gridCol w:w="1531"/>
      </w:tblGrid>
      <w:tr w:rsidR="004B6846" w:rsidRPr="00BA3D25" w:rsidTr="00CC0EB7">
        <w:trPr>
          <w:cnfStyle w:val="100000000000" w:firstRow="1" w:lastRow="0" w:firstColumn="0" w:lastColumn="0" w:oddVBand="0" w:evenVBand="0" w:oddHBand="0" w:evenHBand="0" w:firstRowFirstColumn="0" w:firstRowLastColumn="0" w:lastRowFirstColumn="0" w:lastRowLastColumn="0"/>
          <w:trHeight w:val="145"/>
          <w:tblHeader/>
        </w:trPr>
        <w:tc>
          <w:tcPr>
            <w:cnfStyle w:val="001000000000" w:firstRow="0" w:lastRow="0" w:firstColumn="1" w:lastColumn="0" w:oddVBand="0" w:evenVBand="0" w:oddHBand="0" w:evenHBand="0" w:firstRowFirstColumn="0" w:firstRowLastColumn="0" w:lastRowFirstColumn="0" w:lastRowLastColumn="0"/>
            <w:tcW w:w="5244" w:type="dxa"/>
            <w:tcBorders>
              <w:top w:val="nil"/>
              <w:left w:val="nil"/>
              <w:right w:val="nil"/>
            </w:tcBorders>
            <w:shd w:val="solid" w:color="000000" w:fill="auto"/>
          </w:tcPr>
          <w:p w:rsidR="004B6846" w:rsidRPr="00BA3D25" w:rsidRDefault="004B6846" w:rsidP="00CC0EB7">
            <w:pPr>
              <w:autoSpaceDE w:val="0"/>
              <w:autoSpaceDN w:val="0"/>
              <w:adjustRightInd w:val="0"/>
              <w:rPr>
                <w:rFonts w:eastAsiaTheme="minorEastAsia" w:cs="Calibri"/>
                <w:iCs/>
                <w:color w:val="FFFFFF"/>
                <w:szCs w:val="19"/>
                <w:lang w:eastAsia="en-AU"/>
              </w:rPr>
            </w:pPr>
            <w:r w:rsidRPr="00BA3D25">
              <w:rPr>
                <w:rFonts w:eastAsiaTheme="minorEastAsia" w:cs="Calibri"/>
                <w:iCs/>
                <w:color w:val="FFFFFF"/>
                <w:szCs w:val="19"/>
                <w:lang w:eastAsia="en-AU"/>
              </w:rPr>
              <w:t xml:space="preserve">  </w:t>
            </w:r>
          </w:p>
        </w:tc>
        <w:tc>
          <w:tcPr>
            <w:tcW w:w="992" w:type="dxa"/>
            <w:tcBorders>
              <w:top w:val="nil"/>
              <w:left w:val="nil"/>
              <w:right w:val="nil"/>
            </w:tcBorders>
            <w:shd w:val="solid" w:color="000000" w:fill="auto"/>
          </w:tcPr>
          <w:p w:rsidR="004B6846" w:rsidRPr="00BA3D25"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A3D25">
              <w:rPr>
                <w:rFonts w:eastAsiaTheme="minorEastAsia" w:cs="Calibri"/>
                <w:iCs/>
                <w:color w:val="FFFFFF"/>
                <w:szCs w:val="19"/>
                <w:lang w:eastAsia="en-AU"/>
              </w:rPr>
              <w:t xml:space="preserve">As at </w:t>
            </w:r>
            <w:r>
              <w:rPr>
                <w:rFonts w:eastAsiaTheme="minorEastAsia" w:cs="Calibri"/>
                <w:iCs/>
                <w:color w:val="FFFFFF"/>
                <w:szCs w:val="19"/>
                <w:lang w:eastAsia="en-AU"/>
              </w:rPr>
              <w:br/>
              <w:t>Dec 2018</w:t>
            </w:r>
          </w:p>
        </w:tc>
        <w:tc>
          <w:tcPr>
            <w:tcW w:w="1531" w:type="dxa"/>
            <w:tcBorders>
              <w:top w:val="nil"/>
              <w:left w:val="nil"/>
              <w:right w:val="nil"/>
            </w:tcBorders>
            <w:shd w:val="solid" w:color="000000" w:fill="auto"/>
          </w:tcPr>
          <w:p w:rsidR="004B6846" w:rsidRPr="00BA3D25"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A3D25">
              <w:rPr>
                <w:rFonts w:eastAsiaTheme="minorEastAsia" w:cs="Calibri"/>
                <w:iCs/>
                <w:color w:val="FFFFFF"/>
                <w:szCs w:val="19"/>
                <w:lang w:eastAsia="en-AU"/>
              </w:rPr>
              <w:t xml:space="preserve">Published budget </w:t>
            </w:r>
            <w:r>
              <w:rPr>
                <w:rFonts w:eastAsiaTheme="minorEastAsia" w:cs="Calibri"/>
                <w:iCs/>
                <w:color w:val="FFFFFF"/>
                <w:szCs w:val="19"/>
                <w:lang w:eastAsia="en-AU"/>
              </w:rPr>
              <w:br/>
            </w:r>
            <w:r w:rsidRPr="00BA3D25">
              <w:rPr>
                <w:rFonts w:eastAsiaTheme="minorEastAsia" w:cs="Calibri"/>
                <w:iCs/>
                <w:color w:val="FFFFFF"/>
                <w:szCs w:val="19"/>
                <w:lang w:eastAsia="en-AU"/>
              </w:rPr>
              <w:t xml:space="preserve">estimate </w:t>
            </w:r>
            <w:r w:rsidRPr="00BA3D25">
              <w:rPr>
                <w:rFonts w:eastAsiaTheme="minorEastAsia" w:cs="Calibri"/>
                <w:iCs/>
                <w:color w:val="FFFFFF"/>
                <w:szCs w:val="19"/>
                <w:vertAlign w:val="superscript"/>
                <w:lang w:eastAsia="en-AU"/>
              </w:rPr>
              <w:t>(a)</w:t>
            </w:r>
          </w:p>
        </w:tc>
      </w:tr>
      <w:tr w:rsidR="004B6846" w:rsidRPr="00BA3D25" w:rsidTr="00CC0EB7">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rsidR="004B6846" w:rsidRPr="00BA3D25" w:rsidRDefault="004B6846" w:rsidP="00CC0EB7">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Guarantees, indemnities and warranties</w:t>
            </w:r>
          </w:p>
        </w:tc>
        <w:tc>
          <w:tcPr>
            <w:tcW w:w="992" w:type="dxa"/>
            <w:tcBorders>
              <w:top w:val="nil"/>
              <w:left w:val="nil"/>
              <w:bottom w:val="nil"/>
              <w:right w:val="nil"/>
            </w:tcBorders>
          </w:tcPr>
          <w:p w:rsidR="004B6846" w:rsidRPr="00BA3D25"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181</w:t>
            </w:r>
          </w:p>
        </w:tc>
        <w:tc>
          <w:tcPr>
            <w:tcW w:w="1531" w:type="dxa"/>
            <w:tcBorders>
              <w:top w:val="nil"/>
              <w:left w:val="nil"/>
              <w:bottom w:val="nil"/>
              <w:right w:val="nil"/>
            </w:tcBorders>
          </w:tcPr>
          <w:p w:rsidR="004B6846" w:rsidRPr="00BA3D25"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207</w:t>
            </w:r>
          </w:p>
        </w:tc>
      </w:tr>
      <w:tr w:rsidR="004B6846" w:rsidRPr="00BA3D25" w:rsidTr="00CC0EB7">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rsidR="004B6846" w:rsidRPr="00BA3D25" w:rsidRDefault="004B6846" w:rsidP="00CC0EB7">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Legal proceedings and disputes</w:t>
            </w:r>
          </w:p>
        </w:tc>
        <w:tc>
          <w:tcPr>
            <w:tcW w:w="992" w:type="dxa"/>
            <w:tcBorders>
              <w:top w:val="nil"/>
              <w:left w:val="nil"/>
              <w:bottom w:val="nil"/>
              <w:right w:val="nil"/>
            </w:tcBorders>
          </w:tcPr>
          <w:p w:rsidR="004B6846" w:rsidRPr="00BA3D25"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176</w:t>
            </w:r>
          </w:p>
        </w:tc>
        <w:tc>
          <w:tcPr>
            <w:tcW w:w="1531" w:type="dxa"/>
            <w:tcBorders>
              <w:top w:val="nil"/>
              <w:left w:val="nil"/>
              <w:bottom w:val="nil"/>
              <w:right w:val="nil"/>
            </w:tcBorders>
          </w:tcPr>
          <w:p w:rsidR="004B6846" w:rsidRPr="00BA3D25"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114</w:t>
            </w:r>
          </w:p>
        </w:tc>
      </w:tr>
      <w:tr w:rsidR="004B6846" w:rsidRPr="00BA3D25" w:rsidTr="00CC0EB7">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rsidR="004B6846" w:rsidRPr="00BA3D25" w:rsidRDefault="004B6846" w:rsidP="00CC0EB7">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Other</w:t>
            </w:r>
          </w:p>
        </w:tc>
        <w:tc>
          <w:tcPr>
            <w:tcW w:w="992" w:type="dxa"/>
            <w:tcBorders>
              <w:top w:val="nil"/>
              <w:left w:val="nil"/>
              <w:bottom w:val="nil"/>
              <w:right w:val="nil"/>
            </w:tcBorders>
          </w:tcPr>
          <w:p w:rsidR="004B6846" w:rsidRPr="00BA3D25"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66</w:t>
            </w:r>
          </w:p>
        </w:tc>
        <w:tc>
          <w:tcPr>
            <w:tcW w:w="1531" w:type="dxa"/>
            <w:tcBorders>
              <w:top w:val="nil"/>
              <w:left w:val="nil"/>
              <w:bottom w:val="nil"/>
              <w:right w:val="nil"/>
            </w:tcBorders>
          </w:tcPr>
          <w:p w:rsidR="004B6846" w:rsidRPr="00BA3D25"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44</w:t>
            </w:r>
          </w:p>
        </w:tc>
      </w:tr>
      <w:tr w:rsidR="004B6846" w:rsidRPr="00BA3D25" w:rsidTr="00CC0EB7">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rsidR="004B6846" w:rsidRPr="00BA3D25" w:rsidRDefault="004B6846" w:rsidP="00CC0EB7">
            <w:pPr>
              <w:keepLines w:val="0"/>
              <w:autoSpaceDE w:val="0"/>
              <w:autoSpaceDN w:val="0"/>
              <w:adjustRightInd w:val="0"/>
              <w:rPr>
                <w:rFonts w:eastAsiaTheme="minorEastAsia" w:cs="Calibri"/>
                <w:color w:val="000000"/>
                <w:szCs w:val="19"/>
                <w:vertAlign w:val="superscript"/>
                <w:lang w:eastAsia="en-AU"/>
              </w:rPr>
            </w:pPr>
            <w:r w:rsidRPr="00BA3D25">
              <w:rPr>
                <w:rFonts w:eastAsiaTheme="minorEastAsia" w:cs="Calibri"/>
                <w:color w:val="000000"/>
                <w:szCs w:val="19"/>
                <w:lang w:eastAsia="en-AU"/>
              </w:rPr>
              <w:t xml:space="preserve">Non-general government debt </w:t>
            </w:r>
            <w:r w:rsidRPr="00BA3D25">
              <w:rPr>
                <w:rFonts w:eastAsiaTheme="minorEastAsia" w:cs="Calibri"/>
                <w:color w:val="000000"/>
                <w:szCs w:val="19"/>
                <w:vertAlign w:val="superscript"/>
                <w:lang w:eastAsia="en-AU"/>
              </w:rPr>
              <w:t>(b)</w:t>
            </w:r>
          </w:p>
        </w:tc>
        <w:tc>
          <w:tcPr>
            <w:tcW w:w="992" w:type="dxa"/>
            <w:tcBorders>
              <w:top w:val="nil"/>
              <w:left w:val="nil"/>
              <w:bottom w:val="nil"/>
              <w:right w:val="nil"/>
            </w:tcBorders>
          </w:tcPr>
          <w:p w:rsidR="004B6846" w:rsidRPr="00BA3D25"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12 086</w:t>
            </w:r>
          </w:p>
        </w:tc>
        <w:tc>
          <w:tcPr>
            <w:tcW w:w="1531" w:type="dxa"/>
            <w:tcBorders>
              <w:top w:val="nil"/>
              <w:left w:val="nil"/>
              <w:bottom w:val="nil"/>
              <w:right w:val="nil"/>
            </w:tcBorders>
          </w:tcPr>
          <w:p w:rsidR="004B6846" w:rsidRPr="00BA3D25"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11 611</w:t>
            </w:r>
          </w:p>
        </w:tc>
      </w:tr>
      <w:tr w:rsidR="004B6846" w:rsidRPr="00BA3D25" w:rsidTr="00CC0EB7">
        <w:tc>
          <w:tcPr>
            <w:cnfStyle w:val="001000000000" w:firstRow="0" w:lastRow="0" w:firstColumn="1" w:lastColumn="0" w:oddVBand="0" w:evenVBand="0" w:oddHBand="0" w:evenHBand="0" w:firstRowFirstColumn="0" w:firstRowLastColumn="0" w:lastRowFirstColumn="0" w:lastRowLastColumn="0"/>
            <w:tcW w:w="5244" w:type="dxa"/>
            <w:tcBorders>
              <w:top w:val="single" w:sz="6" w:space="0" w:color="auto"/>
              <w:left w:val="nil"/>
              <w:bottom w:val="single" w:sz="12" w:space="0" w:color="auto"/>
              <w:right w:val="nil"/>
            </w:tcBorders>
          </w:tcPr>
          <w:p w:rsidR="004B6846" w:rsidRPr="00BA3D25" w:rsidRDefault="004B6846" w:rsidP="00CC0EB7">
            <w:pPr>
              <w:keepLines w:val="0"/>
              <w:autoSpaceDE w:val="0"/>
              <w:autoSpaceDN w:val="0"/>
              <w:adjustRightInd w:val="0"/>
              <w:rPr>
                <w:rFonts w:eastAsiaTheme="minorEastAsia" w:cs="Calibri"/>
                <w:b/>
                <w:bCs/>
                <w:color w:val="000000"/>
                <w:szCs w:val="19"/>
                <w:lang w:eastAsia="en-AU"/>
              </w:rPr>
            </w:pPr>
            <w:r w:rsidRPr="00BA3D25">
              <w:rPr>
                <w:rFonts w:eastAsiaTheme="minorEastAsia" w:cs="Calibri"/>
                <w:b/>
                <w:bCs/>
                <w:color w:val="000000"/>
                <w:szCs w:val="19"/>
                <w:lang w:eastAsia="en-AU"/>
              </w:rPr>
              <w:t>Total contingent liabilities</w:t>
            </w:r>
          </w:p>
        </w:tc>
        <w:tc>
          <w:tcPr>
            <w:tcW w:w="992" w:type="dxa"/>
            <w:tcBorders>
              <w:top w:val="single" w:sz="6" w:space="0" w:color="auto"/>
              <w:left w:val="nil"/>
              <w:bottom w:val="single" w:sz="12" w:space="0" w:color="auto"/>
              <w:right w:val="nil"/>
            </w:tcBorders>
          </w:tcPr>
          <w:p w:rsidR="004B6846" w:rsidRPr="00BA3D25"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12 509</w:t>
            </w:r>
          </w:p>
        </w:tc>
        <w:tc>
          <w:tcPr>
            <w:tcW w:w="1531" w:type="dxa"/>
            <w:tcBorders>
              <w:top w:val="single" w:sz="6" w:space="0" w:color="auto"/>
              <w:left w:val="nil"/>
              <w:bottom w:val="single" w:sz="12" w:space="0" w:color="auto"/>
              <w:right w:val="nil"/>
            </w:tcBorders>
          </w:tcPr>
          <w:p w:rsidR="004B6846" w:rsidRPr="00BA3D25"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11 976</w:t>
            </w:r>
          </w:p>
        </w:tc>
      </w:tr>
    </w:tbl>
    <w:p w:rsidR="004B6846" w:rsidRDefault="004B6846" w:rsidP="00CC0EB7">
      <w:pPr>
        <w:pStyle w:val="Source"/>
      </w:pPr>
      <w:r>
        <w:t>Source: Department of Treasury and Finance</w:t>
      </w:r>
    </w:p>
    <w:p w:rsidR="004B6846" w:rsidRDefault="004B6846" w:rsidP="00CC0EB7">
      <w:pPr>
        <w:pStyle w:val="Note"/>
      </w:pPr>
      <w:r>
        <w:t>Notes:</w:t>
      </w:r>
    </w:p>
    <w:p w:rsidR="004B6846" w:rsidRDefault="004B6846" w:rsidP="00CC0EB7">
      <w:pPr>
        <w:pStyle w:val="Note"/>
      </w:pPr>
      <w:r w:rsidRPr="0041245C">
        <w:t>(a)</w:t>
      </w:r>
      <w:r w:rsidRPr="0041245C">
        <w:tab/>
        <w:t xml:space="preserve">As published in the </w:t>
      </w:r>
      <w:r w:rsidRPr="0041245C">
        <w:rPr>
          <w:i w:val="0"/>
        </w:rPr>
        <w:t>2018-19 Budget</w:t>
      </w:r>
      <w:r w:rsidRPr="0041245C">
        <w:t>.</w:t>
      </w:r>
    </w:p>
    <w:p w:rsidR="004B6846" w:rsidRDefault="004B6846" w:rsidP="00CC0EB7">
      <w:pPr>
        <w:pStyle w:val="Note"/>
      </w:pPr>
      <w:r>
        <w:t>(b)</w:t>
      </w:r>
      <w:r>
        <w:tab/>
        <w:t>Mainly represents the guarantee of borrowings provided by the Treasurer for the public sector borrowings portfolio.</w:t>
      </w:r>
    </w:p>
    <w:p w:rsidR="004B6846" w:rsidRDefault="004B6846" w:rsidP="00CC0EB7">
      <w:pPr>
        <w:keepLines w:val="0"/>
        <w:rPr>
          <w:rFonts w:asciiTheme="majorHAnsi" w:eastAsiaTheme="majorEastAsia" w:hAnsiTheme="majorHAnsi" w:cstheme="majorBidi"/>
          <w:b/>
          <w:spacing w:val="-2"/>
          <w:sz w:val="26"/>
          <w:szCs w:val="26"/>
        </w:rPr>
      </w:pPr>
      <w:r>
        <w:br w:type="page"/>
      </w:r>
    </w:p>
    <w:p w:rsidR="004B6846" w:rsidRDefault="004B6846" w:rsidP="00CC0EB7">
      <w:pPr>
        <w:pStyle w:val="Heading20"/>
      </w:pPr>
      <w:r>
        <w:lastRenderedPageBreak/>
        <w:t>Non-quantifiable contingent liabilities</w:t>
      </w:r>
    </w:p>
    <w:p w:rsidR="004B6846" w:rsidRDefault="004B6846" w:rsidP="00CC0EB7">
      <w:r>
        <w:t>A number of potential obligations are non-quantifiable at this time arising from:</w:t>
      </w:r>
    </w:p>
    <w:p w:rsidR="004B6846" w:rsidRPr="00BC5659" w:rsidRDefault="004B6846" w:rsidP="00393CA4">
      <w:pPr>
        <w:pStyle w:val="ListBullet"/>
        <w:numPr>
          <w:ilvl w:val="0"/>
          <w:numId w:val="18"/>
        </w:numPr>
      </w:pPr>
      <w:r w:rsidRPr="00BC5659">
        <w:t>indemnities relatin</w:t>
      </w:r>
      <w:r>
        <w:t>g</w:t>
      </w:r>
      <w:r w:rsidRPr="00BC5659">
        <w:t xml:space="preserve"> to transactions, including financial arrangements and consultancy services, as well as for directors and administrators;</w:t>
      </w:r>
    </w:p>
    <w:p w:rsidR="004B6846" w:rsidRPr="00BC5659" w:rsidRDefault="004B6846" w:rsidP="00393CA4">
      <w:pPr>
        <w:pStyle w:val="ListBullet"/>
        <w:numPr>
          <w:ilvl w:val="0"/>
          <w:numId w:val="18"/>
        </w:numPr>
      </w:pPr>
      <w:r w:rsidRPr="00BC5659">
        <w:t>performance guarantees, warranties, letters of comfort and the like;</w:t>
      </w:r>
    </w:p>
    <w:p w:rsidR="004B6846" w:rsidRPr="00BC5659" w:rsidRDefault="004B6846" w:rsidP="00393CA4">
      <w:pPr>
        <w:pStyle w:val="ListBullet"/>
        <w:numPr>
          <w:ilvl w:val="0"/>
          <w:numId w:val="18"/>
        </w:numPr>
      </w:pPr>
      <w:r w:rsidRPr="00BC5659">
        <w:t>deeds in respect of certain obligations; and</w:t>
      </w:r>
    </w:p>
    <w:p w:rsidR="004B6846" w:rsidRPr="00BC5659" w:rsidRDefault="004B6846" w:rsidP="00393CA4">
      <w:pPr>
        <w:pStyle w:val="ListBullet"/>
        <w:numPr>
          <w:ilvl w:val="0"/>
          <w:numId w:val="18"/>
        </w:numPr>
      </w:pPr>
      <w:r w:rsidRPr="00BC5659">
        <w:t>unclaimed monies, which may be subject to future claims by the general public against the State.</w:t>
      </w:r>
    </w:p>
    <w:p w:rsidR="004B6846" w:rsidRDefault="004B6846" w:rsidP="00CC0EB7">
      <w:r>
        <w:t>An overview of the more significant non-quantifiable liabilities follows.</w:t>
      </w:r>
    </w:p>
    <w:p w:rsidR="004B6846" w:rsidRPr="007D73D6" w:rsidRDefault="004B6846" w:rsidP="00CC0EB7">
      <w:pPr>
        <w:pStyle w:val="Heading30"/>
        <w:rPr>
          <w:spacing w:val="-3"/>
        </w:rPr>
      </w:pPr>
      <w:r w:rsidRPr="007D73D6">
        <w:rPr>
          <w:spacing w:val="-3"/>
        </w:rPr>
        <w:t>AgriBio Centre for AgriBioscience (formerly known as The Biosciences Research Centre)</w:t>
      </w:r>
    </w:p>
    <w:p w:rsidR="004B6846" w:rsidRDefault="004B6846" w:rsidP="00CC0EB7">
      <w:r>
        <w:t>The quarterly service fee payment obligations of the AgriBio Centre for AgriBioscience on behalf of the joint venture participants (Department of Economic Development, Jobs, Transport and Resources, and La Trobe University) are backed by the State of Victoria under a State Support Deed. Under this Deed, the State ensures the joint venture participants have severally the financial capacity to meet their payment obligations to Biosciences Research Centre Pty Ltd (BRC), thereby enabling BRC to meet its obligations to pay the service fee to the concessionaire pursuant to the project agreement. The State underwrites the risk of any default by BRC.</w:t>
      </w:r>
    </w:p>
    <w:p w:rsidR="004B6846" w:rsidRPr="00811966" w:rsidRDefault="004B6846" w:rsidP="00CC0EB7">
      <w:pPr>
        <w:pStyle w:val="Heading30"/>
      </w:pPr>
      <w:r w:rsidRPr="00811966">
        <w:t>Cladding re</w:t>
      </w:r>
      <w:r>
        <w:t>ctification works – g</w:t>
      </w:r>
      <w:r w:rsidRPr="00811966">
        <w:t xml:space="preserve">overnment buildings </w:t>
      </w:r>
    </w:p>
    <w:p w:rsidR="004B6846" w:rsidRPr="00811966" w:rsidRDefault="004B6846" w:rsidP="00CC0EB7">
      <w:r w:rsidRPr="00811966">
        <w:t>The 2014 fire at the Lacrosse apartment building in Melbourne’s Docklands</w:t>
      </w:r>
      <w:r>
        <w:t>,</w:t>
      </w:r>
      <w:r w:rsidRPr="00811966">
        <w:t xml:space="preserve"> and the Grenfell fire in London in June 2017, highlighted the fire safety r</w:t>
      </w:r>
      <w:r>
        <w:t>isks from the non</w:t>
      </w:r>
      <w:r>
        <w:noBreakHyphen/>
      </w:r>
      <w:r w:rsidRPr="00811966">
        <w:t>compliant use of exterior cladding on buildings. Subsequent investigations have highlighted that dangerous materials are widely used on buildings throughout Victoria.</w:t>
      </w:r>
    </w:p>
    <w:p w:rsidR="004B6846" w:rsidRPr="00811966" w:rsidRDefault="004B6846" w:rsidP="00CC0EB7">
      <w:r w:rsidRPr="00811966">
        <w:t>The Victorian Government Cladding Taskforce is investigating the extent of non-compliant cladding on all buildings state-wide.</w:t>
      </w:r>
    </w:p>
    <w:p w:rsidR="004B6846" w:rsidRPr="00811966" w:rsidRDefault="004B6846" w:rsidP="00CC0EB7">
      <w:r w:rsidRPr="00811966">
        <w:t>On behalf of the Cladding Taskforce, the Victorian Building Authority is undertaking a whole of government building audit to assess the extent of non-compl</w:t>
      </w:r>
      <w:r>
        <w:t>iant cladding on all government-</w:t>
      </w:r>
      <w:r w:rsidRPr="00811966">
        <w:t xml:space="preserve">owned buildings. </w:t>
      </w:r>
    </w:p>
    <w:p w:rsidR="004B6846" w:rsidRPr="00811966" w:rsidRDefault="004B6846" w:rsidP="00CC0EB7">
      <w:r w:rsidRPr="00811966">
        <w:t>The building audit has id</w:t>
      </w:r>
      <w:r>
        <w:t>entified a number of government-</w:t>
      </w:r>
      <w:r w:rsidRPr="00811966">
        <w:t>owned buildings that may require rectification.</w:t>
      </w:r>
      <w:r>
        <w:t xml:space="preserve"> These buildings are being risk-</w:t>
      </w:r>
      <w:r w:rsidRPr="00811966">
        <w:t>assessed to inform the extent of rectification works required. The expected cost for rectifying the non-compliant cladding is unknown at this time</w:t>
      </w:r>
      <w:r>
        <w:t>.</w:t>
      </w:r>
    </w:p>
    <w:p w:rsidR="004B6846" w:rsidRDefault="004B6846" w:rsidP="00CC0EB7">
      <w:pPr>
        <w:keepLines w:val="0"/>
        <w:rPr>
          <w:rFonts w:asciiTheme="majorHAnsi" w:eastAsiaTheme="majorEastAsia" w:hAnsiTheme="majorHAnsi" w:cstheme="majorBidi"/>
          <w:b/>
          <w:bCs/>
          <w:spacing w:val="-2"/>
          <w:szCs w:val="26"/>
        </w:rPr>
      </w:pPr>
      <w:r>
        <w:br w:type="page"/>
      </w:r>
    </w:p>
    <w:p w:rsidR="004B6846" w:rsidRPr="00316FB2" w:rsidRDefault="004B6846" w:rsidP="00CC0EB7">
      <w:pPr>
        <w:pStyle w:val="Heading30"/>
      </w:pPr>
      <w:r w:rsidRPr="00316FB2">
        <w:lastRenderedPageBreak/>
        <w:t>Department of Education and Training</w:t>
      </w:r>
    </w:p>
    <w:p w:rsidR="004B6846" w:rsidRDefault="004B6846" w:rsidP="00CC0EB7">
      <w:r>
        <w:t>The Department has a number of unquantifiable contingent liabilities, arising from indemnities provided by it, as follows:</w:t>
      </w:r>
    </w:p>
    <w:p w:rsidR="004B6846" w:rsidRDefault="004B6846" w:rsidP="00393CA4">
      <w:pPr>
        <w:pStyle w:val="ListBullet"/>
        <w:numPr>
          <w:ilvl w:val="0"/>
          <w:numId w:val="18"/>
        </w:numPr>
      </w:pPr>
      <w:r>
        <w:t xml:space="preserve">volunteer school workers and volunteer student workers: the </w:t>
      </w:r>
      <w:r w:rsidRPr="00BB4C88">
        <w:rPr>
          <w:i/>
        </w:rPr>
        <w:t>Education and Training Reform Act 2006</w:t>
      </w:r>
      <w:r>
        <w:t xml:space="preserve"> provides a specific indemnity for personal injuries suffered by </w:t>
      </w:r>
      <w:r w:rsidRPr="007D73D6">
        <w:rPr>
          <w:spacing w:val="2"/>
        </w:rPr>
        <w:t>volunteer school workers and volunteer student workers arising out of or in the course</w:t>
      </w:r>
      <w:r>
        <w:t xml:space="preserve"> of engaging in school work or community work respectively;</w:t>
      </w:r>
    </w:p>
    <w:p w:rsidR="004B6846" w:rsidRDefault="004B6846" w:rsidP="00393CA4">
      <w:pPr>
        <w:pStyle w:val="ListBullet"/>
        <w:numPr>
          <w:ilvl w:val="0"/>
          <w:numId w:val="18"/>
        </w:numPr>
      </w:pPr>
      <w:r>
        <w:t>teachers: if a teacher is named as a defendant in a student personal injury claim, any costs and damages will generally be paid by the Department provided the teacher was not under the influence of illicit drugs or alcohol or engaging in a criminal offence and the behaviour was not outrageous and was related to their employment;</w:t>
      </w:r>
    </w:p>
    <w:p w:rsidR="004B6846" w:rsidRDefault="004B6846" w:rsidP="00393CA4">
      <w:pPr>
        <w:pStyle w:val="ListBullet"/>
        <w:numPr>
          <w:ilvl w:val="0"/>
          <w:numId w:val="18"/>
        </w:numPr>
      </w:pPr>
      <w:r>
        <w:t xml:space="preserve">school councils: the </w:t>
      </w:r>
      <w:r w:rsidRPr="0041245C">
        <w:rPr>
          <w:i/>
        </w:rPr>
        <w:t>Education and Training Reform Act 2006</w:t>
      </w:r>
      <w:r>
        <w:t xml:space="preserve"> requires the Department to indemnify individual members of school councils for any legal liability, whether in contract, negligence or defamation, if they acted in good faith and in the course of their duties. The Department may decide to indemnify school councils (which are separate entities to the Department), in claims of common law negligence, and often employment disputes, for the cost of settlement and legal representation. The Department will take into account the impact of payment upon the school’s educational program and any insurance cover for the school council, and will likely indemnify if the Department is satisfied that: </w:t>
      </w:r>
    </w:p>
    <w:p w:rsidR="004B6846" w:rsidRDefault="004B6846" w:rsidP="00393CA4">
      <w:pPr>
        <w:pStyle w:val="ListBullet2"/>
        <w:numPr>
          <w:ilvl w:val="1"/>
          <w:numId w:val="18"/>
        </w:numPr>
      </w:pPr>
      <w:r>
        <w:t>the school council acted in good faith and according to issued guidelines and directions; and</w:t>
      </w:r>
    </w:p>
    <w:p w:rsidR="004B6846" w:rsidRDefault="004B6846" w:rsidP="00393CA4">
      <w:pPr>
        <w:pStyle w:val="ListBullet2"/>
        <w:numPr>
          <w:ilvl w:val="1"/>
          <w:numId w:val="18"/>
        </w:numPr>
      </w:pPr>
      <w:r>
        <w:t>the school council has insufficient funds to pay the claim.</w:t>
      </w:r>
    </w:p>
    <w:p w:rsidR="004B6846" w:rsidRPr="00587431" w:rsidRDefault="004B6846" w:rsidP="00CC0EB7">
      <w:pPr>
        <w:pStyle w:val="Heading30"/>
      </w:pPr>
      <w:r w:rsidRPr="00587431">
        <w:t>National redress scheme – sexual abuse of children in institutions</w:t>
      </w:r>
    </w:p>
    <w:p w:rsidR="004B6846" w:rsidRPr="00587431" w:rsidRDefault="004B6846" w:rsidP="00CC0EB7">
      <w:pPr>
        <w:ind w:right="-227"/>
      </w:pPr>
      <w:r w:rsidRPr="00587431">
        <w:t xml:space="preserve">On 13 June 2018, the </w:t>
      </w:r>
      <w:r w:rsidRPr="00587431">
        <w:rPr>
          <w:i/>
        </w:rPr>
        <w:t>National Redress Scheme for Institutional Child Sexual Abuse (Commonwealth Powers) Act 2018 (Vic)</w:t>
      </w:r>
      <w:r w:rsidRPr="00587431">
        <w:t xml:space="preserve"> commenced. The Act refers powers to the Commonwealth Parliament to ensure that Victorian institutions can participate in the National Redress Scheme. The National Redress Scheme commenced on 1 July 2018 and will run for 10 years. The scheme will deliver a financial payment of up to $150 000, access to psychological counselling and an apology from the responsible institution to eligible survivors of institutional child abuse. This implements a recommendation of the Victorian Parliamentary Inquiry Betrayal of Trust report and the Royal Commission into Institutional Responses to Child Sexual Abuse. </w:t>
      </w:r>
    </w:p>
    <w:p w:rsidR="004B6846" w:rsidRDefault="004B6846" w:rsidP="00CC0EB7">
      <w:r w:rsidRPr="00587431">
        <w:t xml:space="preserve">The Government has set aside funding in the budget estimates over the next </w:t>
      </w:r>
      <w:r>
        <w:t>10</w:t>
      </w:r>
      <w:r w:rsidRPr="00587431">
        <w:t xml:space="preserve"> years for redress. Due to the historical nature of the abuse in question, the precise number of eligible survivors of abuse is difficult to estimate. Consequently, the exact financial implications for Victoria remain uncertain.</w:t>
      </w:r>
    </w:p>
    <w:p w:rsidR="004B6846" w:rsidRDefault="004B6846" w:rsidP="00CC0EB7">
      <w:pPr>
        <w:keepLines w:val="0"/>
        <w:rPr>
          <w:rFonts w:asciiTheme="majorHAnsi" w:eastAsiaTheme="majorEastAsia" w:hAnsiTheme="majorHAnsi" w:cstheme="majorBidi"/>
          <w:b/>
          <w:bCs/>
          <w:spacing w:val="-2"/>
          <w:szCs w:val="26"/>
        </w:rPr>
      </w:pPr>
      <w:r>
        <w:br w:type="page"/>
      </w:r>
    </w:p>
    <w:p w:rsidR="004B6846" w:rsidRPr="00316FB2" w:rsidRDefault="004B6846" w:rsidP="00CC0EB7">
      <w:pPr>
        <w:pStyle w:val="Heading30"/>
      </w:pPr>
      <w:r w:rsidRPr="00316FB2">
        <w:lastRenderedPageBreak/>
        <w:t xml:space="preserve">Public acquisition overlays for the future development of rail and road infrastructure </w:t>
      </w:r>
    </w:p>
    <w:p w:rsidR="004B6846" w:rsidRDefault="004B6846" w:rsidP="00CC0EB7">
      <w:r>
        <w:t xml:space="preserve">Public acquisition overlays are in place to reserve certain areas of land for future development of rail and road infrastructure. Under section 98 of the </w:t>
      </w:r>
      <w:r w:rsidRPr="00BB4C88">
        <w:rPr>
          <w:i/>
        </w:rPr>
        <w:t>Planning and Environment Act 1987</w:t>
      </w:r>
      <w:r>
        <w:t>, the State has a legislative responsibility to compensate eligible land and property owners who face either:</w:t>
      </w:r>
    </w:p>
    <w:p w:rsidR="004B6846" w:rsidRPr="001A2FAA" w:rsidRDefault="004B6846" w:rsidP="00393CA4">
      <w:pPr>
        <w:pStyle w:val="ListBullet"/>
        <w:numPr>
          <w:ilvl w:val="0"/>
          <w:numId w:val="18"/>
        </w:numPr>
      </w:pPr>
      <w:r w:rsidRPr="001A2FAA">
        <w:t>loss on sale – an eligible landowner is entitled to compensation for the incremental loss on sale when a property affected by a public acquisition overlay is sold for less than its market value; or</w:t>
      </w:r>
    </w:p>
    <w:p w:rsidR="004B6846" w:rsidRPr="001A2FAA" w:rsidRDefault="004B6846" w:rsidP="00393CA4">
      <w:pPr>
        <w:pStyle w:val="ListBullet"/>
        <w:numPr>
          <w:ilvl w:val="0"/>
          <w:numId w:val="18"/>
        </w:numPr>
      </w:pPr>
      <w:r w:rsidRPr="001A2FAA">
        <w:t>financial loss – the entitlement to financial loss compensation is triggered when a development permit is refused because the property is required for a public purpose.</w:t>
      </w:r>
    </w:p>
    <w:p w:rsidR="004B6846" w:rsidRDefault="004B6846" w:rsidP="00CC0EB7">
      <w:r w:rsidRPr="001A2FAA">
        <w:t>Compensation and purchase claims occur as a result of claims by land owners. The future liability depends on factors including the number of claims received and the prevailing value of land at the time the claim is made, which cannot be reliably quantified.</w:t>
      </w:r>
    </w:p>
    <w:p w:rsidR="004B6846" w:rsidRPr="00385625" w:rsidRDefault="004B6846" w:rsidP="00CC0EB7">
      <w:pPr>
        <w:pStyle w:val="Heading4"/>
      </w:pPr>
      <w:r w:rsidRPr="00CE2D65">
        <w:rPr>
          <w:b/>
          <w:bCs/>
          <w:i w:val="0"/>
          <w:iCs w:val="0"/>
          <w:spacing w:val="-2"/>
        </w:rPr>
        <w:t>Public transport rail partnership agreements</w:t>
      </w:r>
    </w:p>
    <w:p w:rsidR="004B6846" w:rsidRDefault="004B6846" w:rsidP="00CC0EB7">
      <w:r>
        <w:t xml:space="preserve">Public Transport Victoria (PTV) is party to contractual arrangements with franchisees to operate metropolitan rail transport services across the State, from </w:t>
      </w:r>
      <w:r w:rsidRPr="00790AC1">
        <w:t>30 November 2017 until 30 November 2024. The major contingent liabilities arising in the event of early termination or expiry of the contract are:</w:t>
      </w:r>
    </w:p>
    <w:p w:rsidR="004B6846" w:rsidRPr="00CE2D65" w:rsidRDefault="004B6846" w:rsidP="00393CA4">
      <w:pPr>
        <w:pStyle w:val="ListBullet"/>
      </w:pPr>
      <w:r w:rsidRPr="00CE2D65">
        <w:t>partnership assets – to maintain continuity of services, at early termination or expiry of the franchise contract, assets will revert to PTV or a successor. In the case of some assets, a reversion back to PTV would entail those assets being purchased; and</w:t>
      </w:r>
    </w:p>
    <w:p w:rsidR="004B6846" w:rsidRPr="00CE2D65" w:rsidRDefault="004B6846" w:rsidP="00393CA4">
      <w:pPr>
        <w:pStyle w:val="ListBullet"/>
      </w:pPr>
      <w:r w:rsidRPr="00CE2D65">
        <w:t xml:space="preserve">unfunded superannuation – at the early termination or expiry of the contract, PTV will assume any unfunded superannuation amounts (apart from contributions the operator is required to pay over the contract term) to the extent that the State becomes the successor operator. </w:t>
      </w:r>
    </w:p>
    <w:p w:rsidR="004B6846" w:rsidRPr="001A2FAA" w:rsidRDefault="004B6846" w:rsidP="00CC0EB7">
      <w:pPr>
        <w:pStyle w:val="Heading30"/>
      </w:pPr>
      <w:r w:rsidRPr="001A2FAA">
        <w:t>West Gate Tunnel Project</w:t>
      </w:r>
    </w:p>
    <w:p w:rsidR="004B6846" w:rsidRPr="00FB5F80" w:rsidRDefault="004B6846" w:rsidP="00CC0EB7">
      <w:r w:rsidRPr="00FB5F80">
        <w:t>The State and the Transurban Group entered into a public private partnership contract for the Transurban Group to build, operate and maintain th</w:t>
      </w:r>
      <w:r w:rsidR="00A767A3">
        <w:t>e West Gate Tunnel Project. The </w:t>
      </w:r>
      <w:r w:rsidRPr="00FB5F80">
        <w:t>total estimated project cost is $6.7 billion (nominal).</w:t>
      </w:r>
    </w:p>
    <w:p w:rsidR="004B6846" w:rsidRPr="00FB5F80" w:rsidRDefault="004B6846" w:rsidP="00CC0EB7">
      <w:r w:rsidRPr="00FB5F80">
        <w:t xml:space="preserve">Government policy is to fund the capital cost of the project from a State contribution of $2.7 billion (nominal), with the remainder of $4 billion (nominal) and ongoing operation and maintenance costs to be funded by Transurban from changes to tolling on the existing CityLink toll road and tolls on the West Gate Tunnel. This policy depends on obtaining the legislative support outlined in the contractual documents for implementing these toll changes. </w:t>
      </w:r>
    </w:p>
    <w:p w:rsidR="004B6846" w:rsidRDefault="004B6846" w:rsidP="00CC0EB7">
      <w:pPr>
        <w:ind w:right="-227"/>
      </w:pPr>
      <w:r w:rsidRPr="00FB5F80">
        <w:t xml:space="preserve">Should legislative support for any of the proposed toll revenue streams not be forthcoming in the agreed form and timeframe, the contractual documents specify additional State funding to replace funding from the relevant toll revenue streams plus a rate of return on </w:t>
      </w:r>
      <w:r>
        <w:t xml:space="preserve">finances raised by Transurban. </w:t>
      </w:r>
    </w:p>
    <w:p w:rsidR="004B6846" w:rsidRPr="00FB5F80" w:rsidRDefault="004B6846" w:rsidP="00CC0EB7">
      <w:pPr>
        <w:keepNext/>
        <w:ind w:right="-227"/>
      </w:pPr>
      <w:r w:rsidRPr="00FB5F80">
        <w:lastRenderedPageBreak/>
        <w:t xml:space="preserve">Several variables may influence the value of any additional State funding which </w:t>
      </w:r>
      <w:r w:rsidRPr="00FB5F80">
        <w:rPr>
          <w:lang w:val="en-GB"/>
        </w:rPr>
        <w:t>will depend on:</w:t>
      </w:r>
    </w:p>
    <w:p w:rsidR="004B6846" w:rsidRPr="00FB5F80" w:rsidRDefault="004B6846" w:rsidP="00393CA4">
      <w:pPr>
        <w:pStyle w:val="ListBullet"/>
      </w:pPr>
      <w:r w:rsidRPr="00FB5F80">
        <w:t>the extent and form of legislation that is obtained in relation to tolling the West Gate Tunnel;</w:t>
      </w:r>
    </w:p>
    <w:p w:rsidR="004B6846" w:rsidRPr="00FB5F80" w:rsidRDefault="004B6846" w:rsidP="00CC0EB7">
      <w:pPr>
        <w:numPr>
          <w:ilvl w:val="0"/>
          <w:numId w:val="7"/>
        </w:numPr>
        <w:spacing w:before="40"/>
      </w:pPr>
      <w:r w:rsidRPr="00FB5F80">
        <w:t>the extent and form of amendments to the current CityLink Concession Deed (including those that give effect to changes to the current tolling arrangements) that are approved by Parliament;</w:t>
      </w:r>
    </w:p>
    <w:p w:rsidR="004B6846" w:rsidRPr="00FB5F80" w:rsidRDefault="004B6846" w:rsidP="00CC0EB7">
      <w:pPr>
        <w:numPr>
          <w:ilvl w:val="0"/>
          <w:numId w:val="7"/>
        </w:numPr>
        <w:spacing w:before="40"/>
      </w:pPr>
      <w:r w:rsidRPr="00FB5F80">
        <w:t>the timing of the above legislation and parliamentary approval;</w:t>
      </w:r>
    </w:p>
    <w:p w:rsidR="004B6846" w:rsidRPr="00FB5F80" w:rsidRDefault="004B6846" w:rsidP="00CC0EB7">
      <w:pPr>
        <w:numPr>
          <w:ilvl w:val="0"/>
          <w:numId w:val="7"/>
        </w:numPr>
        <w:spacing w:before="40"/>
      </w:pPr>
      <w:r w:rsidRPr="00FB5F80">
        <w:t>the date construction completion is achieved (and whether any completion delays are due to the State’s or Project Co’s risks);</w:t>
      </w:r>
    </w:p>
    <w:p w:rsidR="004B6846" w:rsidRPr="00FB5F80" w:rsidRDefault="004B6846" w:rsidP="00CC0EB7">
      <w:pPr>
        <w:numPr>
          <w:ilvl w:val="0"/>
          <w:numId w:val="7"/>
        </w:numPr>
        <w:spacing w:before="40"/>
      </w:pPr>
      <w:r w:rsidRPr="00FB5F80">
        <w:t>the costs of the West Gate Tunnel Project that have been financed by the Transurban Group up to the point the legislative support is obtained; and</w:t>
      </w:r>
    </w:p>
    <w:p w:rsidR="004B6846" w:rsidRPr="00FB5F80" w:rsidRDefault="004B6846" w:rsidP="00CC0EB7">
      <w:pPr>
        <w:numPr>
          <w:ilvl w:val="0"/>
          <w:numId w:val="7"/>
        </w:numPr>
        <w:spacing w:before="40"/>
      </w:pPr>
      <w:r w:rsidRPr="00FB5F80">
        <w:t>the impacts on expected traffic and toll revenue on CityLink and West Gate Tunnel resulting from the form of legislative support after the West Gate Tunnel is open to traffic.</w:t>
      </w:r>
    </w:p>
    <w:p w:rsidR="004B6846" w:rsidRDefault="004B6846" w:rsidP="00CC0EB7">
      <w:pPr>
        <w:pStyle w:val="Heading30"/>
        <w:spacing w:before="200"/>
        <w:rPr>
          <w:rFonts w:asciiTheme="minorHAnsi" w:eastAsiaTheme="minorHAnsi" w:hAnsiTheme="minorHAnsi" w:cstheme="minorBidi"/>
          <w:b w:val="0"/>
          <w:bCs w:val="0"/>
          <w:spacing w:val="0"/>
          <w:szCs w:val="22"/>
        </w:rPr>
      </w:pPr>
      <w:r w:rsidRPr="00FB5F80">
        <w:rPr>
          <w:rFonts w:asciiTheme="minorHAnsi" w:eastAsiaTheme="minorHAnsi" w:hAnsiTheme="minorHAnsi" w:cstheme="minorBidi"/>
          <w:b w:val="0"/>
          <w:bCs w:val="0"/>
          <w:spacing w:val="0"/>
          <w:szCs w:val="22"/>
          <w:lang w:val="en-GB"/>
        </w:rPr>
        <w:t xml:space="preserve">The State and the Transurban Group will therefore be required to negotiate the applicable financial or commercial adjustments when the additional State funding is due to be paid. </w:t>
      </w:r>
      <w:r w:rsidRPr="00FB5F80">
        <w:rPr>
          <w:rFonts w:asciiTheme="minorHAnsi" w:eastAsiaTheme="minorHAnsi" w:hAnsiTheme="minorHAnsi" w:cstheme="minorBidi"/>
          <w:b w:val="0"/>
          <w:bCs w:val="0"/>
          <w:spacing w:val="0"/>
          <w:szCs w:val="22"/>
        </w:rPr>
        <w:t>Due to the significant number of variables and the high level of uncertainty, it is not feasible to reliably quantify an estimate of the likely additional State funding support at the date of this report.</w:t>
      </w:r>
      <w:r>
        <w:rPr>
          <w:rFonts w:asciiTheme="minorHAnsi" w:eastAsiaTheme="minorHAnsi" w:hAnsiTheme="minorHAnsi" w:cstheme="minorBidi"/>
          <w:b w:val="0"/>
          <w:bCs w:val="0"/>
          <w:spacing w:val="0"/>
          <w:szCs w:val="22"/>
        </w:rPr>
        <w:t xml:space="preserve"> </w:t>
      </w:r>
    </w:p>
    <w:p w:rsidR="004B6846" w:rsidRPr="001A2FAA" w:rsidRDefault="004B6846" w:rsidP="00CC0EB7">
      <w:pPr>
        <w:pStyle w:val="Heading30"/>
        <w:spacing w:before="200"/>
      </w:pPr>
      <w:r w:rsidRPr="001A2FAA">
        <w:t xml:space="preserve">Fiskville independent investigation and closure of </w:t>
      </w:r>
      <w:r>
        <w:t xml:space="preserve">the </w:t>
      </w:r>
      <w:r w:rsidRPr="001A2FAA">
        <w:t>training college</w:t>
      </w:r>
    </w:p>
    <w:p w:rsidR="004B6846" w:rsidRPr="001A2FAA" w:rsidRDefault="004B6846" w:rsidP="00CC0EB7">
      <w:r w:rsidRPr="001A2FAA">
        <w:t xml:space="preserve">An independent investigation was undertaken into the historical use of chemicals for live firefighting training at Fiskville Training College (Fiskville) between 1971 and 1999. The report of the independent investigation has been released and the Country Fire Authority (CFA) has accepted all of the facts, recommendations and conclusions and is committed to implementing all recommendations. </w:t>
      </w:r>
    </w:p>
    <w:p w:rsidR="004B6846" w:rsidRPr="001A2FAA" w:rsidRDefault="004B6846" w:rsidP="00CC0EB7">
      <w:r w:rsidRPr="001A2FAA">
        <w:t xml:space="preserve">In August 2012, the CFA established a program office to manage the implementation of the report’s recommendations and an additional 11 management initiatives to which the CFA Board committed in its response to the report. </w:t>
      </w:r>
    </w:p>
    <w:p w:rsidR="004B6846" w:rsidRPr="001A2FAA" w:rsidRDefault="004B6846" w:rsidP="00CC0EB7">
      <w:r w:rsidRPr="001A2FAA">
        <w:t>On 26 March 2015, the Government announced the permanent closure of Fiskville. Fiskville and Victorian Emergency Management Training Centre training grounds owned by CFA at Penshurst, Bangholme, West Sale, Wangaratta, Huntly, and Longerenong have been the subject of notices issued by the Environment Protection Agency (EPA).</w:t>
      </w:r>
    </w:p>
    <w:p w:rsidR="004B6846" w:rsidRPr="001A2FAA" w:rsidRDefault="004B6846" w:rsidP="00CC0EB7">
      <w:pPr>
        <w:ind w:right="-369"/>
      </w:pPr>
      <w:r w:rsidRPr="001A2FAA">
        <w:t>The Government response to the Fiskville Inquiry was tabled in Parliament on 24</w:t>
      </w:r>
      <w:r>
        <w:t> </w:t>
      </w:r>
      <w:r w:rsidRPr="001A2FAA">
        <w:t>November</w:t>
      </w:r>
      <w:r>
        <w:t xml:space="preserve"> </w:t>
      </w:r>
      <w:r w:rsidRPr="001A2FAA">
        <w:t>2016. The response supports all of the 31 recommendations of the Victorian Parliamentary Inquiry into the CFA Training College at Fiskville, either in full, in principle or in part.</w:t>
      </w:r>
    </w:p>
    <w:p w:rsidR="004B6846" w:rsidRPr="001A2FAA" w:rsidRDefault="004B6846" w:rsidP="00CC0EB7">
      <w:r w:rsidRPr="001A2FAA">
        <w:t>The CFA has a number of contingent liabilities arising from the closure of Fiskville and the notices issued by EPA. These relate to any further notices that may be issued by the EPA, any regulatory infringements that may be imposed by the EPA, compensation that may be sought, any legal claims that may be made, recommendations made by the Inquiry and the costs of relocating the Firefighters’ Memorial previously located at Fiskville.</w:t>
      </w:r>
    </w:p>
    <w:p w:rsidR="004B6846" w:rsidRPr="001A2FAA" w:rsidRDefault="004B6846" w:rsidP="00CC0EB7">
      <w:r w:rsidRPr="001A2FAA">
        <w:t>At this stage it is impractical to quantify the financial effects of these contingent liabilities.</w:t>
      </w:r>
    </w:p>
    <w:p w:rsidR="004B6846" w:rsidRPr="001A2FAA" w:rsidRDefault="004B6846" w:rsidP="00CC0EB7">
      <w:pPr>
        <w:pStyle w:val="Heading30"/>
      </w:pPr>
      <w:r w:rsidRPr="001A2FAA">
        <w:lastRenderedPageBreak/>
        <w:t>Compulsory property acquisitions</w:t>
      </w:r>
    </w:p>
    <w:p w:rsidR="004B6846" w:rsidRPr="001A2FAA" w:rsidRDefault="004B6846" w:rsidP="00CC0EB7">
      <w:pPr>
        <w:ind w:right="-213"/>
      </w:pPr>
      <w:r w:rsidRPr="001A2FAA">
        <w:t xml:space="preserve">The State has compulsorily acquired a number of properties (residential and commercial) through the </w:t>
      </w:r>
      <w:r w:rsidRPr="001A2FAA">
        <w:rPr>
          <w:i/>
        </w:rPr>
        <w:t>Land Acquisition and Compensation Act 1986</w:t>
      </w:r>
      <w:r w:rsidRPr="001A2FAA">
        <w:t xml:space="preserve"> to facilitate delivery of various projects. Possible future claims for compensation arising from the compulsory acquisition of these properties cannot be quantified at this stage.</w:t>
      </w:r>
    </w:p>
    <w:p w:rsidR="004B6846" w:rsidRPr="001A2FAA" w:rsidRDefault="004B6846" w:rsidP="00CC0EB7">
      <w:pPr>
        <w:pStyle w:val="Heading30"/>
      </w:pPr>
      <w:r w:rsidRPr="001A2FAA">
        <w:t>Land remediation – environmental concerns</w:t>
      </w:r>
    </w:p>
    <w:p w:rsidR="004B6846" w:rsidRPr="001A2FAA" w:rsidRDefault="004B6846" w:rsidP="00A767A3">
      <w:pPr>
        <w:ind w:right="-227"/>
      </w:pPr>
      <w:r w:rsidRPr="001A2FAA">
        <w:t xml:space="preserve">In addition to properties for which remediation costs have been provided in the State’s financial statements, certain other properties have been identified as potentially contaminated sites. The State does not admit any liability in respect of these sites. However, remedial expenditure may be incurred to restore the sites to an acceptable environmental standard in the event that a contamination risk is identified. </w:t>
      </w:r>
    </w:p>
    <w:p w:rsidR="004B6846" w:rsidRPr="001A2FAA" w:rsidRDefault="004B6846" w:rsidP="00CC0EB7">
      <w:pPr>
        <w:pStyle w:val="Heading30"/>
      </w:pPr>
      <w:r w:rsidRPr="001A2FAA">
        <w:t>Native Title</w:t>
      </w:r>
    </w:p>
    <w:p w:rsidR="004B6846" w:rsidRPr="001A2FAA" w:rsidRDefault="004B6846" w:rsidP="00CC0EB7">
      <w:r w:rsidRPr="001A2FAA">
        <w:t xml:space="preserve">A number of claims have been filed in the Federal Court under the Commonwealth </w:t>
      </w:r>
      <w:r w:rsidRPr="001A2FAA">
        <w:rPr>
          <w:i/>
        </w:rPr>
        <w:t>Native Title Act 1993</w:t>
      </w:r>
      <w:r w:rsidRPr="001A2FAA">
        <w:t xml:space="preserve"> that affect Victoria. It is not feasible at this time to quantify any future liability. </w:t>
      </w:r>
    </w:p>
    <w:p w:rsidR="004B6846" w:rsidRPr="001A2FAA" w:rsidRDefault="004B6846" w:rsidP="00CC0EB7">
      <w:pPr>
        <w:pStyle w:val="Heading4"/>
      </w:pPr>
      <w:r w:rsidRPr="001A2FAA">
        <w:rPr>
          <w:b/>
          <w:bCs/>
          <w:i w:val="0"/>
          <w:iCs w:val="0"/>
          <w:spacing w:val="-2"/>
        </w:rPr>
        <w:t>Royal Melbourne Showgrounds redevelopment</w:t>
      </w:r>
    </w:p>
    <w:p w:rsidR="004B6846" w:rsidRPr="001A2FAA" w:rsidRDefault="004B6846" w:rsidP="00CC0EB7">
      <w:r w:rsidRPr="001A2FAA">
        <w:t>Under the State’s commitment to the Royal Agriculture Society of Victoria (RASV), the State backs certain obligations of RASV that may arise out of the joint venture agreement between RASV and the State. Under the State’s commitment to RASV, the State will pay (in the form of a loan) the amount requested by RASV. If any outstanding loan amount remains unpaid at the date 25 years after the operation term has commenced, RASV will be obliged to satisfy the outstanding loan amount. This may take the form of a transfer to the State, of the whole of the RASV participating interest in the joint venture.</w:t>
      </w:r>
    </w:p>
    <w:p w:rsidR="004B6846" w:rsidRPr="001A2FAA" w:rsidRDefault="004B6846" w:rsidP="00CC0EB7">
      <w:r w:rsidRPr="001A2FAA">
        <w:t xml:space="preserve">Under the State Support Deed – Core Land, the State has undertaken to ensure the performance of the payment obligations in favour of the Concessionaire and the performance of the joint venture financial obligations in favour of the security trustee. </w:t>
      </w:r>
    </w:p>
    <w:p w:rsidR="004B6846" w:rsidRPr="001A2FAA" w:rsidRDefault="004B6846" w:rsidP="00CC0EB7">
      <w:r w:rsidRPr="001A2FAA">
        <w:t>The State has also entered into an agreement through the State Support Deed – Non Core Land with Showgrounds Retail Developments Pty Ltd and the RASV, whereby the State agrees to support certain payment obligations of the RA</w:t>
      </w:r>
      <w:r>
        <w:t>SV that may arise under the non</w:t>
      </w:r>
      <w:r>
        <w:noBreakHyphen/>
      </w:r>
      <w:r w:rsidRPr="001A2FAA">
        <w:t xml:space="preserve">core development agreement. </w:t>
      </w:r>
    </w:p>
    <w:p w:rsidR="004B6846" w:rsidRDefault="004B6846">
      <w:pPr>
        <w:keepLines w:val="0"/>
      </w:pPr>
      <w:r>
        <w:br w:type="page"/>
      </w:r>
    </w:p>
    <w:p w:rsidR="004B6846" w:rsidRPr="001A2FAA" w:rsidRDefault="004B6846" w:rsidP="00CC0EB7">
      <w:pPr>
        <w:pStyle w:val="Heading4"/>
        <w:rPr>
          <w:b/>
          <w:bCs/>
          <w:i w:val="0"/>
          <w:iCs w:val="0"/>
          <w:spacing w:val="-2"/>
        </w:rPr>
      </w:pPr>
      <w:r w:rsidRPr="001A2FAA">
        <w:rPr>
          <w:b/>
          <w:bCs/>
          <w:i w:val="0"/>
          <w:iCs w:val="0"/>
          <w:spacing w:val="-2"/>
        </w:rPr>
        <w:lastRenderedPageBreak/>
        <w:t>Victorian Managed Insurance Authority – insurance cover</w:t>
      </w:r>
    </w:p>
    <w:p w:rsidR="004B6846" w:rsidRPr="001A2FAA" w:rsidRDefault="004B6846" w:rsidP="00CC0EB7">
      <w:pPr>
        <w:ind w:right="-71"/>
      </w:pPr>
      <w:r w:rsidRPr="001A2FAA">
        <w:t xml:space="preserve">The Victorian Managed Insurance Authority (VMIA) was established in 1996 as an insurer for Victorian government departments, participating bodies and other entities as defined under the </w:t>
      </w:r>
      <w:r w:rsidRPr="001A2FAA">
        <w:rPr>
          <w:i/>
        </w:rPr>
        <w:t>Victorian Managed Insurance Authority Act 1996</w:t>
      </w:r>
      <w:r w:rsidRPr="001A2FAA">
        <w:t>. The VMIA provides its clients with a range of insurance cover, including for property, public and products liabil</w:t>
      </w:r>
      <w:r>
        <w:t xml:space="preserve">ity, professional indemnity, </w:t>
      </w:r>
      <w:r w:rsidRPr="001A2FAA">
        <w:t>contract works</w:t>
      </w:r>
      <w:r w:rsidRPr="001F48CA">
        <w:rPr>
          <w:rFonts w:ascii="Helv" w:hAnsi="Helv" w:cs="Helv"/>
          <w:color w:val="FF0000"/>
          <w:sz w:val="20"/>
          <w:szCs w:val="20"/>
        </w:rPr>
        <w:t xml:space="preserve"> </w:t>
      </w:r>
      <w:r w:rsidRPr="001F48CA">
        <w:t>and domestic building insurance for the Victorian residential builders</w:t>
      </w:r>
      <w:r w:rsidRPr="001A2FAA">
        <w:t>. The VMIA reinsures in the private market for losses above $50 million arising out of any one occurrence, up to a maximum of $1</w:t>
      </w:r>
      <w:r>
        <w:t> </w:t>
      </w:r>
      <w:r w:rsidRPr="001A2FAA">
        <w:t>billion for public and products liability, and for losses above $50 million arising out of any one event, up to a maximum of $3.6</w:t>
      </w:r>
      <w:r w:rsidR="00A767A3">
        <w:t> </w:t>
      </w:r>
      <w:r w:rsidRPr="001A2FAA">
        <w:t>billion for property. Further, the VMIA reinsures in the private market for losses above $10 million arising out of any o</w:t>
      </w:r>
      <w:r>
        <w:t>ne event, up to a limit of $1.5 </w:t>
      </w:r>
      <w:r w:rsidRPr="001A2FAA">
        <w:t>billion for terrorism. The risk of losses above these reinsured levels is borne by the State.</w:t>
      </w:r>
    </w:p>
    <w:p w:rsidR="004B6846" w:rsidRDefault="004B6846" w:rsidP="00CC0EB7">
      <w:pPr>
        <w:ind w:right="-71"/>
      </w:pPr>
      <w:r w:rsidRPr="001A2FAA">
        <w:t xml:space="preserve">The VMIA also insures the Department of Health and Human Services for all public sector medical indemnity claims incurred in each policy year from 1 July 2003, regardless of when claims are finally settled. Under the indemnity deed to provide stop loss protection for the VMIA, </w:t>
      </w:r>
      <w:r>
        <w:t>the Department of Treasury and Finance</w:t>
      </w:r>
      <w:r w:rsidRPr="001A2FAA">
        <w:t xml:space="preserve"> has agreed to reimburse the VMIA if the ultimate claims payouts exceed by more than 20 per cent of the initial estimate on which the risk premium was based.</w:t>
      </w:r>
    </w:p>
    <w:p w:rsidR="004B6846" w:rsidRDefault="004B6846">
      <w:pPr>
        <w:keepLines w:val="0"/>
      </w:pPr>
    </w:p>
    <w:p w:rsidR="004B6846" w:rsidRDefault="004B6846" w:rsidP="004B6846">
      <w:pPr>
        <w:pStyle w:val="Heading10"/>
        <w:sectPr w:rsidR="004B6846" w:rsidSect="00CC0EB7">
          <w:headerReference w:type="even" r:id="rId65"/>
          <w:headerReference w:type="default" r:id="rId66"/>
          <w:footerReference w:type="even" r:id="rId67"/>
          <w:footerReference w:type="default" r:id="rId68"/>
          <w:headerReference w:type="first" r:id="rId69"/>
          <w:footerReference w:type="first" r:id="rId70"/>
          <w:type w:val="oddPage"/>
          <w:pgSz w:w="9979" w:h="14175" w:code="9"/>
          <w:pgMar w:top="850" w:right="1134" w:bottom="850" w:left="1134" w:header="624" w:footer="567" w:gutter="0"/>
          <w:cols w:space="567"/>
          <w:titlePg/>
          <w:docGrid w:linePitch="360"/>
        </w:sectPr>
      </w:pPr>
    </w:p>
    <w:p w:rsidR="004B6846" w:rsidRPr="00CB74DA" w:rsidRDefault="004B6846" w:rsidP="00CB74DA">
      <w:pPr>
        <w:pStyle w:val="Chapterheading"/>
      </w:pPr>
      <w:bookmarkStart w:id="93" w:name="_Toc531884964"/>
      <w:r w:rsidRPr="00CB74DA">
        <w:lastRenderedPageBreak/>
        <w:t>Appendix A – Specific policy initiatives affecting budget position</w:t>
      </w:r>
      <w:bookmarkEnd w:id="93"/>
    </w:p>
    <w:p w:rsidR="004B6846" w:rsidRDefault="004B6846" w:rsidP="00CC0EB7">
      <w:r>
        <w:t xml:space="preserve">Policy initiatives that affect outputs and assets, including Treasurer’s Advances, agreed by the Government since the </w:t>
      </w:r>
      <w:r>
        <w:rPr>
          <w:i/>
        </w:rPr>
        <w:t xml:space="preserve">2018-19 Budget </w:t>
      </w:r>
      <w:r>
        <w:t xml:space="preserve">are detailed in Appendix A of the November </w:t>
      </w:r>
      <w:r w:rsidRPr="00380F8C">
        <w:rPr>
          <w:i/>
        </w:rPr>
        <w:t>2018 Pre-Election Budget Update</w:t>
      </w:r>
      <w:r>
        <w:t>.</w:t>
      </w:r>
    </w:p>
    <w:p w:rsidR="004B6846" w:rsidRDefault="004B6846">
      <w:pPr>
        <w:keepLines w:val="0"/>
      </w:pPr>
      <w:r>
        <w:br w:type="page"/>
      </w:r>
    </w:p>
    <w:p w:rsidR="004B6846" w:rsidRPr="00B30F8D" w:rsidRDefault="004B6846" w:rsidP="00CC0EB7">
      <w:pPr>
        <w:jc w:val="center"/>
        <w:rPr>
          <w:rFonts w:eastAsia="Times New Roman" w:cs="Times New Roman"/>
        </w:rPr>
      </w:pPr>
    </w:p>
    <w:p w:rsidR="004B6846" w:rsidRPr="00B30F8D" w:rsidRDefault="004B6846" w:rsidP="00CC0EB7">
      <w:pPr>
        <w:jc w:val="center"/>
        <w:rPr>
          <w:rFonts w:eastAsia="Times New Roman" w:cs="Times New Roman"/>
        </w:rPr>
      </w:pPr>
    </w:p>
    <w:p w:rsidR="004B6846" w:rsidRPr="00B30F8D" w:rsidRDefault="004B6846" w:rsidP="00CC0EB7">
      <w:pPr>
        <w:jc w:val="center"/>
        <w:rPr>
          <w:rFonts w:eastAsia="Times New Roman" w:cs="Times New Roman"/>
        </w:rPr>
      </w:pPr>
    </w:p>
    <w:p w:rsidR="004B6846" w:rsidRDefault="004B6846" w:rsidP="00CC0EB7"/>
    <w:p w:rsidR="004B6846" w:rsidRDefault="004B6846" w:rsidP="004B6846">
      <w:pPr>
        <w:pStyle w:val="Heading10"/>
        <w:sectPr w:rsidR="004B6846" w:rsidSect="00CC0EB7">
          <w:headerReference w:type="even" r:id="rId71"/>
          <w:headerReference w:type="default" r:id="rId72"/>
          <w:footerReference w:type="even" r:id="rId73"/>
          <w:footerReference w:type="default" r:id="rId74"/>
          <w:headerReference w:type="first" r:id="rId75"/>
          <w:footerReference w:type="first" r:id="rId76"/>
          <w:type w:val="oddPage"/>
          <w:pgSz w:w="9979" w:h="14175" w:code="9"/>
          <w:pgMar w:top="850" w:right="1134" w:bottom="850" w:left="1134" w:header="624" w:footer="567" w:gutter="0"/>
          <w:cols w:space="567"/>
          <w:titlePg/>
          <w:docGrid w:linePitch="360"/>
        </w:sectPr>
      </w:pPr>
    </w:p>
    <w:p w:rsidR="004B6846" w:rsidRDefault="004B6846" w:rsidP="000C43CD">
      <w:pPr>
        <w:pStyle w:val="Chapterheading"/>
      </w:pPr>
      <w:bookmarkStart w:id="94" w:name="_Toc531884965"/>
      <w:r>
        <w:lastRenderedPageBreak/>
        <w:t xml:space="preserve">Appendix B – Amendments to the </w:t>
      </w:r>
      <w:r w:rsidR="00A767A3">
        <w:br/>
      </w:r>
      <w:r>
        <w:t>2018-19 output performance measures</w:t>
      </w:r>
      <w:bookmarkEnd w:id="94"/>
    </w:p>
    <w:p w:rsidR="004B6846" w:rsidRPr="0002410E" w:rsidRDefault="004B6846" w:rsidP="00CC0EB7">
      <w:r w:rsidRPr="0002410E">
        <w:t xml:space="preserve">Output measures for all departments were published in Chapter 2 and Appendix A of Budget Paper No. 3 </w:t>
      </w:r>
      <w:r w:rsidRPr="0002410E">
        <w:rPr>
          <w:i/>
        </w:rPr>
        <w:t>Service Delivery</w:t>
      </w:r>
      <w:r w:rsidRPr="0002410E">
        <w:t xml:space="preserve">. The Public Accounts and Estimates Committee has completed its review of the measures which were substantially changed or proposed to be discontinued, and tabled its report in Parliament on </w:t>
      </w:r>
      <w:r>
        <w:t>18 September</w:t>
      </w:r>
      <w:r w:rsidRPr="0002410E">
        <w:t xml:space="preserve"> 201</w:t>
      </w:r>
      <w:r>
        <w:t>8</w:t>
      </w:r>
      <w:r w:rsidRPr="0002410E">
        <w:t>. The Government will consider the Committee’s report and respond to the recommendations within the legislated timeline. All agreed changes to output performance measures will be reflected in the next budget publication.</w:t>
      </w:r>
    </w:p>
    <w:p w:rsidR="004B6846" w:rsidRDefault="004B6846" w:rsidP="00CC0EB7">
      <w:pPr>
        <w:keepLines w:val="0"/>
        <w:rPr>
          <w:rFonts w:asciiTheme="majorHAnsi" w:eastAsiaTheme="majorEastAsia" w:hAnsiTheme="majorHAnsi" w:cstheme="majorBidi"/>
          <w:b/>
          <w:bCs/>
          <w:caps/>
          <w:spacing w:val="-2"/>
          <w:sz w:val="26"/>
          <w:szCs w:val="28"/>
        </w:rPr>
      </w:pPr>
      <w:r>
        <w:br w:type="page"/>
      </w:r>
    </w:p>
    <w:p w:rsidR="004B6846" w:rsidRPr="0013434B" w:rsidRDefault="004B6846" w:rsidP="00CC0EB7">
      <w:pPr>
        <w:jc w:val="center"/>
        <w:rPr>
          <w:rFonts w:eastAsia="Times New Roman" w:cs="Times New Roman"/>
        </w:rPr>
      </w:pPr>
    </w:p>
    <w:p w:rsidR="004B6846" w:rsidRPr="0013434B" w:rsidRDefault="004B6846" w:rsidP="00CC0EB7">
      <w:pPr>
        <w:jc w:val="center"/>
        <w:rPr>
          <w:rFonts w:eastAsia="Times New Roman" w:cs="Times New Roman"/>
        </w:rPr>
      </w:pPr>
    </w:p>
    <w:p w:rsidR="00065FD3" w:rsidRPr="0013434B" w:rsidRDefault="00065FD3" w:rsidP="00065FD3">
      <w:pPr>
        <w:jc w:val="center"/>
        <w:rPr>
          <w:rFonts w:eastAsia="Times New Roman" w:cs="Times New Roman"/>
        </w:rPr>
      </w:pPr>
    </w:p>
    <w:p w:rsidR="004B6846" w:rsidRPr="0013434B" w:rsidRDefault="004B6846" w:rsidP="00CC0EB7">
      <w:pPr>
        <w:jc w:val="center"/>
        <w:rPr>
          <w:rFonts w:eastAsia="Times New Roman" w:cs="Times New Roman"/>
        </w:rPr>
      </w:pPr>
    </w:p>
    <w:p w:rsidR="004B6846" w:rsidRDefault="004B6846" w:rsidP="004419CD"/>
    <w:p w:rsidR="004B6846" w:rsidRDefault="004B6846" w:rsidP="004B6846">
      <w:pPr>
        <w:pStyle w:val="Heading10"/>
        <w:sectPr w:rsidR="004B6846" w:rsidSect="00CC0EB7">
          <w:headerReference w:type="even" r:id="rId77"/>
          <w:headerReference w:type="default" r:id="rId78"/>
          <w:footerReference w:type="even" r:id="rId79"/>
          <w:footerReference w:type="default" r:id="rId80"/>
          <w:headerReference w:type="first" r:id="rId81"/>
          <w:footerReference w:type="first" r:id="rId82"/>
          <w:type w:val="oddPage"/>
          <w:pgSz w:w="9979" w:h="14175" w:code="9"/>
          <w:pgMar w:top="850" w:right="1134" w:bottom="850" w:left="1134" w:header="624" w:footer="567" w:gutter="0"/>
          <w:cols w:space="567"/>
          <w:titlePg/>
          <w:docGrid w:linePitch="360"/>
        </w:sectPr>
      </w:pPr>
    </w:p>
    <w:p w:rsidR="004B6846" w:rsidRDefault="004B6846" w:rsidP="00CC0EB7">
      <w:pPr>
        <w:pStyle w:val="Chapterheading"/>
      </w:pPr>
      <w:bookmarkStart w:id="95" w:name="_Toc531884966"/>
      <w:r>
        <w:lastRenderedPageBreak/>
        <w:t>Appendix C – Tax expenditures and concessions</w:t>
      </w:r>
      <w:bookmarkEnd w:id="95"/>
    </w:p>
    <w:p w:rsidR="004B6846" w:rsidRPr="004E2527" w:rsidRDefault="004B6846" w:rsidP="00CC0EB7">
      <w:r w:rsidRPr="00CF652A">
        <w:t>Tax expenditures and concessions represent forgone revenue to the State. They take a number of different forms in the tax system, for example, exemptions, benefits and incentives delivered through the tax system. Regardless of form, they preferentially benefit certain taxpayers, activities or assets compared</w:t>
      </w:r>
      <w:r>
        <w:t xml:space="preserve"> with normal taxation treatment</w:t>
      </w:r>
      <w:r w:rsidRPr="004E2527">
        <w:t>.</w:t>
      </w:r>
    </w:p>
    <w:p w:rsidR="004B6846" w:rsidRPr="004E2527" w:rsidRDefault="004B6846" w:rsidP="00CC0EB7">
      <w:pPr>
        <w:keepNext/>
        <w:spacing w:before="360"/>
        <w:outlineLvl w:val="0"/>
        <w:rPr>
          <w:rFonts w:asciiTheme="majorHAnsi" w:eastAsiaTheme="majorEastAsia" w:hAnsiTheme="majorHAnsi" w:cstheme="majorBidi"/>
          <w:b/>
          <w:bCs/>
          <w:caps/>
          <w:spacing w:val="-2"/>
          <w:sz w:val="26"/>
          <w:szCs w:val="28"/>
        </w:rPr>
      </w:pPr>
      <w:r w:rsidRPr="004E2527">
        <w:rPr>
          <w:rFonts w:asciiTheme="majorHAnsi" w:eastAsiaTheme="majorEastAsia" w:hAnsiTheme="majorHAnsi" w:cstheme="majorBidi"/>
          <w:b/>
          <w:bCs/>
          <w:caps/>
          <w:spacing w:val="-2"/>
          <w:sz w:val="26"/>
          <w:szCs w:val="28"/>
        </w:rPr>
        <w:t>Tax expenditures</w:t>
      </w:r>
    </w:p>
    <w:p w:rsidR="004B6846" w:rsidRPr="004E2527" w:rsidRDefault="004B6846" w:rsidP="00CC0EB7">
      <w:r w:rsidRPr="004E2527">
        <w:t>Tax expenditures are estimated by taking the difference between the reduced tax paid by a person or entity receiving preferential treatment and the tax paid by similar taxpayers who do not receive that treatment. Benefits arising from marginal tax rates and tax-free thresholds are not considered to be tax expenditures, since they apply to all taxpayers. Accordingly, they are not included in this section.</w:t>
      </w:r>
    </w:p>
    <w:p w:rsidR="004B6846" w:rsidRPr="004E2527" w:rsidRDefault="004B6846" w:rsidP="00CC0EB7">
      <w:r w:rsidRPr="004E2527">
        <w:t>Over the past d</w:t>
      </w:r>
      <w:r>
        <w:t>ecade, the State has forgone $47.6</w:t>
      </w:r>
      <w:r w:rsidRPr="004E2527">
        <w:t xml:space="preserve"> billion in revenue in the form of tax expend</w:t>
      </w:r>
      <w:r>
        <w:t>itures. In 2018-19</w:t>
      </w:r>
      <w:r w:rsidRPr="004E2527">
        <w:t>, tax ex</w:t>
      </w:r>
      <w:r>
        <w:t>penditures are forecast to be $8.9</w:t>
      </w:r>
      <w:r w:rsidRPr="004E2527">
        <w:t> billion</w:t>
      </w:r>
      <w:r>
        <w:t>.</w:t>
      </w:r>
    </w:p>
    <w:p w:rsidR="004B6846" w:rsidRPr="004E2527" w:rsidRDefault="004B6846" w:rsidP="00A767A3">
      <w:r w:rsidRPr="004E2527">
        <w:t>The tax expenditures outlined below can include exemptions, reduced rates, deductions or rebates of tax for a certain type of taxpayer, activity or asset. Table C.1 aggregates tax expenditure estimates by the main ta</w:t>
      </w:r>
      <w:r>
        <w:t>x categories for the period 2017-18 to 2021-22</w:t>
      </w:r>
      <w:r w:rsidRPr="004E2527">
        <w:t>. In estimating tax expenditures, it is assumed that taxpayer behaviour is unchanged by the concession.</w:t>
      </w:r>
    </w:p>
    <w:p w:rsidR="004B6846" w:rsidRDefault="004B6846" w:rsidP="00CC0EB7">
      <w:r w:rsidRPr="008B23B8">
        <w:t xml:space="preserve">Land tax expenditures form a significant portion of total estimated tax expenditures. The current biennial </w:t>
      </w:r>
      <w:r>
        <w:t xml:space="preserve">property valuation process was centralised within the Valuer-General Victoria on 1 July 2018 and will be undertaken annually from the 2019 revaluation cycle. </w:t>
      </w:r>
    </w:p>
    <w:p w:rsidR="004B6846" w:rsidRDefault="004B6846">
      <w:pPr>
        <w:keepLines w:val="0"/>
        <w:rPr>
          <w:rFonts w:asciiTheme="majorHAnsi" w:hAnsiTheme="majorHAnsi"/>
          <w:b/>
          <w:sz w:val="20"/>
          <w:szCs w:val="20"/>
        </w:rPr>
      </w:pPr>
      <w:r>
        <w:br w:type="page"/>
      </w:r>
    </w:p>
    <w:p w:rsidR="004B6846" w:rsidRDefault="004B6846" w:rsidP="00CC0EB7">
      <w:pPr>
        <w:pStyle w:val="TableHeading"/>
      </w:pPr>
      <w:r w:rsidRPr="004E2527">
        <w:lastRenderedPageBreak/>
        <w:t>Table C.1:</w:t>
      </w:r>
      <w:r w:rsidRPr="004E2527">
        <w:tab/>
        <w:t xml:space="preserve">Estimates of aggregate tax expenditures by type of tax </w:t>
      </w:r>
      <w:r w:rsidRPr="004E2527">
        <w:rPr>
          <w:vertAlign w:val="superscript"/>
        </w:rPr>
        <w:t>(a)</w:t>
      </w:r>
      <w:r w:rsidRPr="004E2527">
        <w:rPr>
          <w:vertAlign w:val="superscript"/>
        </w:rPr>
        <w:tab/>
      </w:r>
      <w:r w:rsidRPr="004E2527">
        <w:t>($ million)</w:t>
      </w:r>
      <w:r w:rsidRPr="004E2527">
        <w:rPr>
          <w:i/>
          <w:spacing w:val="-2"/>
          <w:sz w:val="14"/>
        </w:rPr>
        <w:t xml:space="preserve"> </w:t>
      </w:r>
      <w:bookmarkStart w:id="96" w:name="RANGE!A4:H12"/>
    </w:p>
    <w:tbl>
      <w:tblPr>
        <w:tblStyle w:val="DTFTable"/>
        <w:tblW w:w="7768" w:type="dxa"/>
        <w:tblInd w:w="45" w:type="dxa"/>
        <w:tblLayout w:type="fixed"/>
        <w:tblCellMar>
          <w:left w:w="45" w:type="dxa"/>
          <w:right w:w="45" w:type="dxa"/>
        </w:tblCellMar>
        <w:tblLook w:val="06E0" w:firstRow="1" w:lastRow="1" w:firstColumn="1" w:lastColumn="0" w:noHBand="1" w:noVBand="1"/>
      </w:tblPr>
      <w:tblGrid>
        <w:gridCol w:w="3517"/>
        <w:gridCol w:w="851"/>
        <w:gridCol w:w="850"/>
        <w:gridCol w:w="850"/>
        <w:gridCol w:w="850"/>
        <w:gridCol w:w="850"/>
      </w:tblGrid>
      <w:tr w:rsidR="004B6846" w:rsidRPr="00395D65" w:rsidTr="00CC0EB7">
        <w:trPr>
          <w:cnfStyle w:val="100000000000" w:firstRow="1" w:lastRow="0" w:firstColumn="0" w:lastColumn="0" w:oddVBand="0" w:evenVBand="0" w:oddHBand="0" w:evenHBand="0" w:firstRowFirstColumn="0" w:firstRowLastColumn="0" w:lastRowFirstColumn="0" w:lastRowLastColumn="0"/>
          <w:divId w:val="1608001730"/>
          <w:cantSplit/>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clear" w:color="000000" w:fill="000000"/>
            <w:noWrap/>
            <w:hideMark/>
          </w:tcPr>
          <w:p w:rsidR="004B6846" w:rsidRPr="00395D65" w:rsidRDefault="004B6846" w:rsidP="00CC0EB7">
            <w:pPr>
              <w:rPr>
                <w:rFonts w:eastAsia="Times New Roman" w:cstheme="majorHAnsi"/>
                <w:i w:val="0"/>
                <w:iCs/>
                <w:color w:val="FFFFFF"/>
                <w:szCs w:val="19"/>
                <w:lang w:eastAsia="en-AU"/>
              </w:rPr>
            </w:pPr>
            <w:r w:rsidRPr="00395D65">
              <w:rPr>
                <w:rFonts w:eastAsia="Times New Roman" w:cstheme="majorHAnsi"/>
                <w:iCs/>
                <w:color w:val="FFFFFF"/>
                <w:szCs w:val="19"/>
                <w:lang w:eastAsia="en-AU"/>
              </w:rPr>
              <w:t>Description</w:t>
            </w:r>
          </w:p>
        </w:tc>
        <w:tc>
          <w:tcPr>
            <w:tcW w:w="850" w:type="dxa"/>
            <w:tcBorders>
              <w:top w:val="nil"/>
              <w:left w:val="nil"/>
              <w:bottom w:val="nil"/>
              <w:right w:val="nil"/>
            </w:tcBorders>
            <w:shd w:val="clear" w:color="000000" w:fill="000000"/>
            <w:noWrap/>
            <w:hideMark/>
          </w:tcPr>
          <w:p w:rsidR="004B6846" w:rsidRPr="00395D65" w:rsidRDefault="004B6846" w:rsidP="00CC0EB7">
            <w:pPr>
              <w:keepLines w:val="0"/>
              <w:cnfStyle w:val="100000000000" w:firstRow="1" w:lastRow="0" w:firstColumn="0" w:lastColumn="0" w:oddVBand="0" w:evenVBand="0" w:oddHBand="0" w:evenHBand="0" w:firstRowFirstColumn="0" w:firstRowLastColumn="0" w:lastRowFirstColumn="0" w:lastRowLastColumn="0"/>
              <w:rPr>
                <w:rFonts w:eastAsia="Times New Roman" w:cstheme="majorHAnsi"/>
                <w:i w:val="0"/>
                <w:iCs/>
                <w:color w:val="FFFFFF"/>
                <w:szCs w:val="19"/>
                <w:lang w:eastAsia="en-AU"/>
              </w:rPr>
            </w:pPr>
            <w:r w:rsidRPr="00395D65">
              <w:rPr>
                <w:rFonts w:eastAsia="Times New Roman" w:cstheme="majorHAnsi"/>
                <w:iCs/>
                <w:color w:val="FFFFFF"/>
                <w:szCs w:val="19"/>
                <w:lang w:eastAsia="en-AU"/>
              </w:rPr>
              <w:t>2017-18</w:t>
            </w:r>
          </w:p>
        </w:tc>
        <w:tc>
          <w:tcPr>
            <w:tcW w:w="850" w:type="dxa"/>
            <w:tcBorders>
              <w:top w:val="nil"/>
              <w:left w:val="nil"/>
              <w:bottom w:val="nil"/>
              <w:right w:val="nil"/>
            </w:tcBorders>
            <w:shd w:val="clear" w:color="000000" w:fill="000000"/>
            <w:noWrap/>
            <w:hideMark/>
          </w:tcPr>
          <w:p w:rsidR="004B6846" w:rsidRPr="00395D65" w:rsidRDefault="004B6846" w:rsidP="00CC0EB7">
            <w:pPr>
              <w:keepLines w:val="0"/>
              <w:cnfStyle w:val="100000000000" w:firstRow="1" w:lastRow="0" w:firstColumn="0" w:lastColumn="0" w:oddVBand="0" w:evenVBand="0" w:oddHBand="0" w:evenHBand="0" w:firstRowFirstColumn="0" w:firstRowLastColumn="0" w:lastRowFirstColumn="0" w:lastRowLastColumn="0"/>
              <w:rPr>
                <w:rFonts w:eastAsia="Times New Roman" w:cstheme="majorHAnsi"/>
                <w:i w:val="0"/>
                <w:iCs/>
                <w:color w:val="FFFFFF"/>
                <w:szCs w:val="19"/>
                <w:lang w:eastAsia="en-AU"/>
              </w:rPr>
            </w:pPr>
            <w:r w:rsidRPr="00395D65">
              <w:rPr>
                <w:rFonts w:eastAsia="Times New Roman" w:cstheme="majorHAnsi"/>
                <w:iCs/>
                <w:color w:val="FFFFFF"/>
                <w:szCs w:val="19"/>
                <w:lang w:eastAsia="en-AU"/>
              </w:rPr>
              <w:t>2018-19</w:t>
            </w:r>
          </w:p>
        </w:tc>
        <w:tc>
          <w:tcPr>
            <w:tcW w:w="850" w:type="dxa"/>
            <w:tcBorders>
              <w:top w:val="nil"/>
              <w:left w:val="nil"/>
              <w:bottom w:val="nil"/>
              <w:right w:val="nil"/>
            </w:tcBorders>
            <w:shd w:val="clear" w:color="000000" w:fill="000000"/>
            <w:noWrap/>
            <w:hideMark/>
          </w:tcPr>
          <w:p w:rsidR="004B6846" w:rsidRPr="00395D65" w:rsidRDefault="004B6846" w:rsidP="00CC0EB7">
            <w:pPr>
              <w:keepLines w:val="0"/>
              <w:cnfStyle w:val="100000000000" w:firstRow="1" w:lastRow="0" w:firstColumn="0" w:lastColumn="0" w:oddVBand="0" w:evenVBand="0" w:oddHBand="0" w:evenHBand="0" w:firstRowFirstColumn="0" w:firstRowLastColumn="0" w:lastRowFirstColumn="0" w:lastRowLastColumn="0"/>
              <w:rPr>
                <w:rFonts w:eastAsia="Times New Roman" w:cstheme="majorHAnsi"/>
                <w:i w:val="0"/>
                <w:iCs/>
                <w:color w:val="FFFFFF"/>
                <w:szCs w:val="19"/>
                <w:lang w:eastAsia="en-AU"/>
              </w:rPr>
            </w:pPr>
            <w:r w:rsidRPr="00395D65">
              <w:rPr>
                <w:rFonts w:eastAsia="Times New Roman" w:cstheme="majorHAnsi"/>
                <w:iCs/>
                <w:color w:val="FFFFFF"/>
                <w:szCs w:val="19"/>
                <w:lang w:eastAsia="en-AU"/>
              </w:rPr>
              <w:t>2019-20</w:t>
            </w:r>
          </w:p>
        </w:tc>
        <w:tc>
          <w:tcPr>
            <w:tcW w:w="850" w:type="dxa"/>
            <w:tcBorders>
              <w:top w:val="nil"/>
              <w:left w:val="nil"/>
              <w:bottom w:val="nil"/>
              <w:right w:val="nil"/>
            </w:tcBorders>
            <w:shd w:val="clear" w:color="000000" w:fill="000000"/>
            <w:noWrap/>
            <w:hideMark/>
          </w:tcPr>
          <w:p w:rsidR="004B6846" w:rsidRPr="00395D65" w:rsidRDefault="004B6846" w:rsidP="00CC0EB7">
            <w:pPr>
              <w:keepLines w:val="0"/>
              <w:cnfStyle w:val="100000000000" w:firstRow="1" w:lastRow="0" w:firstColumn="0" w:lastColumn="0" w:oddVBand="0" w:evenVBand="0" w:oddHBand="0" w:evenHBand="0" w:firstRowFirstColumn="0" w:firstRowLastColumn="0" w:lastRowFirstColumn="0" w:lastRowLastColumn="0"/>
              <w:rPr>
                <w:rFonts w:eastAsia="Times New Roman" w:cstheme="majorHAnsi"/>
                <w:i w:val="0"/>
                <w:iCs/>
                <w:color w:val="FFFFFF"/>
                <w:szCs w:val="19"/>
                <w:lang w:eastAsia="en-AU"/>
              </w:rPr>
            </w:pPr>
            <w:r w:rsidRPr="00395D65">
              <w:rPr>
                <w:rFonts w:eastAsia="Times New Roman" w:cstheme="majorHAnsi"/>
                <w:iCs/>
                <w:color w:val="FFFFFF"/>
                <w:szCs w:val="19"/>
                <w:lang w:eastAsia="en-AU"/>
              </w:rPr>
              <w:t>2020-21</w:t>
            </w:r>
          </w:p>
        </w:tc>
        <w:tc>
          <w:tcPr>
            <w:tcW w:w="850" w:type="dxa"/>
            <w:tcBorders>
              <w:top w:val="nil"/>
              <w:left w:val="nil"/>
              <w:bottom w:val="nil"/>
              <w:right w:val="nil"/>
            </w:tcBorders>
            <w:shd w:val="clear" w:color="000000" w:fill="000000"/>
            <w:noWrap/>
            <w:hideMark/>
          </w:tcPr>
          <w:p w:rsidR="004B6846" w:rsidRPr="00395D65" w:rsidRDefault="004B6846" w:rsidP="00CC0EB7">
            <w:pPr>
              <w:keepLines w:val="0"/>
              <w:cnfStyle w:val="100000000000" w:firstRow="1" w:lastRow="0" w:firstColumn="0" w:lastColumn="0" w:oddVBand="0" w:evenVBand="0" w:oddHBand="0" w:evenHBand="0" w:firstRowFirstColumn="0" w:firstRowLastColumn="0" w:lastRowFirstColumn="0" w:lastRowLastColumn="0"/>
              <w:rPr>
                <w:rFonts w:eastAsia="Times New Roman" w:cstheme="majorHAnsi"/>
                <w:i w:val="0"/>
                <w:iCs/>
                <w:color w:val="FFFFFF"/>
                <w:szCs w:val="19"/>
                <w:lang w:eastAsia="en-AU"/>
              </w:rPr>
            </w:pPr>
            <w:r w:rsidRPr="00395D65">
              <w:rPr>
                <w:rFonts w:eastAsia="Times New Roman" w:cstheme="majorHAnsi"/>
                <w:iCs/>
                <w:color w:val="FFFFFF"/>
                <w:szCs w:val="19"/>
                <w:lang w:eastAsia="en-AU"/>
              </w:rPr>
              <w:t>2021-22</w:t>
            </w:r>
          </w:p>
        </w:tc>
      </w:tr>
      <w:tr w:rsidR="004B6846" w:rsidRPr="00395D65" w:rsidTr="00CC0EB7">
        <w:trPr>
          <w:divId w:val="160800173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szCs w:val="19"/>
                <w:lang w:eastAsia="en-AU"/>
              </w:rPr>
            </w:pPr>
            <w:r w:rsidRPr="00395D65">
              <w:rPr>
                <w:rFonts w:eastAsia="Times New Roman" w:cstheme="majorHAnsi"/>
                <w:szCs w:val="19"/>
                <w:lang w:eastAsia="en-AU"/>
              </w:rPr>
              <w:t>Land tax</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sidRPr="00395D65">
              <w:rPr>
                <w:rFonts w:eastAsia="Times New Roman" w:cstheme="majorHAnsi"/>
                <w:color w:val="000000"/>
                <w:szCs w:val="19"/>
                <w:lang w:eastAsia="en-AU"/>
              </w:rPr>
              <w:t>4 053</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sidRPr="00395D65">
              <w:rPr>
                <w:rFonts w:eastAsia="Times New Roman" w:cstheme="majorHAnsi"/>
                <w:color w:val="000000"/>
                <w:szCs w:val="19"/>
                <w:lang w:eastAsia="en-AU"/>
              </w:rPr>
              <w:t>5 379</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sidRPr="00395D65">
              <w:rPr>
                <w:rFonts w:eastAsia="Times New Roman" w:cstheme="majorHAnsi"/>
                <w:color w:val="000000"/>
                <w:szCs w:val="19"/>
                <w:lang w:eastAsia="en-AU"/>
              </w:rPr>
              <w:t>5 706</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sidRPr="00395D65">
              <w:rPr>
                <w:rFonts w:eastAsia="Times New Roman" w:cstheme="majorHAnsi"/>
                <w:color w:val="000000"/>
                <w:szCs w:val="19"/>
                <w:lang w:eastAsia="en-AU"/>
              </w:rPr>
              <w:t>5 877</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sidRPr="00395D65">
              <w:rPr>
                <w:rFonts w:eastAsia="Times New Roman" w:cstheme="majorHAnsi"/>
                <w:color w:val="000000"/>
                <w:szCs w:val="19"/>
                <w:lang w:eastAsia="en-AU"/>
              </w:rPr>
              <w:t>6 440</w:t>
            </w:r>
          </w:p>
        </w:tc>
      </w:tr>
      <w:tr w:rsidR="004B6846" w:rsidRPr="00395D65" w:rsidTr="00CC0EB7">
        <w:trPr>
          <w:divId w:val="160800173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color w:val="000000"/>
                <w:szCs w:val="19"/>
                <w:lang w:eastAsia="en-AU"/>
              </w:rPr>
            </w:pPr>
            <w:r w:rsidRPr="00395D65">
              <w:rPr>
                <w:rFonts w:eastAsia="Times New Roman" w:cstheme="majorHAnsi"/>
                <w:color w:val="000000"/>
                <w:szCs w:val="19"/>
                <w:lang w:eastAsia="en-AU"/>
              </w:rPr>
              <w:t>Fire Services Property Levy</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22</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22</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22</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22</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22</w:t>
            </w:r>
          </w:p>
        </w:tc>
      </w:tr>
      <w:tr w:rsidR="004B6846" w:rsidRPr="00395D65" w:rsidTr="00CC0EB7">
        <w:trPr>
          <w:divId w:val="160800173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szCs w:val="19"/>
                <w:lang w:eastAsia="en-AU"/>
              </w:rPr>
            </w:pPr>
            <w:r w:rsidRPr="00395D65">
              <w:rPr>
                <w:rFonts w:eastAsia="Times New Roman" w:cstheme="majorHAnsi"/>
                <w:szCs w:val="19"/>
                <w:lang w:eastAsia="en-AU"/>
              </w:rPr>
              <w:t>Payroll tax</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sidRPr="00395D65">
              <w:rPr>
                <w:rFonts w:eastAsia="Times New Roman" w:cstheme="majorHAnsi"/>
                <w:color w:val="000000"/>
                <w:szCs w:val="19"/>
                <w:lang w:eastAsia="en-AU"/>
              </w:rPr>
              <w:t>1 327</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sidRPr="00395D65">
              <w:rPr>
                <w:rFonts w:eastAsia="Times New Roman" w:cstheme="majorHAnsi"/>
                <w:color w:val="000000"/>
                <w:szCs w:val="19"/>
                <w:lang w:eastAsia="en-AU"/>
              </w:rPr>
              <w:t>1 468</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sidRPr="00395D65">
              <w:rPr>
                <w:rFonts w:eastAsia="Times New Roman" w:cstheme="majorHAnsi"/>
                <w:color w:val="000000"/>
                <w:szCs w:val="19"/>
                <w:lang w:eastAsia="en-AU"/>
              </w:rPr>
              <w:t>1 544</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sidRPr="00395D65">
              <w:rPr>
                <w:rFonts w:eastAsia="Times New Roman" w:cstheme="majorHAnsi"/>
                <w:color w:val="000000"/>
                <w:szCs w:val="19"/>
                <w:lang w:eastAsia="en-AU"/>
              </w:rPr>
              <w:t>1 624</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sidRPr="00395D65">
              <w:rPr>
                <w:rFonts w:eastAsia="Times New Roman" w:cstheme="majorHAnsi"/>
                <w:color w:val="000000"/>
                <w:szCs w:val="19"/>
                <w:lang w:eastAsia="en-AU"/>
              </w:rPr>
              <w:t>1 711</w:t>
            </w:r>
          </w:p>
        </w:tc>
      </w:tr>
      <w:tr w:rsidR="004B6846" w:rsidRPr="00395D65" w:rsidTr="00CC0EB7">
        <w:trPr>
          <w:divId w:val="160800173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szCs w:val="19"/>
                <w:lang w:eastAsia="en-AU"/>
              </w:rPr>
            </w:pPr>
            <w:r w:rsidRPr="00395D65">
              <w:rPr>
                <w:rFonts w:eastAsia="Times New Roman" w:cstheme="majorHAnsi"/>
                <w:szCs w:val="19"/>
                <w:lang w:eastAsia="en-AU"/>
              </w:rPr>
              <w:t>Gambling tax</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77</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80</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81</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81</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82</w:t>
            </w:r>
          </w:p>
        </w:tc>
      </w:tr>
      <w:tr w:rsidR="004B6846" w:rsidRPr="00395D65" w:rsidTr="00CC0EB7">
        <w:trPr>
          <w:divId w:val="160800173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szCs w:val="19"/>
                <w:lang w:eastAsia="en-AU"/>
              </w:rPr>
            </w:pPr>
            <w:r w:rsidRPr="00395D65">
              <w:rPr>
                <w:rFonts w:eastAsia="Times New Roman" w:cstheme="majorHAnsi"/>
                <w:szCs w:val="19"/>
                <w:lang w:eastAsia="en-AU"/>
              </w:rPr>
              <w:t>Motor vehicle taxes</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188</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206</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216</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225</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234</w:t>
            </w:r>
          </w:p>
        </w:tc>
      </w:tr>
      <w:tr w:rsidR="004B6846" w:rsidRPr="00395D65" w:rsidTr="00CC0EB7">
        <w:trPr>
          <w:divId w:val="160800173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szCs w:val="19"/>
                <w:lang w:eastAsia="en-AU"/>
              </w:rPr>
            </w:pPr>
            <w:r w:rsidRPr="00395D65">
              <w:rPr>
                <w:rFonts w:eastAsia="Times New Roman" w:cstheme="majorHAnsi"/>
                <w:szCs w:val="19"/>
                <w:lang w:eastAsia="en-AU"/>
              </w:rPr>
              <w:t>Land transfer duties</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sidRPr="00395D65">
              <w:rPr>
                <w:rFonts w:eastAsia="Times New Roman" w:cstheme="majorHAnsi"/>
                <w:color w:val="000000"/>
                <w:szCs w:val="19"/>
                <w:lang w:eastAsia="en-AU"/>
              </w:rPr>
              <w:t>1 673</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sidRPr="00395D65">
              <w:rPr>
                <w:rFonts w:eastAsia="Times New Roman" w:cstheme="majorHAnsi"/>
                <w:color w:val="000000"/>
                <w:szCs w:val="19"/>
                <w:lang w:eastAsia="en-AU"/>
              </w:rPr>
              <w:t>1 701</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sidRPr="00395D65">
              <w:rPr>
                <w:rFonts w:eastAsia="Times New Roman" w:cstheme="majorHAnsi"/>
                <w:color w:val="000000"/>
                <w:szCs w:val="19"/>
                <w:lang w:eastAsia="en-AU"/>
              </w:rPr>
              <w:t>1 692</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sidRPr="00395D65">
              <w:rPr>
                <w:rFonts w:eastAsia="Times New Roman" w:cstheme="majorHAnsi"/>
                <w:color w:val="000000"/>
                <w:szCs w:val="19"/>
                <w:lang w:eastAsia="en-AU"/>
              </w:rPr>
              <w:t>1 580</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sidRPr="00395D65">
              <w:rPr>
                <w:rFonts w:eastAsia="Times New Roman" w:cstheme="majorHAnsi"/>
                <w:color w:val="000000"/>
                <w:szCs w:val="19"/>
                <w:lang w:eastAsia="en-AU"/>
              </w:rPr>
              <w:t>1 602</w:t>
            </w:r>
          </w:p>
        </w:tc>
      </w:tr>
      <w:tr w:rsidR="004B6846" w:rsidRPr="00395D65" w:rsidTr="00CC0EB7">
        <w:trPr>
          <w:divId w:val="160800173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color w:val="000000"/>
                <w:szCs w:val="19"/>
                <w:lang w:eastAsia="en-AU"/>
              </w:rPr>
            </w:pPr>
            <w:r w:rsidRPr="00395D65">
              <w:rPr>
                <w:rFonts w:eastAsia="Times New Roman" w:cstheme="majorHAnsi"/>
                <w:color w:val="000000"/>
                <w:szCs w:val="19"/>
                <w:lang w:eastAsia="en-AU"/>
              </w:rPr>
              <w:t>Congestion levy</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59</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60</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62</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63</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Cs w:val="19"/>
                <w:lang w:eastAsia="en-AU"/>
              </w:rPr>
            </w:pPr>
            <w:r>
              <w:rPr>
                <w:rFonts w:eastAsia="Times New Roman" w:cstheme="majorHAnsi"/>
                <w:color w:val="000000"/>
                <w:szCs w:val="19"/>
                <w:lang w:eastAsia="en-AU"/>
              </w:rPr>
              <w:t>65</w:t>
            </w:r>
          </w:p>
        </w:tc>
      </w:tr>
      <w:tr w:rsidR="004B6846" w:rsidRPr="00395D65" w:rsidTr="00CC0EB7">
        <w:trPr>
          <w:cnfStyle w:val="010000000000" w:firstRow="0" w:lastRow="1" w:firstColumn="0" w:lastColumn="0" w:oddVBand="0" w:evenVBand="0" w:oddHBand="0" w:evenHBand="0" w:firstRowFirstColumn="0" w:firstRowLastColumn="0" w:lastRowFirstColumn="0" w:lastRowLastColumn="0"/>
          <w:divId w:val="1608001730"/>
        </w:trPr>
        <w:tc>
          <w:tcPr>
            <w:cnfStyle w:val="001000000000" w:firstRow="0" w:lastRow="0" w:firstColumn="1" w:lastColumn="0" w:oddVBand="0" w:evenVBand="0" w:oddHBand="0" w:evenHBand="0" w:firstRowFirstColumn="0" w:firstRowLastColumn="0" w:lastRowFirstColumn="0" w:lastRowLastColumn="0"/>
            <w:tcW w:w="3515" w:type="dxa"/>
            <w:tcBorders>
              <w:top w:val="single" w:sz="4" w:space="0" w:color="auto"/>
              <w:bottom w:val="single" w:sz="8" w:space="0" w:color="auto"/>
            </w:tcBorders>
            <w:shd w:val="clear" w:color="000000" w:fill="FFFFFF"/>
            <w:hideMark/>
          </w:tcPr>
          <w:p w:rsidR="004B6846" w:rsidRPr="00395D65" w:rsidRDefault="004B6846" w:rsidP="00CC0EB7">
            <w:pPr>
              <w:keepLines w:val="0"/>
              <w:rPr>
                <w:rFonts w:eastAsia="Times New Roman" w:cstheme="majorHAnsi"/>
                <w:b w:val="0"/>
                <w:bCs/>
                <w:szCs w:val="19"/>
                <w:lang w:eastAsia="en-AU"/>
              </w:rPr>
            </w:pPr>
            <w:r w:rsidRPr="00395D65">
              <w:rPr>
                <w:rFonts w:eastAsia="Times New Roman" w:cstheme="majorHAnsi"/>
                <w:bCs/>
                <w:szCs w:val="19"/>
                <w:lang w:eastAsia="en-AU"/>
              </w:rPr>
              <w:t>Total estimated tax expenditures</w:t>
            </w:r>
          </w:p>
        </w:tc>
        <w:tc>
          <w:tcPr>
            <w:tcW w:w="850" w:type="dxa"/>
            <w:tcBorders>
              <w:top w:val="single" w:sz="4" w:space="0" w:color="auto"/>
              <w:bottom w:val="single" w:sz="8" w:space="0" w:color="auto"/>
            </w:tcBorders>
            <w:shd w:val="clear" w:color="000000" w:fill="FFFFFF"/>
            <w:noWrap/>
            <w:hideMark/>
          </w:tcPr>
          <w:p w:rsidR="004B6846" w:rsidRPr="00395D65" w:rsidRDefault="004B6846" w:rsidP="00CC0EB7">
            <w:pPr>
              <w:keepLines w:val="0"/>
              <w:cnfStyle w:val="010000000000" w:firstRow="0" w:lastRow="1" w:firstColumn="0" w:lastColumn="0" w:oddVBand="0" w:evenVBand="0" w:oddHBand="0" w:evenHBand="0" w:firstRowFirstColumn="0" w:firstRowLastColumn="0" w:lastRowFirstColumn="0" w:lastRowLastColumn="0"/>
              <w:rPr>
                <w:rFonts w:eastAsia="Times New Roman" w:cstheme="majorHAnsi"/>
                <w:b w:val="0"/>
                <w:bCs/>
                <w:color w:val="000000"/>
                <w:szCs w:val="19"/>
                <w:lang w:eastAsia="en-AU"/>
              </w:rPr>
            </w:pPr>
            <w:r w:rsidRPr="00395D65">
              <w:rPr>
                <w:rFonts w:eastAsia="Times New Roman" w:cstheme="majorHAnsi"/>
                <w:bCs/>
                <w:color w:val="000000"/>
                <w:szCs w:val="19"/>
                <w:lang w:eastAsia="en-AU"/>
              </w:rPr>
              <w:t>7 399</w:t>
            </w:r>
          </w:p>
        </w:tc>
        <w:tc>
          <w:tcPr>
            <w:tcW w:w="850" w:type="dxa"/>
            <w:tcBorders>
              <w:top w:val="single" w:sz="4" w:space="0" w:color="auto"/>
              <w:bottom w:val="single" w:sz="8" w:space="0" w:color="auto"/>
            </w:tcBorders>
            <w:shd w:val="clear" w:color="000000" w:fill="FFFFFF"/>
            <w:noWrap/>
            <w:hideMark/>
          </w:tcPr>
          <w:p w:rsidR="004B6846" w:rsidRPr="00395D65" w:rsidRDefault="004B6846" w:rsidP="00CC0EB7">
            <w:pPr>
              <w:keepLines w:val="0"/>
              <w:cnfStyle w:val="010000000000" w:firstRow="0" w:lastRow="1" w:firstColumn="0" w:lastColumn="0" w:oddVBand="0" w:evenVBand="0" w:oddHBand="0" w:evenHBand="0" w:firstRowFirstColumn="0" w:firstRowLastColumn="0" w:lastRowFirstColumn="0" w:lastRowLastColumn="0"/>
              <w:rPr>
                <w:rFonts w:eastAsia="Times New Roman" w:cstheme="majorHAnsi"/>
                <w:b w:val="0"/>
                <w:bCs/>
                <w:color w:val="000000"/>
                <w:szCs w:val="19"/>
                <w:lang w:eastAsia="en-AU"/>
              </w:rPr>
            </w:pPr>
            <w:r w:rsidRPr="00395D65">
              <w:rPr>
                <w:rFonts w:eastAsia="Times New Roman" w:cstheme="majorHAnsi"/>
                <w:bCs/>
                <w:color w:val="000000"/>
                <w:szCs w:val="19"/>
                <w:lang w:eastAsia="en-AU"/>
              </w:rPr>
              <w:t>8 916</w:t>
            </w:r>
          </w:p>
        </w:tc>
        <w:tc>
          <w:tcPr>
            <w:tcW w:w="850" w:type="dxa"/>
            <w:tcBorders>
              <w:top w:val="single" w:sz="4" w:space="0" w:color="auto"/>
              <w:bottom w:val="single" w:sz="8" w:space="0" w:color="auto"/>
            </w:tcBorders>
            <w:shd w:val="clear" w:color="000000" w:fill="FFFFFF"/>
            <w:noWrap/>
            <w:hideMark/>
          </w:tcPr>
          <w:p w:rsidR="004B6846" w:rsidRPr="00395D65" w:rsidRDefault="004B6846" w:rsidP="00CC0EB7">
            <w:pPr>
              <w:keepLines w:val="0"/>
              <w:cnfStyle w:val="010000000000" w:firstRow="0" w:lastRow="1" w:firstColumn="0" w:lastColumn="0" w:oddVBand="0" w:evenVBand="0" w:oddHBand="0" w:evenHBand="0" w:firstRowFirstColumn="0" w:firstRowLastColumn="0" w:lastRowFirstColumn="0" w:lastRowLastColumn="0"/>
              <w:rPr>
                <w:rFonts w:eastAsia="Times New Roman" w:cstheme="majorHAnsi"/>
                <w:b w:val="0"/>
                <w:bCs/>
                <w:color w:val="000000"/>
                <w:szCs w:val="19"/>
                <w:lang w:eastAsia="en-AU"/>
              </w:rPr>
            </w:pPr>
            <w:r w:rsidRPr="00395D65">
              <w:rPr>
                <w:rFonts w:eastAsia="Times New Roman" w:cstheme="majorHAnsi"/>
                <w:bCs/>
                <w:color w:val="000000"/>
                <w:szCs w:val="19"/>
                <w:lang w:eastAsia="en-AU"/>
              </w:rPr>
              <w:t>9 323</w:t>
            </w:r>
          </w:p>
        </w:tc>
        <w:tc>
          <w:tcPr>
            <w:tcW w:w="850" w:type="dxa"/>
            <w:tcBorders>
              <w:top w:val="single" w:sz="4" w:space="0" w:color="auto"/>
              <w:bottom w:val="single" w:sz="8" w:space="0" w:color="auto"/>
            </w:tcBorders>
            <w:shd w:val="clear" w:color="000000" w:fill="FFFFFF"/>
            <w:noWrap/>
            <w:hideMark/>
          </w:tcPr>
          <w:p w:rsidR="004B6846" w:rsidRPr="00395D65" w:rsidRDefault="004B6846" w:rsidP="00CC0EB7">
            <w:pPr>
              <w:keepLines w:val="0"/>
              <w:cnfStyle w:val="010000000000" w:firstRow="0" w:lastRow="1" w:firstColumn="0" w:lastColumn="0" w:oddVBand="0" w:evenVBand="0" w:oddHBand="0" w:evenHBand="0" w:firstRowFirstColumn="0" w:firstRowLastColumn="0" w:lastRowFirstColumn="0" w:lastRowLastColumn="0"/>
              <w:rPr>
                <w:rFonts w:eastAsia="Times New Roman" w:cstheme="majorHAnsi"/>
                <w:b w:val="0"/>
                <w:bCs/>
                <w:color w:val="000000"/>
                <w:szCs w:val="19"/>
                <w:lang w:eastAsia="en-AU"/>
              </w:rPr>
            </w:pPr>
            <w:r w:rsidRPr="00395D65">
              <w:rPr>
                <w:rFonts w:eastAsia="Times New Roman" w:cstheme="majorHAnsi"/>
                <w:bCs/>
                <w:color w:val="000000"/>
                <w:szCs w:val="19"/>
                <w:lang w:eastAsia="en-AU"/>
              </w:rPr>
              <w:t>9 472</w:t>
            </w:r>
          </w:p>
        </w:tc>
        <w:tc>
          <w:tcPr>
            <w:tcW w:w="850" w:type="dxa"/>
            <w:tcBorders>
              <w:top w:val="single" w:sz="4" w:space="0" w:color="auto"/>
              <w:bottom w:val="single" w:sz="8" w:space="0" w:color="auto"/>
            </w:tcBorders>
            <w:shd w:val="clear" w:color="000000" w:fill="FFFFFF"/>
            <w:noWrap/>
            <w:hideMark/>
          </w:tcPr>
          <w:p w:rsidR="004B6846" w:rsidRPr="00395D65" w:rsidRDefault="004B6846" w:rsidP="00CC0EB7">
            <w:pPr>
              <w:keepLines w:val="0"/>
              <w:cnfStyle w:val="010000000000" w:firstRow="0" w:lastRow="1" w:firstColumn="0" w:lastColumn="0" w:oddVBand="0" w:evenVBand="0" w:oddHBand="0" w:evenHBand="0" w:firstRowFirstColumn="0" w:firstRowLastColumn="0" w:lastRowFirstColumn="0" w:lastRowLastColumn="0"/>
              <w:rPr>
                <w:rFonts w:eastAsia="Times New Roman" w:cstheme="majorHAnsi"/>
                <w:b w:val="0"/>
                <w:bCs/>
                <w:color w:val="000000"/>
                <w:szCs w:val="19"/>
                <w:lang w:eastAsia="en-AU"/>
              </w:rPr>
            </w:pPr>
            <w:r w:rsidRPr="00395D65">
              <w:rPr>
                <w:rFonts w:eastAsia="Times New Roman" w:cstheme="majorHAnsi"/>
                <w:bCs/>
                <w:color w:val="000000"/>
                <w:szCs w:val="19"/>
                <w:lang w:eastAsia="en-AU"/>
              </w:rPr>
              <w:t>10 156</w:t>
            </w:r>
          </w:p>
        </w:tc>
      </w:tr>
    </w:tbl>
    <w:bookmarkEnd w:id="96"/>
    <w:p w:rsidR="004B6846" w:rsidRPr="004E2527" w:rsidRDefault="004B6846" w:rsidP="00CC0EB7">
      <w:pPr>
        <w:spacing w:before="20" w:after="60"/>
        <w:rPr>
          <w:rFonts w:asciiTheme="majorHAnsi" w:hAnsiTheme="majorHAnsi"/>
          <w:i/>
          <w:spacing w:val="-2"/>
          <w:sz w:val="14"/>
        </w:rPr>
      </w:pPr>
      <w:r w:rsidRPr="004E2527">
        <w:rPr>
          <w:rFonts w:asciiTheme="majorHAnsi" w:hAnsiTheme="majorHAnsi"/>
          <w:i/>
          <w:spacing w:val="-2"/>
          <w:sz w:val="14"/>
        </w:rPr>
        <w:t>Source: Department of Treasury and Finance</w:t>
      </w:r>
    </w:p>
    <w:p w:rsidR="004B6846" w:rsidRPr="004E2527" w:rsidRDefault="004B6846" w:rsidP="00CC0EB7">
      <w:pPr>
        <w:pStyle w:val="Note"/>
      </w:pPr>
      <w:r w:rsidRPr="004E2527">
        <w:t>Notes:</w:t>
      </w:r>
    </w:p>
    <w:p w:rsidR="004B6846" w:rsidRPr="00B353F3" w:rsidRDefault="004B6846" w:rsidP="00CC0EB7">
      <w:pPr>
        <w:pStyle w:val="Note"/>
      </w:pPr>
      <w:r>
        <w:t>(a)</w:t>
      </w:r>
      <w:r>
        <w:tab/>
      </w:r>
      <w:r w:rsidRPr="00B353F3">
        <w:t>All amounts have been rounded to the nearest $1 million unless otherwise stated. Figures may not add due to rounding.</w:t>
      </w:r>
    </w:p>
    <w:p w:rsidR="004B6846" w:rsidRPr="00B353F3" w:rsidRDefault="004B6846" w:rsidP="00CC0EB7">
      <w:pPr>
        <w:pStyle w:val="Note"/>
      </w:pPr>
      <w:r>
        <w:t>(b)</w:t>
      </w:r>
      <w:r>
        <w:tab/>
        <w:t>The increase in Payroll t</w:t>
      </w:r>
      <w:r w:rsidRPr="00CC033F">
        <w:t xml:space="preserve">ax expenditures since </w:t>
      </w:r>
      <w:r w:rsidRPr="00395D65">
        <w:rPr>
          <w:i w:val="0"/>
        </w:rPr>
        <w:t>2018-19 Budget</w:t>
      </w:r>
      <w:r w:rsidRPr="00CC033F">
        <w:t xml:space="preserve"> reflects a higher than anticipated</w:t>
      </w:r>
      <w:r>
        <w:t xml:space="preserve"> </w:t>
      </w:r>
      <w:r w:rsidRPr="00CC033F">
        <w:t xml:space="preserve">outcome </w:t>
      </w:r>
      <w:r>
        <w:t>in 2017-18 for the regional P</w:t>
      </w:r>
      <w:r w:rsidRPr="00CC033F">
        <w:t>ayroll tax rate reduction</w:t>
      </w:r>
      <w:r>
        <w:t>.</w:t>
      </w:r>
    </w:p>
    <w:p w:rsidR="004B6846" w:rsidRPr="004E2527" w:rsidRDefault="004B6846" w:rsidP="00CC0EB7">
      <w:pPr>
        <w:keepNext/>
        <w:spacing w:before="360"/>
        <w:outlineLvl w:val="0"/>
        <w:rPr>
          <w:rFonts w:asciiTheme="majorHAnsi" w:eastAsiaTheme="majorEastAsia" w:hAnsiTheme="majorHAnsi" w:cstheme="majorBidi"/>
          <w:b/>
          <w:bCs/>
          <w:caps/>
          <w:spacing w:val="-2"/>
          <w:sz w:val="26"/>
          <w:szCs w:val="28"/>
        </w:rPr>
      </w:pPr>
      <w:r w:rsidRPr="004E2527">
        <w:rPr>
          <w:rFonts w:asciiTheme="majorHAnsi" w:eastAsiaTheme="majorEastAsia" w:hAnsiTheme="majorHAnsi" w:cstheme="majorBidi"/>
          <w:b/>
          <w:bCs/>
          <w:caps/>
          <w:spacing w:val="-2"/>
          <w:sz w:val="26"/>
          <w:szCs w:val="28"/>
        </w:rPr>
        <w:t>Concessions</w:t>
      </w:r>
    </w:p>
    <w:p w:rsidR="004B6846" w:rsidRPr="004E2527" w:rsidRDefault="004B6846" w:rsidP="00CC0EB7">
      <w:r w:rsidRPr="004E2527">
        <w:t xml:space="preserve">Concessions are direct budget outlays or reduced government charges that reduce the price of a good or service for particular groups. Over the past decade, the State has </w:t>
      </w:r>
      <w:r>
        <w:t>provided $14.8</w:t>
      </w:r>
      <w:r w:rsidRPr="004E2527">
        <w:t xml:space="preserve"> billion in concessi</w:t>
      </w:r>
      <w:r>
        <w:t>ons. In 2018-19</w:t>
      </w:r>
      <w:r w:rsidRPr="004E2527">
        <w:t>, concess</w:t>
      </w:r>
      <w:r>
        <w:t>ions are forecast to be about $1.7</w:t>
      </w:r>
      <w:r w:rsidRPr="004E2527">
        <w:t> billion.</w:t>
      </w:r>
    </w:p>
    <w:p w:rsidR="004B6846" w:rsidRPr="004E2527" w:rsidRDefault="004B6846" w:rsidP="00CC0EB7">
      <w:r w:rsidRPr="004E2527">
        <w:t>Certain characteristics of a consumer, such as possession of a Commonwealth Government pension card or health care card, can be the basis for such entitlements. Concessions allow certain groups in the community to access or purchase important public services such as energy, education, health and transportation at a reduced cost. Table C.2 classifies the major concessions by category.</w:t>
      </w:r>
    </w:p>
    <w:p w:rsidR="004B6846" w:rsidRPr="004E2527" w:rsidRDefault="004B6846" w:rsidP="00CC0EB7">
      <w:r w:rsidRPr="004E2527">
        <w:t>Eligible concession card holders receive reduced bills for energy, municipal rates, water and sewerage, funded by the State and paid to service providers.</w:t>
      </w:r>
    </w:p>
    <w:p w:rsidR="004B6846" w:rsidRPr="004E2527" w:rsidRDefault="004B6846" w:rsidP="00CC0EB7">
      <w:r w:rsidRPr="004E2527">
        <w:t>Education concessions include concessions for preschool and for vocational education and training.</w:t>
      </w:r>
    </w:p>
    <w:p w:rsidR="004B6846" w:rsidRPr="004E2527" w:rsidRDefault="004B6846" w:rsidP="00CC0EB7">
      <w:r w:rsidRPr="004E2527">
        <w:t>Hardship schemes include the Utility Relief Grants Scheme and payment to State Trustees through a Community Service Agreement. The Utility Relief Grants Scheme assists Victorians unable to pay utility bills due to temporary financial hardship. State Trustees provide trustee services, including managing the legal and financial affairs of Victorians unable to do so independently.</w:t>
      </w:r>
    </w:p>
    <w:p w:rsidR="004B6846" w:rsidRPr="004E2527" w:rsidRDefault="004B6846" w:rsidP="00CC0EB7">
      <w:r w:rsidRPr="004E2527">
        <w:t>The social and community services category includes assistance to not</w:t>
      </w:r>
      <w:r w:rsidRPr="004E2527">
        <w:noBreakHyphen/>
        <w:t>for</w:t>
      </w:r>
      <w:r w:rsidRPr="004E2527">
        <w:noBreakHyphen/>
        <w:t xml:space="preserve">profit organisations such as Bereavement Assistance Limited, the Charity Freight Service and food relief organisations. </w:t>
      </w:r>
    </w:p>
    <w:p w:rsidR="004B6846" w:rsidRPr="004E2527" w:rsidRDefault="004B6846" w:rsidP="00CC0EB7">
      <w:r w:rsidRPr="004E2527">
        <w:t>Private transport concessions consist of a discount on Transport Accident Commission premiums and funding of the Multi-Purpose Taxi Program.</w:t>
      </w:r>
    </w:p>
    <w:p w:rsidR="004B6846" w:rsidRPr="004E2527" w:rsidRDefault="004B6846" w:rsidP="00CC0EB7">
      <w:pPr>
        <w:keepLines w:val="0"/>
        <w:rPr>
          <w:rFonts w:asciiTheme="majorHAnsi" w:hAnsiTheme="majorHAnsi"/>
          <w:b/>
          <w:sz w:val="20"/>
          <w:szCs w:val="20"/>
        </w:rPr>
      </w:pPr>
      <w:r w:rsidRPr="004E2527">
        <w:br w:type="page"/>
      </w:r>
    </w:p>
    <w:p w:rsidR="004B6846" w:rsidRDefault="004B6846" w:rsidP="00CC0EB7">
      <w:pPr>
        <w:pStyle w:val="TableHeading"/>
      </w:pPr>
      <w:r w:rsidRPr="004E2527">
        <w:lastRenderedPageBreak/>
        <w:t>Table C.2:</w:t>
      </w:r>
      <w:r w:rsidRPr="004E2527">
        <w:tab/>
        <w:t xml:space="preserve">Concessions by category </w:t>
      </w:r>
      <w:r w:rsidRPr="004E2527">
        <w:rPr>
          <w:vertAlign w:val="superscript"/>
        </w:rPr>
        <w:t>(a)</w:t>
      </w:r>
      <w:r w:rsidRPr="004E2527">
        <w:tab/>
        <w:t>($ million)</w:t>
      </w:r>
      <w:r>
        <w:t xml:space="preserve"> </w:t>
      </w:r>
      <w:bookmarkStart w:id="97" w:name="RANGE!B4:F19"/>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6066"/>
        <w:gridCol w:w="850"/>
        <w:gridCol w:w="850"/>
      </w:tblGrid>
      <w:tr w:rsidR="004B6846" w:rsidRPr="00395D65" w:rsidTr="00CC0EB7">
        <w:trPr>
          <w:cnfStyle w:val="100000000000" w:firstRow="1" w:lastRow="0" w:firstColumn="0" w:lastColumn="0" w:oddVBand="0" w:evenVBand="0" w:oddHBand="0" w:evenHBand="0" w:firstRowFirstColumn="0" w:firstRowLastColumn="0" w:lastRowFirstColumn="0" w:lastRowLastColumn="0"/>
          <w:divId w:val="1007907802"/>
          <w:cantSplit/>
          <w:tblHeader/>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000000"/>
            <w:noWrap/>
            <w:hideMark/>
          </w:tcPr>
          <w:p w:rsidR="004B6846" w:rsidRPr="00395D65" w:rsidRDefault="004B6846" w:rsidP="00CC0EB7">
            <w:pPr>
              <w:rPr>
                <w:rFonts w:eastAsia="Times New Roman" w:cstheme="majorHAnsi"/>
                <w:i w:val="0"/>
                <w:iCs/>
                <w:color w:val="FFFFFF"/>
                <w:szCs w:val="19"/>
                <w:lang w:eastAsia="en-AU"/>
              </w:rPr>
            </w:pPr>
            <w:r w:rsidRPr="00395D65">
              <w:rPr>
                <w:rFonts w:eastAsia="Times New Roman" w:cstheme="majorHAnsi"/>
                <w:iCs/>
                <w:color w:val="FFFFFF"/>
                <w:szCs w:val="19"/>
                <w:lang w:eastAsia="en-AU"/>
              </w:rPr>
              <w:t>Description</w:t>
            </w:r>
          </w:p>
        </w:tc>
        <w:tc>
          <w:tcPr>
            <w:tcW w:w="850" w:type="dxa"/>
            <w:tcBorders>
              <w:top w:val="nil"/>
              <w:left w:val="nil"/>
              <w:bottom w:val="nil"/>
              <w:right w:val="nil"/>
            </w:tcBorders>
            <w:shd w:val="clear" w:color="000000" w:fill="000000"/>
            <w:noWrap/>
            <w:hideMark/>
          </w:tcPr>
          <w:p w:rsidR="004B6846" w:rsidRPr="00395D65" w:rsidRDefault="004B6846" w:rsidP="00CC0EB7">
            <w:pPr>
              <w:keepLines w:val="0"/>
              <w:cnfStyle w:val="100000000000" w:firstRow="1" w:lastRow="0" w:firstColumn="0" w:lastColumn="0" w:oddVBand="0" w:evenVBand="0" w:oddHBand="0" w:evenHBand="0" w:firstRowFirstColumn="0" w:firstRowLastColumn="0" w:lastRowFirstColumn="0" w:lastRowLastColumn="0"/>
              <w:rPr>
                <w:rFonts w:eastAsia="Times New Roman" w:cstheme="majorHAnsi"/>
                <w:i w:val="0"/>
                <w:iCs/>
                <w:color w:val="FFFFFF"/>
                <w:szCs w:val="19"/>
                <w:lang w:eastAsia="en-AU"/>
              </w:rPr>
            </w:pPr>
            <w:r w:rsidRPr="00395D65">
              <w:rPr>
                <w:rFonts w:eastAsia="Times New Roman" w:cstheme="majorHAnsi"/>
                <w:iCs/>
                <w:color w:val="FFFFFF"/>
                <w:szCs w:val="19"/>
                <w:lang w:eastAsia="en-AU"/>
              </w:rPr>
              <w:t>2017-18</w:t>
            </w:r>
          </w:p>
        </w:tc>
        <w:tc>
          <w:tcPr>
            <w:tcW w:w="850" w:type="dxa"/>
            <w:tcBorders>
              <w:top w:val="nil"/>
              <w:left w:val="nil"/>
              <w:bottom w:val="nil"/>
              <w:right w:val="nil"/>
            </w:tcBorders>
            <w:shd w:val="clear" w:color="000000" w:fill="000000"/>
            <w:noWrap/>
            <w:hideMark/>
          </w:tcPr>
          <w:p w:rsidR="004B6846" w:rsidRPr="00395D65" w:rsidRDefault="004B6846" w:rsidP="00CC0EB7">
            <w:pPr>
              <w:keepLines w:val="0"/>
              <w:cnfStyle w:val="100000000000" w:firstRow="1" w:lastRow="0" w:firstColumn="0" w:lastColumn="0" w:oddVBand="0" w:evenVBand="0" w:oddHBand="0" w:evenHBand="0" w:firstRowFirstColumn="0" w:firstRowLastColumn="0" w:lastRowFirstColumn="0" w:lastRowLastColumn="0"/>
              <w:rPr>
                <w:rFonts w:eastAsia="Times New Roman" w:cstheme="majorHAnsi"/>
                <w:i w:val="0"/>
                <w:iCs/>
                <w:color w:val="FFFFFF"/>
                <w:szCs w:val="19"/>
                <w:lang w:eastAsia="en-AU"/>
              </w:rPr>
            </w:pPr>
            <w:r w:rsidRPr="00395D65">
              <w:rPr>
                <w:rFonts w:eastAsia="Times New Roman" w:cstheme="majorHAnsi"/>
                <w:iCs/>
                <w:color w:val="FFFFFF"/>
                <w:szCs w:val="19"/>
                <w:lang w:eastAsia="en-AU"/>
              </w:rPr>
              <w:t>2018-19</w:t>
            </w:r>
          </w:p>
        </w:tc>
      </w:tr>
      <w:tr w:rsidR="004B6846" w:rsidRPr="00395D65" w:rsidTr="00CC0EB7">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szCs w:val="19"/>
                <w:lang w:eastAsia="en-AU"/>
              </w:rPr>
            </w:pPr>
            <w:r w:rsidRPr="00395D65">
              <w:rPr>
                <w:rFonts w:eastAsia="Times New Roman" w:cstheme="majorHAnsi"/>
                <w:szCs w:val="19"/>
                <w:lang w:eastAsia="en-AU"/>
              </w:rPr>
              <w:t>Electricity</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9"/>
                <w:lang w:eastAsia="en-AU"/>
              </w:rPr>
            </w:pPr>
            <w:r w:rsidRPr="00395D65">
              <w:rPr>
                <w:rFonts w:eastAsia="Times New Roman" w:cstheme="majorHAnsi"/>
                <w:szCs w:val="19"/>
                <w:lang w:eastAsia="en-AU"/>
              </w:rPr>
              <w:t>151</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9"/>
                <w:lang w:eastAsia="en-AU"/>
              </w:rPr>
            </w:pPr>
            <w:r w:rsidRPr="00395D65">
              <w:rPr>
                <w:rFonts w:eastAsia="Times New Roman" w:cstheme="majorHAnsi"/>
                <w:szCs w:val="19"/>
                <w:lang w:eastAsia="en-AU"/>
              </w:rPr>
              <w:t>154</w:t>
            </w:r>
          </w:p>
        </w:tc>
      </w:tr>
      <w:tr w:rsidR="004B6846" w:rsidRPr="00395D65" w:rsidTr="00CC0EB7">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szCs w:val="19"/>
                <w:lang w:eastAsia="en-AU"/>
              </w:rPr>
            </w:pPr>
            <w:r w:rsidRPr="00395D65">
              <w:rPr>
                <w:rFonts w:eastAsia="Times New Roman" w:cstheme="majorHAnsi"/>
                <w:szCs w:val="19"/>
                <w:lang w:eastAsia="en-AU"/>
              </w:rPr>
              <w:t>Mains gas</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9"/>
                <w:lang w:eastAsia="en-AU"/>
              </w:rPr>
            </w:pPr>
            <w:r w:rsidRPr="00395D65">
              <w:rPr>
                <w:rFonts w:eastAsia="Times New Roman" w:cstheme="majorHAnsi"/>
                <w:szCs w:val="19"/>
                <w:lang w:eastAsia="en-AU"/>
              </w:rPr>
              <w:t>67</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9"/>
                <w:lang w:eastAsia="en-AU"/>
              </w:rPr>
            </w:pPr>
            <w:r w:rsidRPr="00395D65">
              <w:rPr>
                <w:rFonts w:eastAsia="Times New Roman" w:cstheme="majorHAnsi"/>
                <w:szCs w:val="19"/>
                <w:lang w:eastAsia="en-AU"/>
              </w:rPr>
              <w:t>66</w:t>
            </w:r>
          </w:p>
        </w:tc>
      </w:tr>
      <w:tr w:rsidR="004B6846" w:rsidRPr="00395D65" w:rsidTr="00CC0EB7">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szCs w:val="19"/>
                <w:lang w:eastAsia="en-AU"/>
              </w:rPr>
            </w:pPr>
            <w:r w:rsidRPr="00395D65">
              <w:rPr>
                <w:rFonts w:eastAsia="Times New Roman" w:cstheme="majorHAnsi"/>
                <w:szCs w:val="19"/>
                <w:lang w:eastAsia="en-AU"/>
              </w:rPr>
              <w:t>Municipal rates</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9"/>
                <w:lang w:eastAsia="en-AU"/>
              </w:rPr>
            </w:pPr>
            <w:r w:rsidRPr="00395D65">
              <w:rPr>
                <w:rFonts w:eastAsia="Times New Roman" w:cstheme="majorHAnsi"/>
                <w:szCs w:val="19"/>
                <w:lang w:eastAsia="en-AU"/>
              </w:rPr>
              <w:t>94</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9"/>
                <w:lang w:eastAsia="en-AU"/>
              </w:rPr>
            </w:pPr>
            <w:r w:rsidRPr="00395D65">
              <w:rPr>
                <w:rFonts w:eastAsia="Times New Roman" w:cstheme="majorHAnsi"/>
                <w:szCs w:val="19"/>
                <w:lang w:eastAsia="en-AU"/>
              </w:rPr>
              <w:t>97</w:t>
            </w:r>
          </w:p>
        </w:tc>
      </w:tr>
      <w:tr w:rsidR="004B6846" w:rsidRPr="00395D65" w:rsidTr="00CC0EB7">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szCs w:val="19"/>
                <w:lang w:eastAsia="en-AU"/>
              </w:rPr>
            </w:pPr>
            <w:r w:rsidRPr="00395D65">
              <w:rPr>
                <w:rFonts w:eastAsia="Times New Roman" w:cstheme="majorHAnsi"/>
                <w:szCs w:val="19"/>
                <w:lang w:eastAsia="en-AU"/>
              </w:rPr>
              <w:t>Water and sewerage</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9"/>
                <w:lang w:eastAsia="en-AU"/>
              </w:rPr>
            </w:pPr>
            <w:r w:rsidRPr="00395D65">
              <w:rPr>
                <w:rFonts w:eastAsia="Times New Roman" w:cstheme="majorHAnsi"/>
                <w:szCs w:val="19"/>
                <w:lang w:eastAsia="en-AU"/>
              </w:rPr>
              <w:t>171</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9"/>
                <w:lang w:eastAsia="en-AU"/>
              </w:rPr>
            </w:pPr>
            <w:r w:rsidRPr="00395D65">
              <w:rPr>
                <w:rFonts w:eastAsia="Times New Roman" w:cstheme="majorHAnsi"/>
                <w:szCs w:val="19"/>
                <w:lang w:eastAsia="en-AU"/>
              </w:rPr>
              <w:t>174</w:t>
            </w:r>
          </w:p>
        </w:tc>
      </w:tr>
      <w:tr w:rsidR="004B6846" w:rsidRPr="00395D65" w:rsidTr="00CC0EB7">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b/>
                <w:bCs/>
                <w:szCs w:val="19"/>
                <w:lang w:eastAsia="en-AU"/>
              </w:rPr>
            </w:pPr>
            <w:r w:rsidRPr="00395D65">
              <w:rPr>
                <w:rFonts w:eastAsia="Times New Roman" w:cstheme="majorHAnsi"/>
                <w:b/>
                <w:bCs/>
                <w:szCs w:val="19"/>
                <w:lang w:eastAsia="en-AU"/>
              </w:rPr>
              <w:t>Total energy, municipal rates, water and sewerage</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9"/>
                <w:lang w:eastAsia="en-AU"/>
              </w:rPr>
            </w:pPr>
            <w:r w:rsidRPr="00395D65">
              <w:rPr>
                <w:rFonts w:eastAsia="Times New Roman" w:cstheme="majorHAnsi"/>
                <w:b/>
                <w:bCs/>
                <w:szCs w:val="19"/>
                <w:lang w:eastAsia="en-AU"/>
              </w:rPr>
              <w:t>484</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9"/>
                <w:lang w:eastAsia="en-AU"/>
              </w:rPr>
            </w:pPr>
            <w:r w:rsidRPr="00395D65">
              <w:rPr>
                <w:rFonts w:eastAsia="Times New Roman" w:cstheme="majorHAnsi"/>
                <w:b/>
                <w:bCs/>
                <w:szCs w:val="19"/>
                <w:lang w:eastAsia="en-AU"/>
              </w:rPr>
              <w:t>491</w:t>
            </w:r>
          </w:p>
        </w:tc>
      </w:tr>
      <w:tr w:rsidR="004B6846" w:rsidRPr="00395D65" w:rsidTr="00CC0EB7">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szCs w:val="19"/>
                <w:lang w:eastAsia="en-AU"/>
              </w:rPr>
            </w:pPr>
            <w:r w:rsidRPr="00395D65">
              <w:rPr>
                <w:rFonts w:eastAsia="Times New Roman" w:cstheme="majorHAnsi"/>
                <w:szCs w:val="19"/>
                <w:lang w:eastAsia="en-AU"/>
              </w:rPr>
              <w:t>Ambulance</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9"/>
                <w:lang w:eastAsia="en-AU"/>
              </w:rPr>
            </w:pPr>
            <w:r w:rsidRPr="00395D65">
              <w:rPr>
                <w:rFonts w:eastAsia="Times New Roman" w:cstheme="majorHAnsi"/>
                <w:szCs w:val="19"/>
                <w:lang w:eastAsia="en-AU"/>
              </w:rPr>
              <w:t>400</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9"/>
                <w:lang w:eastAsia="en-AU"/>
              </w:rPr>
            </w:pPr>
            <w:r w:rsidRPr="00395D65">
              <w:rPr>
                <w:rFonts w:eastAsia="Times New Roman" w:cstheme="majorHAnsi"/>
                <w:szCs w:val="19"/>
                <w:lang w:eastAsia="en-AU"/>
              </w:rPr>
              <w:t>412</w:t>
            </w:r>
          </w:p>
        </w:tc>
      </w:tr>
      <w:tr w:rsidR="004B6846" w:rsidRPr="00395D65" w:rsidTr="00CC0EB7">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szCs w:val="19"/>
                <w:lang w:eastAsia="en-AU"/>
              </w:rPr>
            </w:pPr>
            <w:r w:rsidRPr="00395D65">
              <w:rPr>
                <w:rFonts w:eastAsia="Times New Roman" w:cstheme="majorHAnsi"/>
                <w:szCs w:val="19"/>
                <w:lang w:eastAsia="en-AU"/>
              </w:rPr>
              <w:t>Dental services and spectacles</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9"/>
                <w:lang w:eastAsia="en-AU"/>
              </w:rPr>
            </w:pPr>
            <w:r w:rsidRPr="00395D65">
              <w:rPr>
                <w:rFonts w:eastAsia="Times New Roman" w:cstheme="majorHAnsi"/>
                <w:szCs w:val="19"/>
                <w:lang w:eastAsia="en-AU"/>
              </w:rPr>
              <w:t>170</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9"/>
                <w:lang w:eastAsia="en-AU"/>
              </w:rPr>
            </w:pPr>
            <w:r w:rsidRPr="00395D65">
              <w:rPr>
                <w:rFonts w:eastAsia="Times New Roman" w:cstheme="majorHAnsi"/>
                <w:szCs w:val="19"/>
                <w:lang w:eastAsia="en-AU"/>
              </w:rPr>
              <w:t>174</w:t>
            </w:r>
          </w:p>
        </w:tc>
      </w:tr>
      <w:tr w:rsidR="004B6846" w:rsidRPr="00395D65" w:rsidTr="00CC0EB7">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szCs w:val="19"/>
                <w:lang w:eastAsia="en-AU"/>
              </w:rPr>
            </w:pPr>
            <w:r w:rsidRPr="00395D65">
              <w:rPr>
                <w:rFonts w:eastAsia="Times New Roman" w:cstheme="majorHAnsi"/>
                <w:szCs w:val="19"/>
                <w:lang w:eastAsia="en-AU"/>
              </w:rPr>
              <w:t>Community health programs</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9"/>
                <w:lang w:eastAsia="en-AU"/>
              </w:rPr>
            </w:pPr>
            <w:r w:rsidRPr="00395D65">
              <w:rPr>
                <w:rFonts w:eastAsia="Times New Roman" w:cstheme="majorHAnsi"/>
                <w:szCs w:val="19"/>
                <w:lang w:eastAsia="en-AU"/>
              </w:rPr>
              <w:t>99</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szCs w:val="19"/>
                <w:lang w:eastAsia="en-AU"/>
              </w:rPr>
            </w:pPr>
            <w:r w:rsidRPr="00395D65">
              <w:rPr>
                <w:rFonts w:eastAsia="Times New Roman" w:cstheme="majorHAnsi"/>
                <w:szCs w:val="19"/>
                <w:lang w:eastAsia="en-AU"/>
              </w:rPr>
              <w:t>102</w:t>
            </w:r>
          </w:p>
        </w:tc>
      </w:tr>
      <w:tr w:rsidR="004B6846" w:rsidRPr="00395D65" w:rsidTr="00CC0EB7">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b/>
                <w:bCs/>
                <w:szCs w:val="19"/>
                <w:lang w:eastAsia="en-AU"/>
              </w:rPr>
            </w:pPr>
            <w:r w:rsidRPr="00395D65">
              <w:rPr>
                <w:rFonts w:eastAsia="Times New Roman" w:cstheme="majorHAnsi"/>
                <w:b/>
                <w:bCs/>
                <w:szCs w:val="19"/>
                <w:lang w:eastAsia="en-AU"/>
              </w:rPr>
              <w:t>Total health</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9"/>
                <w:lang w:eastAsia="en-AU"/>
              </w:rPr>
            </w:pPr>
            <w:r w:rsidRPr="00395D65">
              <w:rPr>
                <w:rFonts w:eastAsia="Times New Roman" w:cstheme="majorHAnsi"/>
                <w:b/>
                <w:bCs/>
                <w:szCs w:val="19"/>
                <w:lang w:eastAsia="en-AU"/>
              </w:rPr>
              <w:t>669</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9"/>
                <w:lang w:eastAsia="en-AU"/>
              </w:rPr>
            </w:pPr>
            <w:r w:rsidRPr="00395D65">
              <w:rPr>
                <w:rFonts w:eastAsia="Times New Roman" w:cstheme="majorHAnsi"/>
                <w:b/>
                <w:bCs/>
                <w:szCs w:val="19"/>
                <w:lang w:eastAsia="en-AU"/>
              </w:rPr>
              <w:t>688</w:t>
            </w:r>
          </w:p>
        </w:tc>
      </w:tr>
      <w:tr w:rsidR="004B6846" w:rsidRPr="00395D65" w:rsidTr="00CC0EB7">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b/>
                <w:bCs/>
                <w:szCs w:val="19"/>
                <w:lang w:eastAsia="en-AU"/>
              </w:rPr>
            </w:pPr>
            <w:r w:rsidRPr="00395D65">
              <w:rPr>
                <w:rFonts w:eastAsia="Times New Roman" w:cstheme="majorHAnsi"/>
                <w:b/>
                <w:bCs/>
                <w:szCs w:val="19"/>
                <w:lang w:eastAsia="en-AU"/>
              </w:rPr>
              <w:t xml:space="preserve">Education </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9"/>
                <w:lang w:eastAsia="en-AU"/>
              </w:rPr>
            </w:pPr>
            <w:r w:rsidRPr="00395D65">
              <w:rPr>
                <w:rFonts w:eastAsia="Times New Roman" w:cstheme="majorHAnsi"/>
                <w:b/>
                <w:bCs/>
                <w:szCs w:val="19"/>
                <w:lang w:eastAsia="en-AU"/>
              </w:rPr>
              <w:t>54</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9"/>
                <w:lang w:eastAsia="en-AU"/>
              </w:rPr>
            </w:pPr>
            <w:r w:rsidRPr="00395D65">
              <w:rPr>
                <w:rFonts w:eastAsia="Times New Roman" w:cstheme="majorHAnsi"/>
                <w:b/>
                <w:bCs/>
                <w:szCs w:val="19"/>
                <w:lang w:eastAsia="en-AU"/>
              </w:rPr>
              <w:t>73</w:t>
            </w:r>
          </w:p>
        </w:tc>
      </w:tr>
      <w:tr w:rsidR="004B6846" w:rsidRPr="00395D65" w:rsidTr="00CC0EB7">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b/>
                <w:bCs/>
                <w:szCs w:val="19"/>
                <w:lang w:eastAsia="en-AU"/>
              </w:rPr>
            </w:pPr>
            <w:r w:rsidRPr="00395D65">
              <w:rPr>
                <w:rFonts w:eastAsia="Times New Roman" w:cstheme="majorHAnsi"/>
                <w:b/>
                <w:bCs/>
                <w:szCs w:val="19"/>
                <w:lang w:eastAsia="en-AU"/>
              </w:rPr>
              <w:t>Hardship schemes</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9"/>
                <w:lang w:eastAsia="en-AU"/>
              </w:rPr>
            </w:pPr>
            <w:r w:rsidRPr="00395D65">
              <w:rPr>
                <w:rFonts w:eastAsia="Times New Roman" w:cstheme="majorHAnsi"/>
                <w:b/>
                <w:bCs/>
                <w:szCs w:val="19"/>
                <w:lang w:eastAsia="en-AU"/>
              </w:rPr>
              <w:t>43</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9"/>
                <w:lang w:eastAsia="en-AU"/>
              </w:rPr>
            </w:pPr>
            <w:r w:rsidRPr="00395D65">
              <w:rPr>
                <w:rFonts w:eastAsia="Times New Roman" w:cstheme="majorHAnsi"/>
                <w:b/>
                <w:bCs/>
                <w:szCs w:val="19"/>
                <w:lang w:eastAsia="en-AU"/>
              </w:rPr>
              <w:t>45</w:t>
            </w:r>
          </w:p>
        </w:tc>
      </w:tr>
      <w:tr w:rsidR="004B6846" w:rsidRPr="00395D65" w:rsidTr="00CC0EB7">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b/>
                <w:bCs/>
                <w:szCs w:val="19"/>
                <w:lang w:eastAsia="en-AU"/>
              </w:rPr>
            </w:pPr>
            <w:r w:rsidRPr="00395D65">
              <w:rPr>
                <w:rFonts w:eastAsia="Times New Roman" w:cstheme="majorHAnsi"/>
                <w:b/>
                <w:bCs/>
                <w:szCs w:val="19"/>
                <w:lang w:eastAsia="en-AU"/>
              </w:rPr>
              <w:t>Social and community services</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9"/>
                <w:lang w:eastAsia="en-AU"/>
              </w:rPr>
            </w:pPr>
            <w:r w:rsidRPr="00395D65">
              <w:rPr>
                <w:rFonts w:eastAsia="Times New Roman" w:cstheme="majorHAnsi"/>
                <w:b/>
                <w:bCs/>
                <w:szCs w:val="19"/>
                <w:lang w:eastAsia="en-AU"/>
              </w:rPr>
              <w:t>3</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9"/>
                <w:lang w:eastAsia="en-AU"/>
              </w:rPr>
            </w:pPr>
            <w:r w:rsidRPr="00395D65">
              <w:rPr>
                <w:rFonts w:eastAsia="Times New Roman" w:cstheme="majorHAnsi"/>
                <w:b/>
                <w:bCs/>
                <w:szCs w:val="19"/>
                <w:lang w:eastAsia="en-AU"/>
              </w:rPr>
              <w:t>3</w:t>
            </w:r>
          </w:p>
        </w:tc>
      </w:tr>
      <w:tr w:rsidR="004B6846" w:rsidRPr="00395D65" w:rsidTr="00CC0EB7">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b/>
                <w:bCs/>
                <w:szCs w:val="19"/>
                <w:lang w:eastAsia="en-AU"/>
              </w:rPr>
            </w:pPr>
            <w:r w:rsidRPr="00395D65">
              <w:rPr>
                <w:rFonts w:eastAsia="Times New Roman" w:cstheme="majorHAnsi"/>
                <w:b/>
                <w:bCs/>
                <w:szCs w:val="19"/>
                <w:lang w:eastAsia="en-AU"/>
              </w:rPr>
              <w:t>Private transport</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9"/>
                <w:lang w:eastAsia="en-AU"/>
              </w:rPr>
            </w:pPr>
            <w:r w:rsidRPr="00395D65">
              <w:rPr>
                <w:rFonts w:eastAsia="Times New Roman" w:cstheme="majorHAnsi"/>
                <w:b/>
                <w:bCs/>
                <w:szCs w:val="19"/>
                <w:lang w:eastAsia="en-AU"/>
              </w:rPr>
              <w:t>204</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9"/>
                <w:lang w:eastAsia="en-AU"/>
              </w:rPr>
            </w:pPr>
            <w:r w:rsidRPr="00395D65">
              <w:rPr>
                <w:rFonts w:eastAsia="Times New Roman" w:cstheme="majorHAnsi"/>
                <w:b/>
                <w:bCs/>
                <w:szCs w:val="19"/>
                <w:lang w:eastAsia="en-AU"/>
              </w:rPr>
              <w:t>182</w:t>
            </w:r>
          </w:p>
        </w:tc>
      </w:tr>
      <w:tr w:rsidR="004B6846" w:rsidRPr="00395D65" w:rsidTr="00CC0EB7">
        <w:trPr>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clear" w:color="000000" w:fill="FFFFFF"/>
            <w:noWrap/>
            <w:vAlign w:val="bottom"/>
            <w:hideMark/>
          </w:tcPr>
          <w:p w:rsidR="004B6846" w:rsidRPr="00395D65" w:rsidRDefault="004B6846" w:rsidP="00CC0EB7">
            <w:pPr>
              <w:keepLines w:val="0"/>
              <w:rPr>
                <w:rFonts w:eastAsia="Times New Roman" w:cstheme="majorHAnsi"/>
                <w:b/>
                <w:bCs/>
                <w:szCs w:val="19"/>
                <w:lang w:eastAsia="en-AU"/>
              </w:rPr>
            </w:pPr>
            <w:r w:rsidRPr="00395D65">
              <w:rPr>
                <w:rFonts w:eastAsia="Times New Roman" w:cstheme="majorHAnsi"/>
                <w:b/>
                <w:bCs/>
                <w:szCs w:val="19"/>
                <w:lang w:eastAsia="en-AU"/>
              </w:rPr>
              <w:t>Public transport</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9"/>
                <w:lang w:eastAsia="en-AU"/>
              </w:rPr>
            </w:pPr>
            <w:r w:rsidRPr="00395D65">
              <w:rPr>
                <w:rFonts w:eastAsia="Times New Roman" w:cstheme="majorHAnsi"/>
                <w:b/>
                <w:bCs/>
                <w:szCs w:val="19"/>
                <w:lang w:eastAsia="en-AU"/>
              </w:rPr>
              <w:t>161</w:t>
            </w:r>
          </w:p>
        </w:tc>
        <w:tc>
          <w:tcPr>
            <w:tcW w:w="850" w:type="dxa"/>
            <w:tcBorders>
              <w:top w:val="nil"/>
              <w:left w:val="nil"/>
              <w:bottom w:val="nil"/>
              <w:right w:val="nil"/>
            </w:tcBorders>
            <w:shd w:val="clear" w:color="000000" w:fill="FFFFFF"/>
            <w:noWrap/>
            <w:vAlign w:val="bottom"/>
            <w:hideMark/>
          </w:tcPr>
          <w:p w:rsidR="004B6846" w:rsidRPr="00395D65" w:rsidRDefault="004B6846" w:rsidP="00CC0EB7">
            <w:pPr>
              <w:keepLines w:val="0"/>
              <w:cnfStyle w:val="000000000000" w:firstRow="0" w:lastRow="0" w:firstColumn="0" w:lastColumn="0" w:oddVBand="0" w:evenVBand="0" w:oddHBand="0" w:evenHBand="0" w:firstRowFirstColumn="0" w:firstRowLastColumn="0" w:lastRowFirstColumn="0" w:lastRowLastColumn="0"/>
              <w:rPr>
                <w:rFonts w:eastAsia="Times New Roman" w:cstheme="majorHAnsi"/>
                <w:b/>
                <w:bCs/>
                <w:szCs w:val="19"/>
                <w:lang w:eastAsia="en-AU"/>
              </w:rPr>
            </w:pPr>
            <w:r w:rsidRPr="00395D65">
              <w:rPr>
                <w:rFonts w:eastAsia="Times New Roman" w:cstheme="majorHAnsi"/>
                <w:b/>
                <w:bCs/>
                <w:szCs w:val="19"/>
                <w:lang w:eastAsia="en-AU"/>
              </w:rPr>
              <w:t>168</w:t>
            </w:r>
          </w:p>
        </w:tc>
      </w:tr>
      <w:tr w:rsidR="004B6846" w:rsidRPr="00395D65" w:rsidTr="00CC0EB7">
        <w:trPr>
          <w:cnfStyle w:val="010000000000" w:firstRow="0" w:lastRow="1" w:firstColumn="0" w:lastColumn="0" w:oddVBand="0" w:evenVBand="0" w:oddHBand="0" w:evenHBand="0" w:firstRowFirstColumn="0" w:firstRowLastColumn="0" w:lastRowFirstColumn="0" w:lastRowLastColumn="0"/>
          <w:divId w:val="1007907802"/>
        </w:trPr>
        <w:tc>
          <w:tcPr>
            <w:cnfStyle w:val="001000000000" w:firstRow="0" w:lastRow="0" w:firstColumn="1" w:lastColumn="0" w:oddVBand="0" w:evenVBand="0" w:oddHBand="0" w:evenHBand="0" w:firstRowFirstColumn="0" w:firstRowLastColumn="0" w:lastRowFirstColumn="0" w:lastRowLastColumn="0"/>
            <w:tcW w:w="6066" w:type="dxa"/>
            <w:tcBorders>
              <w:top w:val="single" w:sz="4" w:space="0" w:color="auto"/>
              <w:bottom w:val="single" w:sz="8" w:space="0" w:color="auto"/>
            </w:tcBorders>
            <w:shd w:val="clear" w:color="000000" w:fill="FFFFFF"/>
            <w:noWrap/>
            <w:vAlign w:val="bottom"/>
            <w:hideMark/>
          </w:tcPr>
          <w:p w:rsidR="004B6846" w:rsidRPr="00395D65" w:rsidRDefault="004B6846" w:rsidP="00CC0EB7">
            <w:pPr>
              <w:keepLines w:val="0"/>
              <w:rPr>
                <w:rFonts w:eastAsia="Times New Roman" w:cstheme="majorHAnsi"/>
                <w:b w:val="0"/>
                <w:bCs/>
                <w:szCs w:val="19"/>
                <w:lang w:eastAsia="en-AU"/>
              </w:rPr>
            </w:pPr>
            <w:r w:rsidRPr="00395D65">
              <w:rPr>
                <w:rFonts w:eastAsia="Times New Roman" w:cstheme="majorHAnsi"/>
                <w:bCs/>
                <w:szCs w:val="19"/>
                <w:lang w:eastAsia="en-AU"/>
              </w:rPr>
              <w:t>Total for items estimated</w:t>
            </w:r>
          </w:p>
        </w:tc>
        <w:tc>
          <w:tcPr>
            <w:tcW w:w="850" w:type="dxa"/>
            <w:tcBorders>
              <w:top w:val="single" w:sz="4" w:space="0" w:color="auto"/>
              <w:bottom w:val="single" w:sz="8" w:space="0" w:color="auto"/>
            </w:tcBorders>
            <w:shd w:val="clear" w:color="000000" w:fill="FFFFFF"/>
            <w:noWrap/>
            <w:vAlign w:val="bottom"/>
            <w:hideMark/>
          </w:tcPr>
          <w:p w:rsidR="004B6846" w:rsidRPr="00395D65" w:rsidRDefault="004B6846" w:rsidP="00CC0EB7">
            <w:pPr>
              <w:keepLines w:val="0"/>
              <w:cnfStyle w:val="010000000000" w:firstRow="0" w:lastRow="1" w:firstColumn="0" w:lastColumn="0" w:oddVBand="0" w:evenVBand="0" w:oddHBand="0" w:evenHBand="0" w:firstRowFirstColumn="0" w:firstRowLastColumn="0" w:lastRowFirstColumn="0" w:lastRowLastColumn="0"/>
              <w:rPr>
                <w:rFonts w:eastAsia="Times New Roman" w:cstheme="majorHAnsi"/>
                <w:b w:val="0"/>
                <w:bCs/>
                <w:szCs w:val="19"/>
                <w:lang w:eastAsia="en-AU"/>
              </w:rPr>
            </w:pPr>
            <w:r w:rsidRPr="00395D65">
              <w:rPr>
                <w:rFonts w:eastAsia="Times New Roman" w:cstheme="majorHAnsi"/>
                <w:bCs/>
                <w:szCs w:val="19"/>
                <w:lang w:eastAsia="en-AU"/>
              </w:rPr>
              <w:t>1 618</w:t>
            </w:r>
          </w:p>
        </w:tc>
        <w:tc>
          <w:tcPr>
            <w:tcW w:w="850" w:type="dxa"/>
            <w:tcBorders>
              <w:top w:val="single" w:sz="4" w:space="0" w:color="auto"/>
              <w:bottom w:val="single" w:sz="8" w:space="0" w:color="auto"/>
            </w:tcBorders>
            <w:shd w:val="clear" w:color="000000" w:fill="FFFFFF"/>
            <w:noWrap/>
            <w:vAlign w:val="bottom"/>
            <w:hideMark/>
          </w:tcPr>
          <w:p w:rsidR="004B6846" w:rsidRPr="00395D65" w:rsidRDefault="004B6846" w:rsidP="00CC0EB7">
            <w:pPr>
              <w:keepLines w:val="0"/>
              <w:cnfStyle w:val="010000000000" w:firstRow="0" w:lastRow="1" w:firstColumn="0" w:lastColumn="0" w:oddVBand="0" w:evenVBand="0" w:oddHBand="0" w:evenHBand="0" w:firstRowFirstColumn="0" w:firstRowLastColumn="0" w:lastRowFirstColumn="0" w:lastRowLastColumn="0"/>
              <w:rPr>
                <w:rFonts w:eastAsia="Times New Roman" w:cstheme="majorHAnsi"/>
                <w:b w:val="0"/>
                <w:bCs/>
                <w:szCs w:val="19"/>
                <w:lang w:eastAsia="en-AU"/>
              </w:rPr>
            </w:pPr>
            <w:r w:rsidRPr="00395D65">
              <w:rPr>
                <w:rFonts w:eastAsia="Times New Roman" w:cstheme="majorHAnsi"/>
                <w:bCs/>
                <w:szCs w:val="19"/>
                <w:lang w:eastAsia="en-AU"/>
              </w:rPr>
              <w:t>1 651</w:t>
            </w:r>
          </w:p>
        </w:tc>
      </w:tr>
    </w:tbl>
    <w:bookmarkEnd w:id="97"/>
    <w:p w:rsidR="004B6846" w:rsidRPr="004E2527" w:rsidRDefault="004B6846" w:rsidP="00CC0EB7">
      <w:pPr>
        <w:pStyle w:val="Source"/>
      </w:pPr>
      <w:r w:rsidRPr="004E2527">
        <w:t>Source: Department of Treasury and Finance</w:t>
      </w:r>
    </w:p>
    <w:p w:rsidR="004B6846" w:rsidRPr="004E2527" w:rsidRDefault="004B6846" w:rsidP="00CC0EB7">
      <w:pPr>
        <w:pStyle w:val="Note"/>
      </w:pPr>
      <w:r w:rsidRPr="004E2527">
        <w:t>Notes:</w:t>
      </w:r>
    </w:p>
    <w:p w:rsidR="004B6846" w:rsidRPr="004E2527" w:rsidRDefault="004B6846" w:rsidP="00CC0EB7">
      <w:pPr>
        <w:pStyle w:val="Note"/>
      </w:pPr>
      <w:r w:rsidRPr="004E2527">
        <w:t>(a)</w:t>
      </w:r>
      <w:r w:rsidRPr="004E2527">
        <w:tab/>
        <w:t>All amounts have been rounded to the nearest $1 million unless otherwise stated. Figures may not add due to rounding.</w:t>
      </w:r>
    </w:p>
    <w:p w:rsidR="004B6846" w:rsidRDefault="004B6846">
      <w:pPr>
        <w:keepLines w:val="0"/>
      </w:pPr>
      <w:r>
        <w:br w:type="page"/>
      </w:r>
    </w:p>
    <w:p w:rsidR="004B6846" w:rsidRPr="00395D65" w:rsidRDefault="004B6846" w:rsidP="00CC0EB7">
      <w:pPr>
        <w:jc w:val="center"/>
        <w:rPr>
          <w:rFonts w:eastAsia="Times New Roman" w:cs="Times New Roman"/>
        </w:rPr>
      </w:pPr>
    </w:p>
    <w:p w:rsidR="004B6846" w:rsidRPr="00395D65" w:rsidRDefault="004B6846" w:rsidP="00CC0EB7">
      <w:pPr>
        <w:jc w:val="center"/>
        <w:rPr>
          <w:rFonts w:eastAsia="Times New Roman" w:cs="Times New Roman"/>
        </w:rPr>
      </w:pPr>
    </w:p>
    <w:p w:rsidR="004B6846" w:rsidRPr="00395D65" w:rsidRDefault="004B6846" w:rsidP="00CC0EB7">
      <w:pPr>
        <w:jc w:val="center"/>
        <w:rPr>
          <w:rFonts w:eastAsia="Times New Roman" w:cs="Times New Roman"/>
        </w:rPr>
      </w:pPr>
    </w:p>
    <w:p w:rsidR="004B6846" w:rsidRPr="00114FD5" w:rsidRDefault="004B6846" w:rsidP="00CC0EB7"/>
    <w:p w:rsidR="004B6846" w:rsidRDefault="004B6846" w:rsidP="004B6846">
      <w:pPr>
        <w:pStyle w:val="Heading10"/>
        <w:sectPr w:rsidR="004B6846" w:rsidSect="00CC0EB7">
          <w:headerReference w:type="even" r:id="rId83"/>
          <w:headerReference w:type="default" r:id="rId84"/>
          <w:footerReference w:type="even" r:id="rId85"/>
          <w:footerReference w:type="default" r:id="rId86"/>
          <w:headerReference w:type="first" r:id="rId87"/>
          <w:footerReference w:type="first" r:id="rId88"/>
          <w:type w:val="oddPage"/>
          <w:pgSz w:w="9979" w:h="14175" w:code="9"/>
          <w:pgMar w:top="850" w:right="1134" w:bottom="850" w:left="1134" w:header="624" w:footer="567" w:gutter="0"/>
          <w:cols w:space="567"/>
          <w:titlePg/>
          <w:docGrid w:linePitch="360"/>
        </w:sectPr>
      </w:pPr>
    </w:p>
    <w:p w:rsidR="004B6846" w:rsidRDefault="004B6846" w:rsidP="000C43CD">
      <w:pPr>
        <w:pStyle w:val="Chapterheading"/>
      </w:pPr>
      <w:bookmarkStart w:id="98" w:name="_Toc531884967"/>
      <w:r>
        <w:lastRenderedPageBreak/>
        <w:t>Appendix D – Sensitivity analysis</w:t>
      </w:r>
      <w:bookmarkEnd w:id="98"/>
    </w:p>
    <w:p w:rsidR="004B6846" w:rsidRDefault="004B6846" w:rsidP="00CC0EB7">
      <w:r w:rsidRPr="002B2DAB">
        <w:t xml:space="preserve">The </w:t>
      </w:r>
      <w:r>
        <w:rPr>
          <w:i/>
        </w:rPr>
        <w:t>2018</w:t>
      </w:r>
      <w:r>
        <w:rPr>
          <w:i/>
        </w:rPr>
        <w:noBreakHyphen/>
        <w:t xml:space="preserve">19 </w:t>
      </w:r>
      <w:r w:rsidRPr="002B2DAB">
        <w:rPr>
          <w:i/>
        </w:rPr>
        <w:t>Budget</w:t>
      </w:r>
      <w:r>
        <w:rPr>
          <w:i/>
        </w:rPr>
        <w:t xml:space="preserve"> Update</w:t>
      </w:r>
      <w:r w:rsidRPr="002B2DAB">
        <w:t xml:space="preserve"> </w:t>
      </w:r>
      <w:r>
        <w:t>relies on</w:t>
      </w:r>
      <w:r w:rsidRPr="002B2DAB">
        <w:t xml:space="preserve"> forecasts and </w:t>
      </w:r>
      <w:r>
        <w:t xml:space="preserve">judgements about the </w:t>
      </w:r>
      <w:r w:rsidRPr="002B2DAB">
        <w:t>economic</w:t>
      </w:r>
      <w:r>
        <w:t>, operating and financial conditions for the Victorian general government sector. Uncertainty in these conditions, for example as a result of international developments and other risks to the national economy, may cause the actual results to differ from projections.</w:t>
      </w:r>
    </w:p>
    <w:p w:rsidR="004B6846" w:rsidRDefault="004B6846" w:rsidP="00CC0EB7">
      <w:r>
        <w:t>This sensitivity analysis explores the impact of variations in the macroeconomic outlook on key fiscal aggregates of the general government sector using two alternative approaches.</w:t>
      </w:r>
    </w:p>
    <w:p w:rsidR="004B6846" w:rsidRDefault="004B6846" w:rsidP="00CC0EB7">
      <w:r>
        <w:t xml:space="preserve">The first quantifies the fiscal impacts of scenarios involving simultaneous variations in economic parameters that represent key risks to the economic outlook described in Chapter 2 </w:t>
      </w:r>
      <w:r w:rsidRPr="00F6625A">
        <w:rPr>
          <w:i/>
        </w:rPr>
        <w:t>Economic</w:t>
      </w:r>
      <w:r>
        <w:rPr>
          <w:i/>
        </w:rPr>
        <w:t xml:space="preserve"> Context</w:t>
      </w:r>
      <w:r w:rsidRPr="00F6625A">
        <w:t>.</w:t>
      </w:r>
      <w:r>
        <w:t xml:space="preserve"> These scenarios were selected to cover plausible shocks that could affect Victoria over the medium term, and the modelling takes account of linkages between key international, Australian and Victorian economic aggregates.</w:t>
      </w:r>
    </w:p>
    <w:p w:rsidR="004B6846" w:rsidRDefault="004B6846" w:rsidP="00CC0EB7">
      <w:r>
        <w:t xml:space="preserve">The modelled outcomes are intended to be used as a guide and care should be exercised in interpreting the results. </w:t>
      </w:r>
      <w:r w:rsidRPr="00DF7EFD">
        <w:t xml:space="preserve">In </w:t>
      </w:r>
      <w:r>
        <w:t>particular</w:t>
      </w:r>
      <w:r w:rsidRPr="00DF7EFD">
        <w:t xml:space="preserve">, economic shocks tend to be idiosyncratic in nature, with the modelled scenarios </w:t>
      </w:r>
      <w:r>
        <w:t>unlikely</w:t>
      </w:r>
      <w:r w:rsidRPr="00DF7EFD">
        <w:t xml:space="preserve"> to completely reflect any future shock that could </w:t>
      </w:r>
      <w:r>
        <w:t>occur</w:t>
      </w:r>
      <w:r w:rsidRPr="00DF7EFD">
        <w:t>. Departures from these scenarios would be expected to result in di</w:t>
      </w:r>
      <w:r>
        <w:t xml:space="preserve">fferent impacts on the budget. </w:t>
      </w:r>
      <w:r w:rsidRPr="00DF7EFD">
        <w:t>Fu</w:t>
      </w:r>
      <w:r>
        <w:t>rthermore, these shocks do not incorporate</w:t>
      </w:r>
      <w:r w:rsidRPr="00DF7EFD">
        <w:t xml:space="preserve"> any policy response</w:t>
      </w:r>
      <w:r>
        <w:t>s</w:t>
      </w:r>
      <w:r w:rsidRPr="00DF7EFD">
        <w:t xml:space="preserve"> to the </w:t>
      </w:r>
      <w:r>
        <w:t xml:space="preserve">shock or the </w:t>
      </w:r>
      <w:r w:rsidRPr="00DF7EFD">
        <w:t>change in outlook</w:t>
      </w:r>
      <w:r>
        <w:t>.</w:t>
      </w:r>
    </w:p>
    <w:p w:rsidR="004B6846" w:rsidRDefault="004B6846" w:rsidP="00CC0EB7">
      <w:r>
        <w:t>The second approach considers the fiscal impacts of independent variations in major macroeconomic parameters, holding all parameters other than the indicator of interest constant. This analysis may be useful for assessing the impact on fiscal aggregates of a forecast error in a single economic parameter. In practice, economic variations rarely occur in isolation, and scenario analysis is likely to be more appropriate to illustrate the fiscal impacts of an economic environment materially different from that presented in the budget papers.</w:t>
      </w:r>
    </w:p>
    <w:p w:rsidR="004B6846" w:rsidRDefault="004B6846" w:rsidP="00CC0EB7">
      <w:pPr>
        <w:keepLines w:val="0"/>
        <w:rPr>
          <w:rFonts w:asciiTheme="majorHAnsi" w:eastAsiaTheme="majorEastAsia" w:hAnsiTheme="majorHAnsi" w:cstheme="majorBidi"/>
          <w:b/>
          <w:bCs/>
          <w:caps/>
          <w:spacing w:val="-2"/>
          <w:sz w:val="26"/>
          <w:szCs w:val="28"/>
        </w:rPr>
      </w:pPr>
      <w:r>
        <w:br w:type="page"/>
      </w:r>
    </w:p>
    <w:p w:rsidR="004B6846" w:rsidRPr="00BB71B2" w:rsidRDefault="004B6846" w:rsidP="00CC0EB7">
      <w:pPr>
        <w:pStyle w:val="Heading10"/>
      </w:pPr>
      <w:bookmarkStart w:id="99" w:name="_Toc512629772"/>
      <w:bookmarkStart w:id="100" w:name="_Toc531884968"/>
      <w:r w:rsidRPr="00BB71B2">
        <w:lastRenderedPageBreak/>
        <w:t>Fiscal impacts of variations to the economic outlook</w:t>
      </w:r>
      <w:bookmarkEnd w:id="99"/>
      <w:bookmarkEnd w:id="100"/>
    </w:p>
    <w:p w:rsidR="004B6846" w:rsidRDefault="004B6846" w:rsidP="00CC0EB7">
      <w:r>
        <w:t xml:space="preserve">This part of the sensitivity analysis quantifies some of the key risks identified in Chapter 2 </w:t>
      </w:r>
      <w:r w:rsidRPr="00F6625A">
        <w:rPr>
          <w:i/>
        </w:rPr>
        <w:t>Economic </w:t>
      </w:r>
      <w:r>
        <w:rPr>
          <w:i/>
        </w:rPr>
        <w:t>Context</w:t>
      </w:r>
      <w:r>
        <w:t xml:space="preserve"> and presents how these risks might affect the State’s economic and fiscal aggregates. Two scenarios are considered</w:t>
      </w:r>
      <w:r w:rsidRPr="00516DAA">
        <w:t>: a negative shock to the household sector that affects consumption and dwelling investment;</w:t>
      </w:r>
      <w:r>
        <w:t xml:space="preserve"> and a positive shock to Victoria’s labour force participation rate, partially accommodated through an increase in final demand.</w:t>
      </w:r>
      <w:r>
        <w:rPr>
          <w:rStyle w:val="FootnoteReference"/>
        </w:rPr>
        <w:footnoteReference w:id="1"/>
      </w:r>
      <w:r w:rsidR="00684CDB">
        <w:t xml:space="preserve"> The </w:t>
      </w:r>
      <w:r>
        <w:t xml:space="preserve">design and calibration of both scenarios is identical to those analysed in </w:t>
      </w:r>
      <w:r w:rsidR="00684CDB">
        <w:t xml:space="preserve">Budget Paper </w:t>
      </w:r>
      <w:r>
        <w:t>No. </w:t>
      </w:r>
      <w:r w:rsidRPr="0018217B">
        <w:t>2, Appendix A</w:t>
      </w:r>
      <w:r>
        <w:t xml:space="preserve"> </w:t>
      </w:r>
      <w:r w:rsidRPr="0018217B">
        <w:rPr>
          <w:i/>
        </w:rPr>
        <w:t>Sensitivity Analysis</w:t>
      </w:r>
      <w:r>
        <w:t xml:space="preserve"> of the </w:t>
      </w:r>
      <w:r w:rsidRPr="0003651A">
        <w:rPr>
          <w:i/>
        </w:rPr>
        <w:t>2018</w:t>
      </w:r>
      <w:r w:rsidRPr="0003651A">
        <w:rPr>
          <w:i/>
        </w:rPr>
        <w:noBreakHyphen/>
        <w:t>19 Budget</w:t>
      </w:r>
      <w:r>
        <w:t>. Continued strength in the Victorian economy over the past six months has, however, flowed through to a stronger base case against which the two scenarios have been compared.</w:t>
      </w:r>
    </w:p>
    <w:p w:rsidR="004B6846" w:rsidRPr="00C80C1F" w:rsidRDefault="004B6846" w:rsidP="00CC0EB7">
      <w:r w:rsidRPr="00C80C1F">
        <w:t>The economic impacts of both scenarios have been modelled as deviations from a business as usual base case generated from the Victoria University Regional Model (VURM).</w:t>
      </w:r>
      <w:r w:rsidRPr="00C80C1F">
        <w:rPr>
          <w:rStyle w:val="FootnoteReference"/>
        </w:rPr>
        <w:footnoteReference w:id="2"/>
      </w:r>
      <w:r w:rsidRPr="00C80C1F">
        <w:t xml:space="preserve"> The changes in economic indicators resulting from the modelled shocks are then mapped into estimated revenue and expenditure impacts using elasticities that describe the historic relationship between fiscal outcomes and major macroeconomic parameters in Table </w:t>
      </w:r>
      <w:r>
        <w:t>D.</w:t>
      </w:r>
      <w:r w:rsidRPr="00C80C1F">
        <w:t>5.</w:t>
      </w:r>
      <w:r w:rsidRPr="00C80C1F">
        <w:rPr>
          <w:rStyle w:val="FootnoteReference"/>
        </w:rPr>
        <w:footnoteReference w:id="3"/>
      </w:r>
    </w:p>
    <w:p w:rsidR="004B6846" w:rsidRDefault="004B6846" w:rsidP="00CC0EB7">
      <w:pPr>
        <w:pStyle w:val="Heading20"/>
      </w:pPr>
      <w:r w:rsidRPr="00C80C1F">
        <w:t>Downturn in household consumption and dwelling investment</w:t>
      </w:r>
    </w:p>
    <w:p w:rsidR="004B6846" w:rsidRDefault="004B6846" w:rsidP="00684CDB">
      <w:pPr>
        <w:ind w:right="56"/>
      </w:pPr>
      <w:r>
        <w:t xml:space="preserve">The household sector has been an important engine of growth for the Victorian economy, with both household consumption and dwelling investment growing strongly in recent years. However, there are signs of vulnerability. The residential property market is moderating, with weak to negative price growth and slowing transaction volumes. The housing construction cycle is maturing and growth in building approvals has declined, while the increase in household leverage has left some households vulnerable </w:t>
      </w:r>
      <w:r w:rsidRPr="00720224">
        <w:t>to housing and mortgage stress should their circumstances change or borrowing costs rise</w:t>
      </w:r>
      <w:r>
        <w:t xml:space="preserve"> significantly</w:t>
      </w:r>
      <w:r w:rsidRPr="00720224">
        <w:t>.</w:t>
      </w:r>
      <w:r>
        <w:t xml:space="preserve"> This could have broader implications for consumer spending, housing construction activity, the labour market and overall economic growth prospects.</w:t>
      </w:r>
    </w:p>
    <w:p w:rsidR="004B6846" w:rsidRDefault="004B6846" w:rsidP="00CC0EB7">
      <w:r>
        <w:t>Shocks to the household sector could arise through a more rapid rise in borrowing costs for mortgage holders, tighter lending standards or other prudential measures. Alternatively, a broader softening of economic conditions could cause households to reduce their appetite to take on debt, increase their rate of saving and shrink spending on discretionary items. Households may also reappraise expectations about future asset price growth, meaning they require a higher rate of return to invest in property and other assets.</w:t>
      </w:r>
    </w:p>
    <w:p w:rsidR="004B6846" w:rsidRDefault="004B6846" w:rsidP="00CC0EB7">
      <w:r>
        <w:lastRenderedPageBreak/>
        <w:t xml:space="preserve">To model this scenario in VURM, the shock has been applied to raise the national household saving rate and the threshold rate of return required by households to purchase newly constructed property. </w:t>
      </w:r>
      <w:r w:rsidRPr="00051E87">
        <w:t xml:space="preserve">A national shock has been applied since the triggers for this type of downturn would </w:t>
      </w:r>
      <w:r>
        <w:t xml:space="preserve">likely </w:t>
      </w:r>
      <w:r w:rsidRPr="00051E87">
        <w:t>apply to all states and territories, rather than Victoria in isolation.</w:t>
      </w:r>
      <w:r>
        <w:t xml:space="preserve"> The weakening in national household consumption and dwelling investment has been calibrated as a five percentage point fall in national dwelling investment growth</w:t>
      </w:r>
      <w:r>
        <w:rPr>
          <w:rStyle w:val="FootnoteReference"/>
        </w:rPr>
        <w:footnoteReference w:id="4"/>
      </w:r>
      <w:r>
        <w:t xml:space="preserve"> and a one percentage point decrease in national household consumption growth in the budget year.</w:t>
      </w:r>
      <w:r>
        <w:rPr>
          <w:rStyle w:val="FootnoteReference"/>
        </w:rPr>
        <w:footnoteReference w:id="5"/>
      </w:r>
      <w:r>
        <w:t xml:space="preserve"> Chart D.1 illustrates how Victorian household consumption and dwelling investment evolve under the base case and the scenario.</w:t>
      </w:r>
    </w:p>
    <w:p w:rsidR="004B6846" w:rsidRPr="00C664F9" w:rsidRDefault="004B6846" w:rsidP="00CC0EB7">
      <w:pPr>
        <w:pStyle w:val="TableHeading"/>
      </w:pPr>
      <w:r>
        <w:t>Chart D.</w:t>
      </w:r>
      <w:r w:rsidRPr="004103B7">
        <w:t>1:</w:t>
      </w:r>
      <w:r w:rsidRPr="004103B7">
        <w:tab/>
      </w:r>
      <w:r>
        <w:t>Household consumption and dwelling investment under the base case and scenario</w:t>
      </w:r>
    </w:p>
    <w:p w:rsidR="004B6846" w:rsidRPr="001062A3" w:rsidRDefault="004B6846" w:rsidP="00CC0EB7">
      <w:r w:rsidRPr="005E05C2">
        <w:rPr>
          <w:noProof/>
        </w:rPr>
        <w:drawing>
          <wp:inline distT="0" distB="0" distL="0" distR="0">
            <wp:extent cx="4896485" cy="298188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96485" cy="2981883"/>
                    </a:xfrm>
                    <a:prstGeom prst="rect">
                      <a:avLst/>
                    </a:prstGeom>
                    <a:noFill/>
                    <a:ln>
                      <a:noFill/>
                    </a:ln>
                  </pic:spPr>
                </pic:pic>
              </a:graphicData>
            </a:graphic>
          </wp:inline>
        </w:drawing>
      </w:r>
    </w:p>
    <w:p w:rsidR="004B6846" w:rsidRDefault="004B6846" w:rsidP="00CC0EB7">
      <w:pPr>
        <w:pStyle w:val="Source"/>
      </w:pPr>
      <w:r>
        <w:t>Sources: Australian Bureau of Statistics, Centre of Policy Studies, Victoria University, and Department of Treasury and Finance</w:t>
      </w:r>
    </w:p>
    <w:p w:rsidR="004B6846" w:rsidRPr="00EF2461" w:rsidRDefault="004B6846" w:rsidP="00CC0EB7">
      <w:pPr>
        <w:pStyle w:val="Note"/>
      </w:pPr>
    </w:p>
    <w:p w:rsidR="004B6846" w:rsidRPr="00843B9A" w:rsidRDefault="004B6846" w:rsidP="00CC0EB7">
      <w:r>
        <w:lastRenderedPageBreak/>
        <w:t>Table D.</w:t>
      </w:r>
      <w:r w:rsidRPr="007008E0">
        <w:t xml:space="preserve">1 summarises the economic effects of this downside scenario on the Victorian economy. Real gross state product (GSP) is around </w:t>
      </w:r>
      <w:r>
        <w:t>three</w:t>
      </w:r>
      <w:r>
        <w:noBreakHyphen/>
        <w:t>tenths</w:t>
      </w:r>
      <w:r w:rsidRPr="007008E0">
        <w:t xml:space="preserve"> of a percentage point lower under the scenario in the budget year, with the falls in household consumption and dwelling investment partly offset by a boost to Victoria’s trade balance as a result of a depreciation in the Australian dollar. The weaker currency also raises tradable goods and services prices, adding to higher consumer price index (CPI) in 2018-19 and 2019-20. Employment falls in line with weaker conditions in the construction, accommodation and food services and retail trade industries (Chart </w:t>
      </w:r>
      <w:r>
        <w:t>D.</w:t>
      </w:r>
      <w:r w:rsidRPr="007008E0">
        <w:t>2). Subdued demand conditions reduce growth in wages, which lowers production costs and the CPI in 2020-21 and 2021-22 through second-round effects. Consequent reductions in household incomes and asset returns also weigh on growth in real GSP, acting to depress household spending further.</w:t>
      </w:r>
      <w:r>
        <w:t xml:space="preserve"> </w:t>
      </w:r>
    </w:p>
    <w:p w:rsidR="004B6846" w:rsidRPr="00946B06" w:rsidRDefault="004B6846" w:rsidP="00CC0EB7">
      <w:pPr>
        <w:pStyle w:val="TableHeading"/>
      </w:pPr>
      <w:r>
        <w:t>Table D.</w:t>
      </w:r>
      <w:r w:rsidRPr="00212986">
        <w:t>1:</w:t>
      </w:r>
      <w:r w:rsidRPr="00212986">
        <w:tab/>
        <w:t xml:space="preserve">The effect of a </w:t>
      </w:r>
      <w:r>
        <w:t xml:space="preserve">downturn in household consumption and </w:t>
      </w:r>
      <w:r>
        <w:br/>
        <w:t>dwelling investment</w:t>
      </w:r>
      <w:r w:rsidRPr="00212986">
        <w:t xml:space="preserve"> on major economic parameters</w:t>
      </w:r>
      <w:r w:rsidRPr="00212986">
        <w:rPr>
          <w:vertAlign w:val="superscript"/>
        </w:rPr>
        <w:t>(a)</w:t>
      </w:r>
      <w:r>
        <w:rPr>
          <w:vertAlign w:val="superscript"/>
        </w:rPr>
        <w:t xml:space="preserve"> </w:t>
      </w:r>
      <w:r>
        <w:rPr>
          <w:vertAlign w:val="superscript"/>
        </w:rPr>
        <w:tab/>
      </w:r>
      <w:r w:rsidRPr="00F510F4">
        <w:t>(per cent</w:t>
      </w:r>
      <w:r>
        <w:t>)</w:t>
      </w:r>
    </w:p>
    <w:tbl>
      <w:tblPr>
        <w:tblStyle w:val="DTFTable"/>
        <w:tblW w:w="7765" w:type="dxa"/>
        <w:tblLayout w:type="fixed"/>
        <w:tblLook w:val="06A0" w:firstRow="1" w:lastRow="0" w:firstColumn="1" w:lastColumn="0" w:noHBand="1" w:noVBand="1"/>
      </w:tblPr>
      <w:tblGrid>
        <w:gridCol w:w="4365"/>
        <w:gridCol w:w="850"/>
        <w:gridCol w:w="850"/>
        <w:gridCol w:w="850"/>
        <w:gridCol w:w="850"/>
      </w:tblGrid>
      <w:tr w:rsidR="00CC0EB7" w:rsidRPr="00FB51BA"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4365" w:type="dxa"/>
          </w:tcPr>
          <w:p w:rsidR="00CC0EB7" w:rsidRPr="00FB51BA" w:rsidRDefault="00CC0EB7" w:rsidP="00CC0EB7">
            <w:pPr>
              <w:keepLines w:val="0"/>
              <w:autoSpaceDE w:val="0"/>
              <w:autoSpaceDN w:val="0"/>
              <w:adjustRightInd w:val="0"/>
              <w:rPr>
                <w:rFonts w:eastAsiaTheme="minorEastAsia" w:cs="Calibri"/>
                <w:iCs/>
                <w:color w:val="000000"/>
                <w:szCs w:val="17"/>
                <w:lang w:eastAsia="en-AU"/>
              </w:rPr>
            </w:pPr>
            <w:r w:rsidRPr="00FB51BA">
              <w:rPr>
                <w:rFonts w:eastAsiaTheme="minorEastAsia" w:cs="Calibri"/>
                <w:iCs/>
                <w:color w:val="000000"/>
                <w:szCs w:val="17"/>
                <w:lang w:eastAsia="en-AU"/>
              </w:rPr>
              <w:t xml:space="preserve">  </w:t>
            </w:r>
          </w:p>
        </w:tc>
        <w:tc>
          <w:tcPr>
            <w:tcW w:w="850" w:type="dxa"/>
          </w:tcPr>
          <w:p w:rsidR="00CC0EB7" w:rsidRPr="00FB51BA"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FB51BA">
              <w:rPr>
                <w:rFonts w:eastAsiaTheme="minorEastAsia" w:cs="Calibri"/>
                <w:iCs/>
                <w:color w:val="FFFFFF"/>
                <w:szCs w:val="17"/>
                <w:lang w:eastAsia="en-AU"/>
              </w:rPr>
              <w:t>2018-19</w:t>
            </w:r>
            <w:r>
              <w:rPr>
                <w:rFonts w:eastAsiaTheme="minorEastAsia" w:cs="Calibri"/>
                <w:iCs/>
                <w:color w:val="FFFFFF"/>
                <w:szCs w:val="17"/>
                <w:lang w:eastAsia="en-AU"/>
              </w:rPr>
              <w:br/>
            </w:r>
            <w:r w:rsidRPr="00FB51BA">
              <w:rPr>
                <w:rFonts w:eastAsiaTheme="minorEastAsia" w:cs="Calibri"/>
                <w:iCs/>
                <w:color w:val="FFFFFF"/>
                <w:szCs w:val="17"/>
                <w:lang w:eastAsia="en-AU"/>
              </w:rPr>
              <w:t>estimate</w:t>
            </w:r>
          </w:p>
        </w:tc>
        <w:tc>
          <w:tcPr>
            <w:tcW w:w="850" w:type="dxa"/>
          </w:tcPr>
          <w:p w:rsidR="00CC0EB7" w:rsidRPr="00FB51BA"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FB51BA">
              <w:rPr>
                <w:rFonts w:eastAsiaTheme="minorEastAsia" w:cs="Calibri"/>
                <w:iCs/>
                <w:color w:val="FFFFFF"/>
                <w:szCs w:val="17"/>
                <w:lang w:eastAsia="en-AU"/>
              </w:rPr>
              <w:t>2019-20</w:t>
            </w:r>
            <w:r>
              <w:rPr>
                <w:rFonts w:eastAsiaTheme="minorEastAsia" w:cs="Calibri"/>
                <w:iCs/>
                <w:color w:val="FFFFFF"/>
                <w:szCs w:val="17"/>
                <w:lang w:eastAsia="en-AU"/>
              </w:rPr>
              <w:br/>
            </w:r>
            <w:r w:rsidRPr="00FB51BA">
              <w:rPr>
                <w:rFonts w:eastAsiaTheme="minorEastAsia" w:cs="Calibri"/>
                <w:iCs/>
                <w:color w:val="FFFFFF"/>
                <w:szCs w:val="17"/>
                <w:lang w:eastAsia="en-AU"/>
              </w:rPr>
              <w:t>estimate</w:t>
            </w:r>
          </w:p>
        </w:tc>
        <w:tc>
          <w:tcPr>
            <w:tcW w:w="850" w:type="dxa"/>
          </w:tcPr>
          <w:p w:rsidR="00CC0EB7" w:rsidRPr="00FB51BA"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FB51BA">
              <w:rPr>
                <w:rFonts w:eastAsiaTheme="minorEastAsia" w:cs="Calibri"/>
                <w:iCs/>
                <w:color w:val="FFFFFF"/>
                <w:szCs w:val="17"/>
                <w:lang w:eastAsia="en-AU"/>
              </w:rPr>
              <w:t>2020-21</w:t>
            </w:r>
            <w:r>
              <w:rPr>
                <w:rFonts w:eastAsiaTheme="minorEastAsia" w:cs="Calibri"/>
                <w:iCs/>
                <w:color w:val="FFFFFF"/>
                <w:szCs w:val="17"/>
                <w:lang w:eastAsia="en-AU"/>
              </w:rPr>
              <w:br/>
            </w:r>
            <w:r w:rsidRPr="00FB51BA">
              <w:rPr>
                <w:rFonts w:eastAsiaTheme="minorEastAsia" w:cs="Calibri"/>
                <w:iCs/>
                <w:color w:val="FFFFFF"/>
                <w:szCs w:val="17"/>
                <w:lang w:eastAsia="en-AU"/>
              </w:rPr>
              <w:t>estimate</w:t>
            </w:r>
          </w:p>
        </w:tc>
        <w:tc>
          <w:tcPr>
            <w:tcW w:w="850" w:type="dxa"/>
          </w:tcPr>
          <w:p w:rsidR="00CC0EB7" w:rsidRPr="00FB51BA"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FB51BA">
              <w:rPr>
                <w:rFonts w:eastAsiaTheme="minorEastAsia" w:cs="Calibri"/>
                <w:iCs/>
                <w:color w:val="FFFFFF"/>
                <w:szCs w:val="17"/>
                <w:lang w:eastAsia="en-AU"/>
              </w:rPr>
              <w:t>2021-22</w:t>
            </w:r>
            <w:r>
              <w:rPr>
                <w:rFonts w:eastAsiaTheme="minorEastAsia" w:cs="Calibri"/>
                <w:iCs/>
                <w:color w:val="FFFFFF"/>
                <w:szCs w:val="17"/>
                <w:lang w:eastAsia="en-AU"/>
              </w:rPr>
              <w:br/>
            </w:r>
            <w:r w:rsidRPr="00FB51BA">
              <w:rPr>
                <w:rFonts w:eastAsiaTheme="minorEastAsia" w:cs="Calibri"/>
                <w:iCs/>
                <w:color w:val="FFFFFF"/>
                <w:szCs w:val="17"/>
                <w:lang w:eastAsia="en-AU"/>
              </w:rPr>
              <w:t>estimate</w:t>
            </w:r>
          </w:p>
        </w:tc>
      </w:tr>
      <w:tr w:rsidR="004B6846" w:rsidRPr="00FB51BA" w:rsidTr="00CC0EB7">
        <w:tc>
          <w:tcPr>
            <w:cnfStyle w:val="001000000000" w:firstRow="0" w:lastRow="0" w:firstColumn="1" w:lastColumn="0" w:oddVBand="0" w:evenVBand="0" w:oddHBand="0" w:evenHBand="0" w:firstRowFirstColumn="0" w:firstRowLastColumn="0" w:lastRowFirstColumn="0" w:lastRowLastColumn="0"/>
            <w:tcW w:w="4365" w:type="dxa"/>
          </w:tcPr>
          <w:p w:rsidR="004B6846" w:rsidRPr="00FB51BA" w:rsidRDefault="004B6846" w:rsidP="00CC0EB7">
            <w:pPr>
              <w:keepLines w:val="0"/>
              <w:autoSpaceDE w:val="0"/>
              <w:autoSpaceDN w:val="0"/>
              <w:adjustRightInd w:val="0"/>
              <w:rPr>
                <w:rFonts w:eastAsiaTheme="minorEastAsia" w:cs="Calibri"/>
                <w:color w:val="000000"/>
                <w:szCs w:val="17"/>
                <w:lang w:eastAsia="en-AU"/>
              </w:rPr>
            </w:pPr>
            <w:r w:rsidRPr="00FB51BA">
              <w:rPr>
                <w:rFonts w:eastAsiaTheme="minorEastAsia" w:cs="Calibri"/>
                <w:color w:val="000000"/>
                <w:szCs w:val="17"/>
                <w:lang w:eastAsia="en-AU"/>
              </w:rPr>
              <w:t>Real GSP</w:t>
            </w:r>
          </w:p>
        </w:tc>
        <w:tc>
          <w:tcPr>
            <w:tcW w:w="850" w:type="dxa"/>
          </w:tcPr>
          <w:p w:rsidR="004B6846" w:rsidRPr="0002718C" w:rsidRDefault="004B6846" w:rsidP="00CC0EB7">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(0.29)</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(0.28)</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(0.29)</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(0.29)</w:t>
            </w:r>
          </w:p>
        </w:tc>
      </w:tr>
      <w:tr w:rsidR="004B6846" w:rsidRPr="00FB51BA" w:rsidTr="00CC0EB7">
        <w:tc>
          <w:tcPr>
            <w:cnfStyle w:val="001000000000" w:firstRow="0" w:lastRow="0" w:firstColumn="1" w:lastColumn="0" w:oddVBand="0" w:evenVBand="0" w:oddHBand="0" w:evenHBand="0" w:firstRowFirstColumn="0" w:firstRowLastColumn="0" w:lastRowFirstColumn="0" w:lastRowLastColumn="0"/>
            <w:tcW w:w="4365" w:type="dxa"/>
          </w:tcPr>
          <w:p w:rsidR="004B6846" w:rsidRPr="00FB51BA" w:rsidRDefault="004B6846" w:rsidP="00CC0EB7">
            <w:pPr>
              <w:keepLines w:val="0"/>
              <w:autoSpaceDE w:val="0"/>
              <w:autoSpaceDN w:val="0"/>
              <w:adjustRightInd w:val="0"/>
              <w:rPr>
                <w:rFonts w:eastAsiaTheme="minorEastAsia" w:cs="Calibri"/>
                <w:color w:val="000000"/>
                <w:szCs w:val="17"/>
                <w:lang w:eastAsia="en-AU"/>
              </w:rPr>
            </w:pPr>
            <w:r w:rsidRPr="00FB51BA">
              <w:rPr>
                <w:rFonts w:eastAsiaTheme="minorEastAsia" w:cs="Calibri"/>
                <w:color w:val="000000"/>
                <w:szCs w:val="17"/>
                <w:lang w:eastAsia="en-AU"/>
              </w:rPr>
              <w:t>Employment</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(0.33)</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(0.22)</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(0.15)</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(0.11)</w:t>
            </w:r>
          </w:p>
        </w:tc>
      </w:tr>
      <w:tr w:rsidR="004B6846" w:rsidRPr="00FB51BA" w:rsidTr="00CC0EB7">
        <w:tc>
          <w:tcPr>
            <w:cnfStyle w:val="001000000000" w:firstRow="0" w:lastRow="0" w:firstColumn="1" w:lastColumn="0" w:oddVBand="0" w:evenVBand="0" w:oddHBand="0" w:evenHBand="0" w:firstRowFirstColumn="0" w:firstRowLastColumn="0" w:lastRowFirstColumn="0" w:lastRowLastColumn="0"/>
            <w:tcW w:w="4365" w:type="dxa"/>
          </w:tcPr>
          <w:p w:rsidR="004B6846" w:rsidRPr="00FB51BA" w:rsidRDefault="004B6846" w:rsidP="00CC0EB7">
            <w:pPr>
              <w:keepLines w:val="0"/>
              <w:autoSpaceDE w:val="0"/>
              <w:autoSpaceDN w:val="0"/>
              <w:adjustRightInd w:val="0"/>
              <w:rPr>
                <w:rFonts w:eastAsiaTheme="minorEastAsia" w:cs="Calibri"/>
                <w:color w:val="000000"/>
                <w:szCs w:val="17"/>
                <w:lang w:eastAsia="en-AU"/>
              </w:rPr>
            </w:pPr>
            <w:r w:rsidRPr="00FB51BA">
              <w:rPr>
                <w:rFonts w:eastAsiaTheme="minorEastAsia" w:cs="Calibri"/>
                <w:color w:val="000000"/>
                <w:szCs w:val="17"/>
                <w:lang w:eastAsia="en-AU"/>
              </w:rPr>
              <w:t>Consumer price index</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0.24</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0.10</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(0.02)</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(0.11)</w:t>
            </w:r>
          </w:p>
        </w:tc>
      </w:tr>
      <w:tr w:rsidR="004B6846" w:rsidRPr="00FB51BA" w:rsidTr="00CC0EB7">
        <w:tc>
          <w:tcPr>
            <w:cnfStyle w:val="001000000000" w:firstRow="0" w:lastRow="0" w:firstColumn="1" w:lastColumn="0" w:oddVBand="0" w:evenVBand="0" w:oddHBand="0" w:evenHBand="0" w:firstRowFirstColumn="0" w:firstRowLastColumn="0" w:lastRowFirstColumn="0" w:lastRowLastColumn="0"/>
            <w:tcW w:w="4365" w:type="dxa"/>
          </w:tcPr>
          <w:p w:rsidR="004B6846" w:rsidRPr="007E6D89" w:rsidRDefault="004B6846" w:rsidP="00CC0EB7">
            <w:pPr>
              <w:keepLines w:val="0"/>
              <w:autoSpaceDE w:val="0"/>
              <w:autoSpaceDN w:val="0"/>
              <w:adjustRightInd w:val="0"/>
              <w:rPr>
                <w:rFonts w:eastAsiaTheme="minorEastAsia" w:cs="Calibri"/>
                <w:b/>
                <w:color w:val="000000"/>
                <w:szCs w:val="17"/>
                <w:lang w:eastAsia="en-AU"/>
              </w:rPr>
            </w:pPr>
            <w:r w:rsidRPr="007E6D89">
              <w:rPr>
                <w:rFonts w:eastAsiaTheme="minorEastAsia" w:cs="Calibri"/>
                <w:color w:val="000000"/>
                <w:szCs w:val="17"/>
                <w:lang w:eastAsia="en-AU"/>
              </w:rPr>
              <w:t>Wage price index</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17"/>
              </w:rPr>
            </w:pPr>
            <w:r w:rsidRPr="0002718C">
              <w:rPr>
                <w:rFonts w:ascii="Calibri" w:hAnsi="Calibri" w:cs="Calibri"/>
                <w:color w:val="000000"/>
                <w:szCs w:val="17"/>
              </w:rPr>
              <w:t>(0.06)</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17"/>
              </w:rPr>
            </w:pPr>
            <w:r w:rsidRPr="0002718C">
              <w:rPr>
                <w:rFonts w:ascii="Calibri" w:hAnsi="Calibri" w:cs="Calibri"/>
                <w:color w:val="000000"/>
                <w:szCs w:val="17"/>
              </w:rPr>
              <w:t>(0.40)</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17"/>
              </w:rPr>
            </w:pPr>
            <w:r w:rsidRPr="0002718C">
              <w:rPr>
                <w:rFonts w:ascii="Calibri" w:hAnsi="Calibri" w:cs="Calibri"/>
                <w:color w:val="000000"/>
                <w:szCs w:val="17"/>
              </w:rPr>
              <w:t>(0.65)</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17"/>
              </w:rPr>
            </w:pPr>
            <w:r w:rsidRPr="0002718C">
              <w:rPr>
                <w:rFonts w:ascii="Calibri" w:hAnsi="Calibri" w:cs="Calibri"/>
                <w:color w:val="000000"/>
                <w:szCs w:val="17"/>
              </w:rPr>
              <w:t>(0.84)</w:t>
            </w:r>
          </w:p>
        </w:tc>
      </w:tr>
    </w:tbl>
    <w:p w:rsidR="004B6846" w:rsidRDefault="004B6846" w:rsidP="00CC0EB7">
      <w:pPr>
        <w:pStyle w:val="Source"/>
      </w:pPr>
      <w:r w:rsidRPr="004103B7">
        <w:t>Source: Centre of Poli</w:t>
      </w:r>
      <w:r>
        <w:t>cy Studies, Victoria University</w:t>
      </w:r>
    </w:p>
    <w:p w:rsidR="004B6846" w:rsidRDefault="004B6846" w:rsidP="00CC0EB7">
      <w:pPr>
        <w:pStyle w:val="Note"/>
      </w:pPr>
      <w:r w:rsidRPr="004103B7">
        <w:t xml:space="preserve">Note: </w:t>
      </w:r>
    </w:p>
    <w:p w:rsidR="004B6846" w:rsidRPr="005F6283" w:rsidRDefault="004B6846" w:rsidP="00CC0EB7">
      <w:pPr>
        <w:pStyle w:val="Note"/>
      </w:pPr>
      <w:r w:rsidRPr="005F6283">
        <w:t>(a)</w:t>
      </w:r>
      <w:r w:rsidRPr="005F6283">
        <w:tab/>
        <w:t>Figures reported are the change in the level of each parameter relative to the baseline of no change in the economic outlook, for each year of the budget.</w:t>
      </w:r>
    </w:p>
    <w:p w:rsidR="004B6846" w:rsidRDefault="004B6846" w:rsidP="00CC0EB7">
      <w:pPr>
        <w:pStyle w:val="Note"/>
      </w:pPr>
    </w:p>
    <w:p w:rsidR="004B6846" w:rsidRDefault="004B6846" w:rsidP="00CC0EB7">
      <w:pPr>
        <w:pStyle w:val="TableHeading"/>
      </w:pPr>
      <w:r>
        <w:t>Chart D.</w:t>
      </w:r>
      <w:r w:rsidRPr="00212986">
        <w:t>2:</w:t>
      </w:r>
      <w:r w:rsidRPr="00212986">
        <w:tab/>
        <w:t xml:space="preserve">Weaker conditions in the </w:t>
      </w:r>
      <w:r>
        <w:t xml:space="preserve">Victorian </w:t>
      </w:r>
      <w:r w:rsidRPr="00212986">
        <w:t>construc</w:t>
      </w:r>
      <w:r>
        <w:t>tion and discretionary spending </w:t>
      </w:r>
      <w:r w:rsidRPr="00212986">
        <w:t>sectors</w:t>
      </w:r>
    </w:p>
    <w:p w:rsidR="004B6846" w:rsidRDefault="004B6846" w:rsidP="00CC0EB7">
      <w:r w:rsidRPr="00667A44">
        <w:rPr>
          <w:noProof/>
        </w:rPr>
        <w:drawing>
          <wp:inline distT="0" distB="0" distL="0" distR="0">
            <wp:extent cx="4896485" cy="29753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896485" cy="2975393"/>
                    </a:xfrm>
                    <a:prstGeom prst="rect">
                      <a:avLst/>
                    </a:prstGeom>
                    <a:noFill/>
                    <a:ln>
                      <a:noFill/>
                    </a:ln>
                  </pic:spPr>
                </pic:pic>
              </a:graphicData>
            </a:graphic>
          </wp:inline>
        </w:drawing>
      </w:r>
    </w:p>
    <w:p w:rsidR="004B6846" w:rsidRDefault="004B6846" w:rsidP="00CC0EB7">
      <w:pPr>
        <w:pStyle w:val="Source"/>
      </w:pPr>
      <w:r w:rsidRPr="004103B7">
        <w:t>Source: Centre of Policy Studies</w:t>
      </w:r>
      <w:r>
        <w:t>, Victoria University</w:t>
      </w:r>
    </w:p>
    <w:p w:rsidR="004B6846" w:rsidRPr="00EF2461" w:rsidRDefault="004B6846" w:rsidP="00CC0EB7">
      <w:pPr>
        <w:pStyle w:val="Note"/>
      </w:pPr>
    </w:p>
    <w:p w:rsidR="004B6846" w:rsidRPr="0020183A" w:rsidRDefault="004B6846" w:rsidP="00CC0EB7">
      <w:r w:rsidRPr="004103B7">
        <w:lastRenderedPageBreak/>
        <w:t xml:space="preserve">Table </w:t>
      </w:r>
      <w:r>
        <w:t>D.</w:t>
      </w:r>
      <w:r w:rsidRPr="004103B7">
        <w:t xml:space="preserve">2 summarises the fiscal impacts of </w:t>
      </w:r>
      <w:r>
        <w:t>this scenario</w:t>
      </w:r>
      <w:r w:rsidRPr="004103B7">
        <w:t>. With slower growth in real GSP, employment</w:t>
      </w:r>
      <w:r>
        <w:t xml:space="preserve"> and</w:t>
      </w:r>
      <w:r w:rsidRPr="004103B7">
        <w:t xml:space="preserve"> wages</w:t>
      </w:r>
      <w:r>
        <w:t xml:space="preserve">, </w:t>
      </w:r>
      <w:r w:rsidRPr="004103B7">
        <w:t xml:space="preserve">income from transactions is lower over the budget and forward estimates. This </w:t>
      </w:r>
      <w:r>
        <w:t xml:space="preserve">is </w:t>
      </w:r>
      <w:r w:rsidRPr="004103B7">
        <w:t>reflect</w:t>
      </w:r>
      <w:r>
        <w:t>ed in</w:t>
      </w:r>
      <w:r w:rsidRPr="004103B7">
        <w:t xml:space="preserve"> lower payroll tax</w:t>
      </w:r>
      <w:r>
        <w:t xml:space="preserve"> </w:t>
      </w:r>
      <w:r w:rsidRPr="004103B7">
        <w:t xml:space="preserve">and </w:t>
      </w:r>
      <w:r>
        <w:t xml:space="preserve">reduced </w:t>
      </w:r>
      <w:r w:rsidRPr="004103B7">
        <w:t>GST grants revenue</w:t>
      </w:r>
      <w:r>
        <w:t xml:space="preserve"> as a result of a smaller national GST pool relative to the base case</w:t>
      </w:r>
      <w:r w:rsidRPr="004103B7">
        <w:t>.</w:t>
      </w:r>
      <w:r>
        <w:rPr>
          <w:rStyle w:val="FootnoteReference"/>
        </w:rPr>
        <w:footnoteReference w:id="6"/>
      </w:r>
      <w:r w:rsidRPr="004103B7">
        <w:t xml:space="preserve"> Land transfer duty</w:t>
      </w:r>
      <w:r>
        <w:t xml:space="preserve"> collections are</w:t>
      </w:r>
      <w:r w:rsidRPr="004103B7">
        <w:t xml:space="preserve"> also lower, reflecting softer property prices. </w:t>
      </w:r>
      <w:r w:rsidRPr="0099541A">
        <w:t xml:space="preserve">Growth in expenses </w:t>
      </w:r>
      <w:r>
        <w:t xml:space="preserve">from transactions </w:t>
      </w:r>
      <w:r w:rsidRPr="0099541A">
        <w:t xml:space="preserve">is marginally slower in the scenario relative to the base case, reflecting </w:t>
      </w:r>
      <w:r>
        <w:t xml:space="preserve">lower public sector employment and </w:t>
      </w:r>
      <w:r w:rsidRPr="0099541A">
        <w:t>a gradual pass-through of weaker economy</w:t>
      </w:r>
      <w:r w:rsidRPr="0099541A">
        <w:noBreakHyphen/>
        <w:t>wide wage increases to public sector wage agreements.</w:t>
      </w:r>
      <w:r>
        <w:t xml:space="preserve"> The impact on public sector employee expenses reflects the model’s assumed relationship between private and public sector employment and wages. Public sector employment is assumed to be a fixed share of overall employment, while public sector wage growth is assumed to respond to private sector wage growth. Overall</w:t>
      </w:r>
      <w:r w:rsidRPr="00380E34">
        <w:t>, the impact on employee expenses is insufficient to offset the fall</w:t>
      </w:r>
      <w:r w:rsidRPr="004103B7">
        <w:t xml:space="preserve"> in general government sector revenue</w:t>
      </w:r>
      <w:r>
        <w:t xml:space="preserve"> and is reflected</w:t>
      </w:r>
      <w:r w:rsidRPr="004103B7">
        <w:t xml:space="preserve"> in a decline in th</w:t>
      </w:r>
      <w:r>
        <w:t>e net result and an increase in </w:t>
      </w:r>
      <w:r w:rsidRPr="004103B7">
        <w:t>net debt</w:t>
      </w:r>
      <w:r>
        <w:t xml:space="preserve"> </w:t>
      </w:r>
      <w:r w:rsidRPr="004103B7">
        <w:t>over the budget and forward estimates</w:t>
      </w:r>
      <w:r w:rsidRPr="0020183A">
        <w:t>.</w:t>
      </w:r>
    </w:p>
    <w:p w:rsidR="004B6846" w:rsidRPr="003B6233" w:rsidRDefault="004B6846" w:rsidP="00CC0EB7">
      <w:pPr>
        <w:pStyle w:val="TableHeading"/>
      </w:pPr>
      <w:r>
        <w:t>Table D.</w:t>
      </w:r>
      <w:r w:rsidRPr="00212986">
        <w:t>2:</w:t>
      </w:r>
      <w:r w:rsidRPr="00212986">
        <w:tab/>
        <w:t xml:space="preserve">Projected fiscal impact of a </w:t>
      </w:r>
      <w:r>
        <w:t xml:space="preserve">downturn in household consumption </w:t>
      </w:r>
      <w:r>
        <w:br/>
        <w:t xml:space="preserve">and dwelling investment </w:t>
      </w:r>
      <w:r>
        <w:tab/>
      </w:r>
      <w:r w:rsidRPr="00212986">
        <w:t>($</w:t>
      </w:r>
      <w:r>
        <w:t> million)</w:t>
      </w:r>
    </w:p>
    <w:tbl>
      <w:tblPr>
        <w:tblStyle w:val="DTFTable"/>
        <w:tblW w:w="7767" w:type="dxa"/>
        <w:tblLayout w:type="fixed"/>
        <w:tblLook w:val="06E0" w:firstRow="1" w:lastRow="1" w:firstColumn="1" w:lastColumn="0" w:noHBand="1" w:noVBand="1"/>
      </w:tblPr>
      <w:tblGrid>
        <w:gridCol w:w="4367"/>
        <w:gridCol w:w="850"/>
        <w:gridCol w:w="850"/>
        <w:gridCol w:w="850"/>
        <w:gridCol w:w="850"/>
      </w:tblGrid>
      <w:tr w:rsidR="00CC0EB7" w:rsidRPr="003B6233"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4367" w:type="dxa"/>
          </w:tcPr>
          <w:p w:rsidR="00CC0EB7" w:rsidRPr="003B6233" w:rsidRDefault="00CC0EB7" w:rsidP="00CC0EB7">
            <w:pPr>
              <w:keepLines w:val="0"/>
              <w:autoSpaceDE w:val="0"/>
              <w:autoSpaceDN w:val="0"/>
              <w:adjustRightInd w:val="0"/>
              <w:rPr>
                <w:rFonts w:eastAsiaTheme="minorEastAsia" w:cs="Calibri"/>
                <w:iCs/>
                <w:color w:val="000000"/>
                <w:szCs w:val="17"/>
                <w:lang w:eastAsia="en-AU"/>
              </w:rPr>
            </w:pPr>
            <w:bookmarkStart w:id="101" w:name="_Hlk531179968"/>
            <w:r w:rsidRPr="003B6233">
              <w:rPr>
                <w:rFonts w:eastAsiaTheme="minorEastAsia" w:cs="Calibri"/>
                <w:iCs/>
                <w:color w:val="000000"/>
                <w:szCs w:val="17"/>
                <w:lang w:eastAsia="en-AU"/>
              </w:rPr>
              <w:t xml:space="preserve">  </w:t>
            </w:r>
          </w:p>
        </w:tc>
        <w:tc>
          <w:tcPr>
            <w:tcW w:w="850" w:type="dxa"/>
          </w:tcPr>
          <w:p w:rsidR="00CC0EB7" w:rsidRPr="003B623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3B6233">
              <w:rPr>
                <w:rFonts w:eastAsiaTheme="minorEastAsia" w:cs="Calibri"/>
                <w:iCs/>
                <w:color w:val="FFFFFF"/>
                <w:szCs w:val="17"/>
                <w:lang w:eastAsia="en-AU"/>
              </w:rPr>
              <w:t>2018-19</w:t>
            </w:r>
            <w:r>
              <w:rPr>
                <w:rFonts w:eastAsiaTheme="minorEastAsia" w:cs="Calibri"/>
                <w:iCs/>
                <w:color w:val="FFFFFF"/>
                <w:szCs w:val="17"/>
                <w:lang w:eastAsia="en-AU"/>
              </w:rPr>
              <w:br/>
            </w:r>
            <w:r w:rsidRPr="003B6233">
              <w:rPr>
                <w:rFonts w:eastAsiaTheme="minorEastAsia" w:cs="Calibri"/>
                <w:iCs/>
                <w:color w:val="FFFFFF"/>
                <w:szCs w:val="17"/>
                <w:lang w:eastAsia="en-AU"/>
              </w:rPr>
              <w:t>estimate</w:t>
            </w:r>
          </w:p>
        </w:tc>
        <w:tc>
          <w:tcPr>
            <w:tcW w:w="850" w:type="dxa"/>
          </w:tcPr>
          <w:p w:rsidR="00CC0EB7" w:rsidRPr="003B623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3B6233">
              <w:rPr>
                <w:rFonts w:eastAsiaTheme="minorEastAsia" w:cs="Calibri"/>
                <w:iCs/>
                <w:color w:val="FFFFFF"/>
                <w:szCs w:val="17"/>
                <w:lang w:eastAsia="en-AU"/>
              </w:rPr>
              <w:t>2019-20</w:t>
            </w:r>
            <w:r>
              <w:rPr>
                <w:rFonts w:eastAsiaTheme="minorEastAsia" w:cs="Calibri"/>
                <w:iCs/>
                <w:color w:val="FFFFFF"/>
                <w:szCs w:val="17"/>
                <w:lang w:eastAsia="en-AU"/>
              </w:rPr>
              <w:br/>
            </w:r>
            <w:r w:rsidRPr="003B6233">
              <w:rPr>
                <w:rFonts w:eastAsiaTheme="minorEastAsia" w:cs="Calibri"/>
                <w:iCs/>
                <w:color w:val="FFFFFF"/>
                <w:szCs w:val="17"/>
                <w:lang w:eastAsia="en-AU"/>
              </w:rPr>
              <w:t>estimate</w:t>
            </w:r>
          </w:p>
        </w:tc>
        <w:tc>
          <w:tcPr>
            <w:tcW w:w="850" w:type="dxa"/>
          </w:tcPr>
          <w:p w:rsidR="00CC0EB7" w:rsidRPr="003B623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3B6233">
              <w:rPr>
                <w:rFonts w:eastAsiaTheme="minorEastAsia" w:cs="Calibri"/>
                <w:iCs/>
                <w:color w:val="FFFFFF"/>
                <w:szCs w:val="17"/>
                <w:lang w:eastAsia="en-AU"/>
              </w:rPr>
              <w:t>2020-21</w:t>
            </w:r>
            <w:r>
              <w:rPr>
                <w:rFonts w:eastAsiaTheme="minorEastAsia" w:cs="Calibri"/>
                <w:iCs/>
                <w:color w:val="FFFFFF"/>
                <w:szCs w:val="17"/>
                <w:lang w:eastAsia="en-AU"/>
              </w:rPr>
              <w:br/>
            </w:r>
            <w:r w:rsidRPr="003B6233">
              <w:rPr>
                <w:rFonts w:eastAsiaTheme="minorEastAsia" w:cs="Calibri"/>
                <w:iCs/>
                <w:color w:val="FFFFFF"/>
                <w:szCs w:val="17"/>
                <w:lang w:eastAsia="en-AU"/>
              </w:rPr>
              <w:t xml:space="preserve"> estimate</w:t>
            </w:r>
          </w:p>
        </w:tc>
        <w:tc>
          <w:tcPr>
            <w:tcW w:w="850" w:type="dxa"/>
          </w:tcPr>
          <w:p w:rsidR="00CC0EB7" w:rsidRPr="003B623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3B6233">
              <w:rPr>
                <w:rFonts w:eastAsiaTheme="minorEastAsia" w:cs="Calibri"/>
                <w:iCs/>
                <w:color w:val="FFFFFF"/>
                <w:szCs w:val="17"/>
                <w:lang w:eastAsia="en-AU"/>
              </w:rPr>
              <w:t>2021-22</w:t>
            </w:r>
            <w:r>
              <w:rPr>
                <w:rFonts w:eastAsiaTheme="minorEastAsia" w:cs="Calibri"/>
                <w:iCs/>
                <w:color w:val="FFFFFF"/>
                <w:szCs w:val="17"/>
                <w:lang w:eastAsia="en-AU"/>
              </w:rPr>
              <w:br/>
            </w:r>
            <w:r w:rsidRPr="003B6233">
              <w:rPr>
                <w:rFonts w:eastAsiaTheme="minorEastAsia" w:cs="Calibri"/>
                <w:iCs/>
                <w:color w:val="FFFFFF"/>
                <w:szCs w:val="17"/>
                <w:lang w:eastAsia="en-AU"/>
              </w:rPr>
              <w:t>estimate</w:t>
            </w:r>
          </w:p>
        </w:tc>
      </w:tr>
      <w:tr w:rsidR="004B6846" w:rsidRPr="003B6233" w:rsidTr="00CC0EB7">
        <w:tc>
          <w:tcPr>
            <w:cnfStyle w:val="001000000000" w:firstRow="0" w:lastRow="0" w:firstColumn="1" w:lastColumn="0" w:oddVBand="0" w:evenVBand="0" w:oddHBand="0" w:evenHBand="0" w:firstRowFirstColumn="0" w:firstRowLastColumn="0" w:lastRowFirstColumn="0" w:lastRowLastColumn="0"/>
            <w:tcW w:w="4367" w:type="dxa"/>
          </w:tcPr>
          <w:p w:rsidR="004B6846" w:rsidRPr="003B6233" w:rsidRDefault="004B6846" w:rsidP="00CC0EB7">
            <w:pPr>
              <w:keepLines w:val="0"/>
              <w:autoSpaceDE w:val="0"/>
              <w:autoSpaceDN w:val="0"/>
              <w:adjustRightInd w:val="0"/>
              <w:rPr>
                <w:rFonts w:eastAsiaTheme="minorEastAsia" w:cs="Calibri"/>
                <w:color w:val="000000"/>
                <w:szCs w:val="17"/>
                <w:lang w:eastAsia="en-AU"/>
              </w:rPr>
            </w:pPr>
            <w:r w:rsidRPr="003B6233">
              <w:rPr>
                <w:rFonts w:eastAsiaTheme="minorEastAsia" w:cs="Calibri"/>
                <w:color w:val="000000"/>
                <w:szCs w:val="17"/>
                <w:lang w:eastAsia="en-AU"/>
              </w:rPr>
              <w:t>Income from transactions</w:t>
            </w:r>
          </w:p>
        </w:tc>
        <w:tc>
          <w:tcPr>
            <w:tcW w:w="850" w:type="dxa"/>
            <w:tcBorders>
              <w:top w:val="nil"/>
              <w:left w:val="nil"/>
              <w:bottom w:val="nil"/>
              <w:right w:val="nil"/>
            </w:tcBorders>
            <w:shd w:val="clear" w:color="000000" w:fill="FFFFFF"/>
            <w:vAlign w:val="bottom"/>
          </w:tcPr>
          <w:p w:rsidR="004B6846" w:rsidRPr="001972E2" w:rsidRDefault="004B6846" w:rsidP="00CC0EB7">
            <w:pPr>
              <w:keepLines w:val="0"/>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(294.0)</w:t>
            </w:r>
          </w:p>
        </w:tc>
        <w:tc>
          <w:tcPr>
            <w:tcW w:w="850" w:type="dxa"/>
            <w:tcBorders>
              <w:top w:val="nil"/>
              <w:left w:val="nil"/>
              <w:bottom w:val="nil"/>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(326.8)</w:t>
            </w:r>
          </w:p>
        </w:tc>
        <w:tc>
          <w:tcPr>
            <w:tcW w:w="850" w:type="dxa"/>
            <w:tcBorders>
              <w:top w:val="nil"/>
              <w:left w:val="nil"/>
              <w:bottom w:val="nil"/>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(351.2)</w:t>
            </w:r>
          </w:p>
        </w:tc>
        <w:tc>
          <w:tcPr>
            <w:tcW w:w="850" w:type="dxa"/>
            <w:tcBorders>
              <w:top w:val="nil"/>
              <w:left w:val="nil"/>
              <w:bottom w:val="nil"/>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(352.0)</w:t>
            </w:r>
          </w:p>
        </w:tc>
      </w:tr>
      <w:tr w:rsidR="004B6846" w:rsidRPr="003B6233" w:rsidTr="00532FB4">
        <w:tc>
          <w:tcPr>
            <w:cnfStyle w:val="001000000000" w:firstRow="0" w:lastRow="0" w:firstColumn="1" w:lastColumn="0" w:oddVBand="0" w:evenVBand="0" w:oddHBand="0" w:evenHBand="0" w:firstRowFirstColumn="0" w:firstRowLastColumn="0" w:lastRowFirstColumn="0" w:lastRowLastColumn="0"/>
            <w:tcW w:w="4367" w:type="dxa"/>
            <w:tcBorders>
              <w:bottom w:val="single" w:sz="6" w:space="0" w:color="auto"/>
            </w:tcBorders>
          </w:tcPr>
          <w:p w:rsidR="004B6846" w:rsidRPr="003B6233" w:rsidRDefault="004B6846" w:rsidP="00CC0EB7">
            <w:pPr>
              <w:keepLines w:val="0"/>
              <w:autoSpaceDE w:val="0"/>
              <w:autoSpaceDN w:val="0"/>
              <w:adjustRightInd w:val="0"/>
              <w:rPr>
                <w:rFonts w:eastAsiaTheme="minorEastAsia" w:cs="Calibri"/>
                <w:color w:val="000000"/>
                <w:szCs w:val="17"/>
                <w:lang w:eastAsia="en-AU"/>
              </w:rPr>
            </w:pPr>
            <w:r w:rsidRPr="003B6233">
              <w:rPr>
                <w:rFonts w:eastAsiaTheme="minorEastAsia" w:cs="Calibri"/>
                <w:color w:val="000000"/>
                <w:szCs w:val="17"/>
                <w:lang w:eastAsia="en-AU"/>
              </w:rPr>
              <w:t>Expenses from transactions</w:t>
            </w:r>
          </w:p>
        </w:tc>
        <w:tc>
          <w:tcPr>
            <w:tcW w:w="850" w:type="dxa"/>
            <w:tcBorders>
              <w:top w:val="nil"/>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(40.3)</w:t>
            </w:r>
          </w:p>
        </w:tc>
        <w:tc>
          <w:tcPr>
            <w:tcW w:w="850" w:type="dxa"/>
            <w:tcBorders>
              <w:top w:val="nil"/>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(63.8)</w:t>
            </w:r>
          </w:p>
        </w:tc>
        <w:tc>
          <w:tcPr>
            <w:tcW w:w="850" w:type="dxa"/>
            <w:tcBorders>
              <w:top w:val="nil"/>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(165.1)</w:t>
            </w:r>
          </w:p>
        </w:tc>
        <w:tc>
          <w:tcPr>
            <w:tcW w:w="850" w:type="dxa"/>
            <w:tcBorders>
              <w:top w:val="nil"/>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(246.2)</w:t>
            </w:r>
          </w:p>
        </w:tc>
      </w:tr>
      <w:tr w:rsidR="004B6846" w:rsidRPr="003B6233" w:rsidTr="00532FB4">
        <w:tc>
          <w:tcPr>
            <w:cnfStyle w:val="001000000000" w:firstRow="0" w:lastRow="0" w:firstColumn="1" w:lastColumn="0" w:oddVBand="0" w:evenVBand="0" w:oddHBand="0" w:evenHBand="0" w:firstRowFirstColumn="0" w:firstRowLastColumn="0" w:lastRowFirstColumn="0" w:lastRowLastColumn="0"/>
            <w:tcW w:w="4367" w:type="dxa"/>
            <w:tcBorders>
              <w:top w:val="single" w:sz="6" w:space="0" w:color="auto"/>
              <w:bottom w:val="single" w:sz="6" w:space="0" w:color="auto"/>
            </w:tcBorders>
          </w:tcPr>
          <w:p w:rsidR="004B6846" w:rsidRPr="003B6233" w:rsidRDefault="004B6846" w:rsidP="00CC0EB7">
            <w:pPr>
              <w:keepLines w:val="0"/>
              <w:autoSpaceDE w:val="0"/>
              <w:autoSpaceDN w:val="0"/>
              <w:adjustRightInd w:val="0"/>
              <w:rPr>
                <w:rFonts w:eastAsiaTheme="minorEastAsia" w:cs="Calibri"/>
                <w:b/>
                <w:bCs/>
                <w:color w:val="000000"/>
                <w:szCs w:val="17"/>
                <w:lang w:eastAsia="en-AU"/>
              </w:rPr>
            </w:pPr>
            <w:r w:rsidRPr="003B6233">
              <w:rPr>
                <w:rFonts w:eastAsiaTheme="minorEastAsia" w:cs="Calibri"/>
                <w:b/>
                <w:bCs/>
                <w:color w:val="000000"/>
                <w:szCs w:val="17"/>
                <w:lang w:eastAsia="en-AU"/>
              </w:rPr>
              <w:t>Net result from transactions</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(253.6)</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(263.0)</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(186.1)</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(105.9)</w:t>
            </w:r>
          </w:p>
        </w:tc>
      </w:tr>
      <w:tr w:rsidR="004B6846" w:rsidRPr="003B6233" w:rsidTr="00532FB4">
        <w:tc>
          <w:tcPr>
            <w:cnfStyle w:val="001000000000" w:firstRow="0" w:lastRow="0" w:firstColumn="1" w:lastColumn="0" w:oddVBand="0" w:evenVBand="0" w:oddHBand="0" w:evenHBand="0" w:firstRowFirstColumn="0" w:firstRowLastColumn="0" w:lastRowFirstColumn="0" w:lastRowLastColumn="0"/>
            <w:tcW w:w="4367" w:type="dxa"/>
            <w:tcBorders>
              <w:top w:val="single" w:sz="6" w:space="0" w:color="auto"/>
              <w:bottom w:val="single" w:sz="6" w:space="0" w:color="auto"/>
            </w:tcBorders>
          </w:tcPr>
          <w:p w:rsidR="004B6846" w:rsidRPr="003B6233" w:rsidRDefault="004B6846" w:rsidP="00CC0EB7">
            <w:pPr>
              <w:keepLines w:val="0"/>
              <w:autoSpaceDE w:val="0"/>
              <w:autoSpaceDN w:val="0"/>
              <w:adjustRightInd w:val="0"/>
              <w:rPr>
                <w:rFonts w:eastAsiaTheme="minorEastAsia" w:cs="Calibri"/>
                <w:color w:val="000000"/>
                <w:szCs w:val="17"/>
                <w:lang w:eastAsia="en-AU"/>
              </w:rPr>
            </w:pPr>
            <w:r w:rsidRPr="003B6233">
              <w:rPr>
                <w:rFonts w:eastAsiaTheme="minorEastAsia" w:cs="Calibri"/>
                <w:color w:val="000000"/>
                <w:szCs w:val="17"/>
                <w:lang w:eastAsia="en-AU"/>
              </w:rPr>
              <w:t>Other economic flows</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(4.3)</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(4.3)</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(3.5)</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(3.1)</w:t>
            </w:r>
          </w:p>
        </w:tc>
      </w:tr>
      <w:tr w:rsidR="004B6846" w:rsidRPr="003B6233" w:rsidTr="00532FB4">
        <w:tc>
          <w:tcPr>
            <w:cnfStyle w:val="001000000000" w:firstRow="0" w:lastRow="0" w:firstColumn="1" w:lastColumn="0" w:oddVBand="0" w:evenVBand="0" w:oddHBand="0" w:evenHBand="0" w:firstRowFirstColumn="0" w:firstRowLastColumn="0" w:lastRowFirstColumn="0" w:lastRowLastColumn="0"/>
            <w:tcW w:w="4367" w:type="dxa"/>
            <w:tcBorders>
              <w:top w:val="single" w:sz="6" w:space="0" w:color="auto"/>
              <w:bottom w:val="single" w:sz="6" w:space="0" w:color="auto"/>
            </w:tcBorders>
          </w:tcPr>
          <w:p w:rsidR="004B6846" w:rsidRPr="003B6233" w:rsidRDefault="004B6846" w:rsidP="00CC0EB7">
            <w:pPr>
              <w:keepLines w:val="0"/>
              <w:autoSpaceDE w:val="0"/>
              <w:autoSpaceDN w:val="0"/>
              <w:adjustRightInd w:val="0"/>
              <w:rPr>
                <w:rFonts w:eastAsiaTheme="minorEastAsia" w:cs="Calibri"/>
                <w:b/>
                <w:bCs/>
                <w:color w:val="000000"/>
                <w:szCs w:val="17"/>
                <w:lang w:eastAsia="en-AU"/>
              </w:rPr>
            </w:pPr>
            <w:r w:rsidRPr="003B6233">
              <w:rPr>
                <w:rFonts w:eastAsiaTheme="minorEastAsia" w:cs="Calibri"/>
                <w:b/>
                <w:bCs/>
                <w:color w:val="000000"/>
                <w:szCs w:val="17"/>
                <w:lang w:eastAsia="en-AU"/>
              </w:rPr>
              <w:t>Net result</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(257.9)</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(267.3)</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(189.5)</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(108.9)</w:t>
            </w:r>
          </w:p>
        </w:tc>
      </w:tr>
      <w:tr w:rsidR="004B6846" w:rsidRPr="003B6233" w:rsidTr="00532FB4">
        <w:tc>
          <w:tcPr>
            <w:cnfStyle w:val="001000000000" w:firstRow="0" w:lastRow="0" w:firstColumn="1" w:lastColumn="0" w:oddVBand="0" w:evenVBand="0" w:oddHBand="0" w:evenHBand="0" w:firstRowFirstColumn="0" w:firstRowLastColumn="0" w:lastRowFirstColumn="0" w:lastRowLastColumn="0"/>
            <w:tcW w:w="4367" w:type="dxa"/>
            <w:tcBorders>
              <w:top w:val="single" w:sz="6" w:space="0" w:color="auto"/>
              <w:bottom w:val="single" w:sz="6" w:space="0" w:color="auto"/>
            </w:tcBorders>
          </w:tcPr>
          <w:p w:rsidR="004B6846" w:rsidRPr="003B6233" w:rsidRDefault="004B6846" w:rsidP="00CC0EB7">
            <w:pPr>
              <w:keepLines w:val="0"/>
              <w:autoSpaceDE w:val="0"/>
              <w:autoSpaceDN w:val="0"/>
              <w:adjustRightInd w:val="0"/>
              <w:rPr>
                <w:rFonts w:eastAsiaTheme="minorEastAsia" w:cs="Calibri"/>
                <w:b/>
                <w:bCs/>
                <w:color w:val="000000"/>
                <w:szCs w:val="17"/>
                <w:lang w:eastAsia="en-AU"/>
              </w:rPr>
            </w:pPr>
            <w:r w:rsidRPr="003B6233">
              <w:rPr>
                <w:rFonts w:eastAsiaTheme="minorEastAsia" w:cs="Calibri"/>
                <w:b/>
                <w:bCs/>
                <w:color w:val="000000"/>
                <w:szCs w:val="17"/>
                <w:lang w:eastAsia="en-AU"/>
              </w:rPr>
              <w:t>Net debt (cumulative)</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257.9</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518.4</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700.9</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802.6</w:t>
            </w:r>
          </w:p>
        </w:tc>
      </w:tr>
      <w:tr w:rsidR="004B6846" w:rsidRPr="0015723C"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7" w:type="dxa"/>
            <w:tcBorders>
              <w:top w:val="single" w:sz="6" w:space="0" w:color="auto"/>
              <w:bottom w:val="single" w:sz="12" w:space="0" w:color="auto"/>
            </w:tcBorders>
          </w:tcPr>
          <w:p w:rsidR="004B6846" w:rsidRPr="0015723C" w:rsidRDefault="004B6846" w:rsidP="00CC0EB7">
            <w:pPr>
              <w:keepLines w:val="0"/>
              <w:autoSpaceDE w:val="0"/>
              <w:autoSpaceDN w:val="0"/>
              <w:adjustRightInd w:val="0"/>
              <w:rPr>
                <w:rFonts w:eastAsiaTheme="minorEastAsia" w:cs="Calibri"/>
                <w:bCs/>
                <w:color w:val="000000"/>
                <w:szCs w:val="17"/>
                <w:lang w:eastAsia="en-AU"/>
              </w:rPr>
            </w:pPr>
            <w:r w:rsidRPr="0015723C">
              <w:rPr>
                <w:rFonts w:eastAsiaTheme="minorEastAsia" w:cs="Calibri"/>
                <w:bCs/>
                <w:color w:val="000000"/>
                <w:szCs w:val="17"/>
                <w:lang w:eastAsia="en-AU"/>
              </w:rPr>
              <w:t>Net debt to GSP ratio (percentage point difference)</w:t>
            </w:r>
          </w:p>
        </w:tc>
        <w:tc>
          <w:tcPr>
            <w:tcW w:w="850" w:type="dxa"/>
            <w:tcBorders>
              <w:top w:val="single" w:sz="6" w:space="0" w:color="auto"/>
              <w:bottom w:val="single" w:sz="12" w:space="0" w:color="auto"/>
            </w:tcBorders>
            <w:shd w:val="clear" w:color="auto" w:fill="auto"/>
            <w:vAlign w:val="bottom"/>
          </w:tcPr>
          <w:p w:rsidR="004B6846" w:rsidRPr="0015723C" w:rsidRDefault="004B6846" w:rsidP="00CC0EB7">
            <w:pPr>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15723C">
              <w:rPr>
                <w:rFonts w:ascii="Calibri" w:hAnsi="Calibri" w:cs="Calibri"/>
                <w:bCs/>
                <w:color w:val="000000"/>
                <w:szCs w:val="17"/>
              </w:rPr>
              <w:t>0.07</w:t>
            </w:r>
          </w:p>
        </w:tc>
        <w:tc>
          <w:tcPr>
            <w:tcW w:w="850" w:type="dxa"/>
            <w:tcBorders>
              <w:top w:val="single" w:sz="6" w:space="0" w:color="auto"/>
              <w:bottom w:val="single" w:sz="12" w:space="0" w:color="auto"/>
            </w:tcBorders>
            <w:shd w:val="clear" w:color="auto" w:fill="auto"/>
            <w:vAlign w:val="bottom"/>
          </w:tcPr>
          <w:p w:rsidR="004B6846" w:rsidRPr="0015723C" w:rsidRDefault="004B6846" w:rsidP="00CC0EB7">
            <w:pPr>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15723C">
              <w:rPr>
                <w:rFonts w:ascii="Calibri" w:hAnsi="Calibri" w:cs="Calibri"/>
                <w:bCs/>
                <w:color w:val="000000"/>
                <w:szCs w:val="17"/>
              </w:rPr>
              <w:t>0.13</w:t>
            </w:r>
          </w:p>
        </w:tc>
        <w:tc>
          <w:tcPr>
            <w:tcW w:w="850" w:type="dxa"/>
            <w:tcBorders>
              <w:top w:val="single" w:sz="6" w:space="0" w:color="auto"/>
              <w:bottom w:val="single" w:sz="12" w:space="0" w:color="auto"/>
            </w:tcBorders>
            <w:shd w:val="clear" w:color="auto" w:fill="auto"/>
            <w:vAlign w:val="bottom"/>
          </w:tcPr>
          <w:p w:rsidR="004B6846" w:rsidRPr="0015723C" w:rsidRDefault="004B6846" w:rsidP="00CC0EB7">
            <w:pPr>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15723C">
              <w:rPr>
                <w:rFonts w:ascii="Calibri" w:hAnsi="Calibri" w:cs="Calibri"/>
                <w:bCs/>
                <w:color w:val="000000"/>
                <w:szCs w:val="17"/>
              </w:rPr>
              <w:t>0.16</w:t>
            </w:r>
          </w:p>
        </w:tc>
        <w:tc>
          <w:tcPr>
            <w:tcW w:w="850" w:type="dxa"/>
            <w:tcBorders>
              <w:top w:val="single" w:sz="6" w:space="0" w:color="auto"/>
              <w:bottom w:val="single" w:sz="12" w:space="0" w:color="auto"/>
            </w:tcBorders>
            <w:shd w:val="clear" w:color="auto" w:fill="auto"/>
            <w:vAlign w:val="bottom"/>
          </w:tcPr>
          <w:p w:rsidR="004B6846" w:rsidRPr="0015723C" w:rsidRDefault="004B6846" w:rsidP="00CC0EB7">
            <w:pPr>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15723C">
              <w:rPr>
                <w:rFonts w:ascii="Calibri" w:hAnsi="Calibri" w:cs="Calibri"/>
                <w:bCs/>
                <w:color w:val="000000"/>
                <w:szCs w:val="17"/>
              </w:rPr>
              <w:t>0.17</w:t>
            </w:r>
          </w:p>
        </w:tc>
      </w:tr>
    </w:tbl>
    <w:bookmarkEnd w:id="101"/>
    <w:p w:rsidR="004B6846" w:rsidRPr="00294404" w:rsidRDefault="004B6846" w:rsidP="00CC0EB7">
      <w:pPr>
        <w:pStyle w:val="Source"/>
      </w:pPr>
      <w:r w:rsidRPr="00294404">
        <w:t>Source: Department of Treasury and Finance</w:t>
      </w:r>
      <w:r>
        <w:t xml:space="preserve"> </w:t>
      </w:r>
    </w:p>
    <w:p w:rsidR="00684CDB" w:rsidRDefault="00684CDB">
      <w:pPr>
        <w:keepLines w:val="0"/>
        <w:rPr>
          <w:rFonts w:asciiTheme="majorHAnsi" w:eastAsiaTheme="majorEastAsia" w:hAnsiTheme="majorHAnsi" w:cstheme="majorBidi"/>
          <w:b/>
          <w:spacing w:val="-2"/>
          <w:sz w:val="26"/>
          <w:szCs w:val="26"/>
        </w:rPr>
      </w:pPr>
      <w:r>
        <w:br w:type="page"/>
      </w:r>
    </w:p>
    <w:p w:rsidR="004B6846" w:rsidRDefault="004B6846" w:rsidP="00CC0EB7">
      <w:pPr>
        <w:pStyle w:val="Heading20"/>
      </w:pPr>
      <w:r>
        <w:lastRenderedPageBreak/>
        <w:t>Sustained high labour force participation in Victoria</w:t>
      </w:r>
    </w:p>
    <w:p w:rsidR="004B6846" w:rsidRDefault="004B6846" w:rsidP="00CC0EB7">
      <w:r w:rsidRPr="004103B7">
        <w:t>Victoria</w:t>
      </w:r>
      <w:r>
        <w:t>’</w:t>
      </w:r>
      <w:r w:rsidRPr="004103B7">
        <w:t>s labour force participation rate has outperformed expectations in recent years</w:t>
      </w:r>
      <w:r>
        <w:t xml:space="preserve">. High labour force participation </w:t>
      </w:r>
      <w:r w:rsidRPr="004103B7">
        <w:t xml:space="preserve">has supported the strongest period of job creation since the </w:t>
      </w:r>
      <w:r>
        <w:t>early 1990</w:t>
      </w:r>
      <w:r w:rsidRPr="004103B7">
        <w:t>s</w:t>
      </w:r>
      <w:r>
        <w:t xml:space="preserve">. Longer-term </w:t>
      </w:r>
      <w:r w:rsidRPr="004103B7">
        <w:t xml:space="preserve">structural </w:t>
      </w:r>
      <w:r>
        <w:t>trends</w:t>
      </w:r>
      <w:r w:rsidRPr="004103B7">
        <w:t xml:space="preserve">, such as </w:t>
      </w:r>
      <w:r w:rsidRPr="007008E0">
        <w:t xml:space="preserve">rising workforce participation by both females and those aged </w:t>
      </w:r>
      <w:r>
        <w:t>50</w:t>
      </w:r>
      <w:r w:rsidRPr="007008E0">
        <w:t> years and over that reflect cultural, economic, and social changes in Australia have contributed significantly to the pick up in the participation rate over the past four years (Chart </w:t>
      </w:r>
      <w:r>
        <w:t>D.</w:t>
      </w:r>
      <w:r w:rsidRPr="007008E0">
        <w:t>3).</w:t>
      </w:r>
      <w:r w:rsidRPr="007008E0">
        <w:rPr>
          <w:color w:val="FFFFFF" w:themeColor="background1"/>
        </w:rPr>
        <w:t xml:space="preserve"> </w:t>
      </w:r>
      <w:r w:rsidRPr="007008E0">
        <w:t>This has more than counteracted</w:t>
      </w:r>
      <w:r>
        <w:t xml:space="preserve"> the role that demographic change through an ageing population has played in attenuating Victoria’s participation rate.</w:t>
      </w:r>
    </w:p>
    <w:p w:rsidR="004B6846" w:rsidRDefault="004B6846" w:rsidP="00CC0EB7">
      <w:pPr>
        <w:pStyle w:val="TableHeading"/>
        <w:spacing w:before="180"/>
      </w:pPr>
      <w:r>
        <w:t>Chart D.</w:t>
      </w:r>
      <w:r w:rsidRPr="007008E0">
        <w:t>3:</w:t>
      </w:r>
      <w:r w:rsidRPr="007008E0">
        <w:tab/>
        <w:t xml:space="preserve">Contributions to changes in Victoria’s labour force participation rate, </w:t>
      </w:r>
      <w:r>
        <w:t>twelve</w:t>
      </w:r>
      <w:r w:rsidRPr="007008E0">
        <w:t xml:space="preserve"> months to June 2014 to </w:t>
      </w:r>
      <w:r>
        <w:t>twelve</w:t>
      </w:r>
      <w:r w:rsidRPr="007008E0">
        <w:t xml:space="preserve"> months to </w:t>
      </w:r>
      <w:r>
        <w:t>October</w:t>
      </w:r>
      <w:r w:rsidRPr="007008E0">
        <w:t xml:space="preserve"> 2018</w:t>
      </w:r>
      <w:r w:rsidRPr="00212986">
        <w:rPr>
          <w:vertAlign w:val="superscript"/>
        </w:rPr>
        <w:t>(a)</w:t>
      </w:r>
    </w:p>
    <w:p w:rsidR="004B6846" w:rsidRDefault="004B6846" w:rsidP="00CC0EB7">
      <w:r w:rsidRPr="005E05C2">
        <w:rPr>
          <w:noProof/>
        </w:rPr>
        <w:drawing>
          <wp:inline distT="0" distB="0" distL="0" distR="0">
            <wp:extent cx="4896485" cy="28625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896485" cy="2862521"/>
                    </a:xfrm>
                    <a:prstGeom prst="rect">
                      <a:avLst/>
                    </a:prstGeom>
                    <a:noFill/>
                    <a:ln>
                      <a:noFill/>
                    </a:ln>
                  </pic:spPr>
                </pic:pic>
              </a:graphicData>
            </a:graphic>
          </wp:inline>
        </w:drawing>
      </w:r>
    </w:p>
    <w:p w:rsidR="004B6846" w:rsidRDefault="004B6846" w:rsidP="00CC0EB7">
      <w:pPr>
        <w:pStyle w:val="Source"/>
      </w:pPr>
      <w:r w:rsidRPr="004103B7">
        <w:t>Source</w:t>
      </w:r>
      <w:r>
        <w:t>s</w:t>
      </w:r>
      <w:r w:rsidRPr="004103B7">
        <w:t>: Australian Bureau of Statistics</w:t>
      </w:r>
      <w:r>
        <w:t>; Department of Treasury and Finance</w:t>
      </w:r>
    </w:p>
    <w:p w:rsidR="004B6846" w:rsidRPr="007C6619" w:rsidRDefault="004B6846" w:rsidP="00CC0EB7">
      <w:pPr>
        <w:pStyle w:val="Note"/>
      </w:pPr>
      <w:r w:rsidRPr="007C6619">
        <w:t xml:space="preserve">Note: </w:t>
      </w:r>
    </w:p>
    <w:p w:rsidR="004B6846" w:rsidRDefault="004B6846" w:rsidP="00CC0EB7">
      <w:pPr>
        <w:pStyle w:val="Note"/>
      </w:pPr>
      <w:r w:rsidRPr="007C6619">
        <w:t>(a)</w:t>
      </w:r>
      <w:r w:rsidRPr="007C6619">
        <w:tab/>
        <w:t xml:space="preserve">Demographic change affects the size and composition of the potential workforce. </w:t>
      </w:r>
      <w:r w:rsidRPr="00936D6E">
        <w:t>Population ageing results in a higher proportion of the civilian population (aged 15 years and over) being in older age cohorts, which have relatively lower participation rates.</w:t>
      </w:r>
    </w:p>
    <w:p w:rsidR="004B6846" w:rsidRPr="007C6619" w:rsidRDefault="004B6846" w:rsidP="00CC0EB7">
      <w:pPr>
        <w:pStyle w:val="Note"/>
      </w:pPr>
    </w:p>
    <w:p w:rsidR="004B6846" w:rsidRDefault="004B6846" w:rsidP="00CC0EB7">
      <w:r>
        <w:t xml:space="preserve">The forecasts in Chapter 2 </w:t>
      </w:r>
      <w:r w:rsidRPr="00F6625A">
        <w:rPr>
          <w:i/>
        </w:rPr>
        <w:t>Economic </w:t>
      </w:r>
      <w:r>
        <w:rPr>
          <w:i/>
        </w:rPr>
        <w:t>Context</w:t>
      </w:r>
      <w:r>
        <w:t xml:space="preserve"> assume the labour force participation rate (in year average terms) moderates from its peak</w:t>
      </w:r>
      <w:r w:rsidRPr="00501366">
        <w:t xml:space="preserve"> </w:t>
      </w:r>
      <w:r>
        <w:t>of</w:t>
      </w:r>
      <w:r w:rsidRPr="00501366">
        <w:t xml:space="preserve"> </w:t>
      </w:r>
      <w:r>
        <w:t>65.9 </w:t>
      </w:r>
      <w:r w:rsidRPr="00501366">
        <w:t>per cent</w:t>
      </w:r>
      <w:r>
        <w:t xml:space="preserve"> in 2017</w:t>
      </w:r>
      <w:r>
        <w:noBreakHyphen/>
        <w:t>18 over the budget and forward estimates (Chart D.4). However, it is possible that the various factors that have underpinned the rise in participation in recent years persist.</w:t>
      </w:r>
    </w:p>
    <w:p w:rsidR="004B6846" w:rsidRDefault="004B6846" w:rsidP="00CC0EB7">
      <w:r>
        <w:t>This upside scenario assumes that the labour force participation rate rises to around 66.2 per cent by 2019</w:t>
      </w:r>
      <w:r>
        <w:noBreakHyphen/>
        <w:t>20, plateauing around this value over the forward estimates. This amounts to the aggregate participation being around 0.25 percentage points higher in the budget year and 0.5 percentage points higher than the base case for each of the following three years.</w:t>
      </w:r>
    </w:p>
    <w:p w:rsidR="004B6846" w:rsidRPr="00DC03B6" w:rsidRDefault="004B6846" w:rsidP="00CC0EB7">
      <w:pPr>
        <w:keepNext/>
        <w:tabs>
          <w:tab w:val="left" w:pos="1134"/>
          <w:tab w:val="right" w:pos="7710"/>
        </w:tabs>
        <w:spacing w:before="180" w:after="60"/>
        <w:ind w:left="1134" w:hanging="1134"/>
        <w:rPr>
          <w:rFonts w:ascii="Calibri" w:eastAsia="Garamond" w:hAnsi="Calibri" w:cs="Times New Roman"/>
          <w:b/>
          <w:sz w:val="20"/>
          <w:szCs w:val="20"/>
        </w:rPr>
      </w:pPr>
      <w:r w:rsidRPr="00DC03B6">
        <w:rPr>
          <w:rFonts w:ascii="Calibri" w:eastAsia="Garamond" w:hAnsi="Calibri" w:cs="Times New Roman"/>
          <w:b/>
          <w:sz w:val="20"/>
          <w:szCs w:val="20"/>
        </w:rPr>
        <w:lastRenderedPageBreak/>
        <w:t xml:space="preserve">Chart </w:t>
      </w:r>
      <w:r>
        <w:rPr>
          <w:rFonts w:ascii="Calibri" w:eastAsia="Garamond" w:hAnsi="Calibri" w:cs="Times New Roman"/>
          <w:b/>
          <w:sz w:val="20"/>
          <w:szCs w:val="20"/>
        </w:rPr>
        <w:t>D.</w:t>
      </w:r>
      <w:r w:rsidRPr="00DC03B6">
        <w:rPr>
          <w:rFonts w:ascii="Calibri" w:eastAsia="Garamond" w:hAnsi="Calibri" w:cs="Times New Roman"/>
          <w:b/>
          <w:sz w:val="20"/>
          <w:szCs w:val="20"/>
        </w:rPr>
        <w:t>4:</w:t>
      </w:r>
      <w:r w:rsidRPr="00DC03B6">
        <w:rPr>
          <w:rFonts w:ascii="Calibri" w:eastAsia="Garamond" w:hAnsi="Calibri" w:cs="Times New Roman"/>
          <w:b/>
          <w:sz w:val="20"/>
          <w:szCs w:val="20"/>
        </w:rPr>
        <w:tab/>
        <w:t>Victoria</w:t>
      </w:r>
      <w:r>
        <w:rPr>
          <w:rFonts w:ascii="Calibri" w:eastAsia="Garamond" w:hAnsi="Calibri" w:cs="Times New Roman"/>
          <w:b/>
          <w:sz w:val="20"/>
          <w:szCs w:val="20"/>
        </w:rPr>
        <w:t>’</w:t>
      </w:r>
      <w:r w:rsidRPr="00DC03B6">
        <w:rPr>
          <w:rFonts w:ascii="Calibri" w:eastAsia="Garamond" w:hAnsi="Calibri" w:cs="Times New Roman"/>
          <w:b/>
          <w:sz w:val="20"/>
          <w:szCs w:val="20"/>
        </w:rPr>
        <w:t>s labour force participation rate under the base case and scenario</w:t>
      </w:r>
    </w:p>
    <w:p w:rsidR="004B6846" w:rsidRDefault="004B6846" w:rsidP="00CC0EB7">
      <w:pPr>
        <w:rPr>
          <w:noProof/>
          <w:lang w:eastAsia="en-AU"/>
        </w:rPr>
      </w:pPr>
      <w:r w:rsidRPr="005E05C2">
        <w:rPr>
          <w:noProof/>
        </w:rPr>
        <w:drawing>
          <wp:inline distT="0" distB="0" distL="0" distR="0">
            <wp:extent cx="4896485" cy="3351836"/>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96485" cy="3351836"/>
                    </a:xfrm>
                    <a:prstGeom prst="rect">
                      <a:avLst/>
                    </a:prstGeom>
                    <a:noFill/>
                    <a:ln>
                      <a:noFill/>
                    </a:ln>
                  </pic:spPr>
                </pic:pic>
              </a:graphicData>
            </a:graphic>
          </wp:inline>
        </w:drawing>
      </w:r>
    </w:p>
    <w:p w:rsidR="004B6846" w:rsidRDefault="004B6846" w:rsidP="00CC0EB7">
      <w:pPr>
        <w:pStyle w:val="Source"/>
      </w:pPr>
      <w:r w:rsidRPr="004103B7">
        <w:t>Source</w:t>
      </w:r>
      <w:r>
        <w:t>s</w:t>
      </w:r>
      <w:r w:rsidRPr="004103B7">
        <w:t>: Australian Bureau of Statistics</w:t>
      </w:r>
      <w:r>
        <w:t>; Department of Treasury and Finance</w:t>
      </w:r>
    </w:p>
    <w:p w:rsidR="004B6846" w:rsidRPr="007C6619" w:rsidRDefault="004B6846" w:rsidP="00CC0EB7"/>
    <w:p w:rsidR="004B6846" w:rsidRPr="007008E0" w:rsidRDefault="004B6846" w:rsidP="00CC0EB7">
      <w:r>
        <w:t xml:space="preserve">The most recent upswing in the participation rate suggests such an increase would not happen exogenously; that is, more Victorians would not supply their labour without reasonable prospects of gaining work. For this reason, the shock has been implemented in VURM so that the rise in the participation rate has been accompanied by an increase in final demand from household consumption. This results in the Victorian economy being able to accommodate much of the additional labour supply, leaving the unemployment </w:t>
      </w:r>
      <w:r w:rsidRPr="007008E0">
        <w:t>rate</w:t>
      </w:r>
      <w:r>
        <w:t xml:space="preserve"> </w:t>
      </w:r>
      <w:r w:rsidRPr="007008E0">
        <w:t>little changed relative to the base case.</w:t>
      </w:r>
    </w:p>
    <w:p w:rsidR="004B6846" w:rsidRDefault="004B6846" w:rsidP="00CC0EB7">
      <w:r w:rsidRPr="007008E0">
        <w:t>The effects of this scenario on major economic parameters are reported in Table</w:t>
      </w:r>
      <w:r>
        <w:t xml:space="preserve"> D.</w:t>
      </w:r>
      <w:r w:rsidRPr="007008E0">
        <w:t>3. Strong employment growth</w:t>
      </w:r>
      <w:r>
        <w:t xml:space="preserve"> </w:t>
      </w:r>
      <w:r w:rsidRPr="007008E0">
        <w:t>and household demand provides a short</w:t>
      </w:r>
      <w:r w:rsidRPr="007008E0">
        <w:noBreakHyphen/>
        <w:t>term impetus to consumer price inflation in 2018-19 and 2019-20. Over time, the larger labour force exerts downward pressure on wages and production costs, spilling over into lower inflation by the end of the forward estimates relative to current forecasts. The boost to final demand and more contained wages</w:t>
      </w:r>
      <w:r>
        <w:t xml:space="preserve"> </w:t>
      </w:r>
      <w:r w:rsidRPr="007008E0">
        <w:t xml:space="preserve">growth stimulates employment </w:t>
      </w:r>
      <w:r>
        <w:t>(Chart D.5). This also</w:t>
      </w:r>
      <w:r w:rsidRPr="007008E0">
        <w:t xml:space="preserve"> improves the productivity</w:t>
      </w:r>
      <w:r>
        <w:t xml:space="preserve"> of capital, resulting in higher investment.</w:t>
      </w:r>
    </w:p>
    <w:p w:rsidR="004B6846" w:rsidRDefault="004B6846" w:rsidP="00CC0EB7">
      <w:r>
        <w:br w:type="page"/>
      </w:r>
    </w:p>
    <w:p w:rsidR="004B6846" w:rsidRPr="00946B06" w:rsidRDefault="004B6846" w:rsidP="00CC0EB7">
      <w:pPr>
        <w:pStyle w:val="TableHeading"/>
      </w:pPr>
      <w:r>
        <w:lastRenderedPageBreak/>
        <w:t>Table D.</w:t>
      </w:r>
      <w:r w:rsidRPr="00212986">
        <w:t>3:</w:t>
      </w:r>
      <w:r w:rsidRPr="00212986">
        <w:tab/>
        <w:t>The effect of higher participation on major economic parameters</w:t>
      </w:r>
      <w:r w:rsidRPr="00212986">
        <w:rPr>
          <w:vertAlign w:val="superscript"/>
        </w:rPr>
        <w:t>(a)</w:t>
      </w:r>
      <w:r>
        <w:rPr>
          <w:vertAlign w:val="superscript"/>
        </w:rPr>
        <w:t xml:space="preserve"> </w:t>
      </w:r>
      <w:r>
        <w:rPr>
          <w:vertAlign w:val="superscript"/>
        </w:rPr>
        <w:tab/>
      </w:r>
      <w:r w:rsidRPr="00212986">
        <w:t>(per cent</w:t>
      </w:r>
      <w:r>
        <w:t>)</w:t>
      </w:r>
    </w:p>
    <w:tbl>
      <w:tblPr>
        <w:tblStyle w:val="DTFTable"/>
        <w:tblW w:w="7767" w:type="dxa"/>
        <w:tblLayout w:type="fixed"/>
        <w:tblLook w:val="06A0" w:firstRow="1" w:lastRow="0" w:firstColumn="1" w:lastColumn="0" w:noHBand="1" w:noVBand="1"/>
      </w:tblPr>
      <w:tblGrid>
        <w:gridCol w:w="4367"/>
        <w:gridCol w:w="850"/>
        <w:gridCol w:w="850"/>
        <w:gridCol w:w="850"/>
        <w:gridCol w:w="850"/>
      </w:tblGrid>
      <w:tr w:rsidR="00CC0EB7" w:rsidRPr="00946B06"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4367" w:type="dxa"/>
          </w:tcPr>
          <w:p w:rsidR="00CC0EB7" w:rsidRPr="00946B06" w:rsidRDefault="00CC0EB7" w:rsidP="00CC0EB7">
            <w:pPr>
              <w:keepLines w:val="0"/>
              <w:autoSpaceDE w:val="0"/>
              <w:autoSpaceDN w:val="0"/>
              <w:adjustRightInd w:val="0"/>
              <w:rPr>
                <w:rFonts w:eastAsiaTheme="minorEastAsia" w:cs="Calibri"/>
                <w:iCs/>
                <w:color w:val="000000"/>
                <w:szCs w:val="17"/>
                <w:lang w:eastAsia="en-AU"/>
              </w:rPr>
            </w:pPr>
            <w:r w:rsidRPr="00946B06">
              <w:rPr>
                <w:rFonts w:eastAsiaTheme="minorEastAsia" w:cs="Calibri"/>
                <w:iCs/>
                <w:color w:val="000000"/>
                <w:szCs w:val="17"/>
                <w:lang w:eastAsia="en-AU"/>
              </w:rPr>
              <w:t xml:space="preserve">  </w:t>
            </w:r>
          </w:p>
        </w:tc>
        <w:tc>
          <w:tcPr>
            <w:tcW w:w="850" w:type="dxa"/>
          </w:tcPr>
          <w:p w:rsidR="00CC0EB7" w:rsidRPr="00946B06"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946B06">
              <w:rPr>
                <w:rFonts w:eastAsiaTheme="minorEastAsia" w:cs="Calibri"/>
                <w:iCs/>
                <w:color w:val="FFFFFF"/>
                <w:szCs w:val="17"/>
                <w:lang w:eastAsia="en-AU"/>
              </w:rPr>
              <w:t>2018-19</w:t>
            </w:r>
            <w:r>
              <w:rPr>
                <w:rFonts w:eastAsiaTheme="minorEastAsia" w:cs="Calibri"/>
                <w:iCs/>
                <w:color w:val="FFFFFF"/>
                <w:szCs w:val="17"/>
                <w:lang w:eastAsia="en-AU"/>
              </w:rPr>
              <w:br/>
            </w:r>
            <w:r w:rsidRPr="00946B06">
              <w:rPr>
                <w:rFonts w:eastAsiaTheme="minorEastAsia" w:cs="Calibri"/>
                <w:iCs/>
                <w:color w:val="FFFFFF"/>
                <w:szCs w:val="17"/>
                <w:lang w:eastAsia="en-AU"/>
              </w:rPr>
              <w:t>estimate</w:t>
            </w:r>
          </w:p>
        </w:tc>
        <w:tc>
          <w:tcPr>
            <w:tcW w:w="850" w:type="dxa"/>
          </w:tcPr>
          <w:p w:rsidR="00CC0EB7" w:rsidRPr="00946B06"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946B06">
              <w:rPr>
                <w:rFonts w:eastAsiaTheme="minorEastAsia" w:cs="Calibri"/>
                <w:iCs/>
                <w:color w:val="FFFFFF"/>
                <w:szCs w:val="17"/>
                <w:lang w:eastAsia="en-AU"/>
              </w:rPr>
              <w:t>2019-20</w:t>
            </w:r>
            <w:r>
              <w:rPr>
                <w:rFonts w:eastAsiaTheme="minorEastAsia" w:cs="Calibri"/>
                <w:iCs/>
                <w:color w:val="FFFFFF"/>
                <w:szCs w:val="17"/>
                <w:lang w:eastAsia="en-AU"/>
              </w:rPr>
              <w:br/>
            </w:r>
            <w:r w:rsidRPr="00946B06">
              <w:rPr>
                <w:rFonts w:eastAsiaTheme="minorEastAsia" w:cs="Calibri"/>
                <w:iCs/>
                <w:color w:val="FFFFFF"/>
                <w:szCs w:val="17"/>
                <w:lang w:eastAsia="en-AU"/>
              </w:rPr>
              <w:t>estimate</w:t>
            </w:r>
          </w:p>
        </w:tc>
        <w:tc>
          <w:tcPr>
            <w:tcW w:w="850" w:type="dxa"/>
          </w:tcPr>
          <w:p w:rsidR="00CC0EB7" w:rsidRPr="00946B06"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946B06">
              <w:rPr>
                <w:rFonts w:eastAsiaTheme="minorEastAsia" w:cs="Calibri"/>
                <w:iCs/>
                <w:color w:val="FFFFFF"/>
                <w:szCs w:val="17"/>
                <w:lang w:eastAsia="en-AU"/>
              </w:rPr>
              <w:t>2020-21</w:t>
            </w:r>
            <w:r>
              <w:rPr>
                <w:rFonts w:eastAsiaTheme="minorEastAsia" w:cs="Calibri"/>
                <w:iCs/>
                <w:color w:val="FFFFFF"/>
                <w:szCs w:val="17"/>
                <w:lang w:eastAsia="en-AU"/>
              </w:rPr>
              <w:br/>
            </w:r>
            <w:r w:rsidRPr="00946B06">
              <w:rPr>
                <w:rFonts w:eastAsiaTheme="minorEastAsia" w:cs="Calibri"/>
                <w:iCs/>
                <w:color w:val="FFFFFF"/>
                <w:szCs w:val="17"/>
                <w:lang w:eastAsia="en-AU"/>
              </w:rPr>
              <w:t>estimate</w:t>
            </w:r>
          </w:p>
        </w:tc>
        <w:tc>
          <w:tcPr>
            <w:tcW w:w="850" w:type="dxa"/>
          </w:tcPr>
          <w:p w:rsidR="00CC0EB7" w:rsidRPr="00946B06"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946B06">
              <w:rPr>
                <w:rFonts w:eastAsiaTheme="minorEastAsia" w:cs="Calibri"/>
                <w:iCs/>
                <w:color w:val="FFFFFF"/>
                <w:szCs w:val="17"/>
                <w:lang w:eastAsia="en-AU"/>
              </w:rPr>
              <w:t>2021-22</w:t>
            </w:r>
            <w:r>
              <w:rPr>
                <w:rFonts w:eastAsiaTheme="minorEastAsia" w:cs="Calibri"/>
                <w:iCs/>
                <w:color w:val="FFFFFF"/>
                <w:szCs w:val="17"/>
                <w:lang w:eastAsia="en-AU"/>
              </w:rPr>
              <w:br/>
            </w:r>
            <w:r w:rsidRPr="00946B06">
              <w:rPr>
                <w:rFonts w:eastAsiaTheme="minorEastAsia" w:cs="Calibri"/>
                <w:iCs/>
                <w:color w:val="FFFFFF"/>
                <w:szCs w:val="17"/>
                <w:lang w:eastAsia="en-AU"/>
              </w:rPr>
              <w:t>estimate</w:t>
            </w:r>
          </w:p>
        </w:tc>
      </w:tr>
      <w:tr w:rsidR="004B6846" w:rsidRPr="00946B06" w:rsidTr="00CC0EB7">
        <w:tc>
          <w:tcPr>
            <w:cnfStyle w:val="001000000000" w:firstRow="0" w:lastRow="0" w:firstColumn="1" w:lastColumn="0" w:oddVBand="0" w:evenVBand="0" w:oddHBand="0" w:evenHBand="0" w:firstRowFirstColumn="0" w:firstRowLastColumn="0" w:lastRowFirstColumn="0" w:lastRowLastColumn="0"/>
            <w:tcW w:w="4367" w:type="dxa"/>
          </w:tcPr>
          <w:p w:rsidR="004B6846" w:rsidRPr="00946B06" w:rsidRDefault="004B6846" w:rsidP="00CC0EB7">
            <w:pPr>
              <w:keepLines w:val="0"/>
              <w:autoSpaceDE w:val="0"/>
              <w:autoSpaceDN w:val="0"/>
              <w:adjustRightInd w:val="0"/>
              <w:rPr>
                <w:rFonts w:eastAsiaTheme="minorEastAsia" w:cs="Calibri"/>
                <w:color w:val="000000"/>
                <w:szCs w:val="17"/>
                <w:lang w:eastAsia="en-AU"/>
              </w:rPr>
            </w:pPr>
            <w:r w:rsidRPr="00946B06">
              <w:rPr>
                <w:rFonts w:eastAsiaTheme="minorEastAsia" w:cs="Calibri"/>
                <w:color w:val="000000"/>
                <w:szCs w:val="17"/>
                <w:lang w:eastAsia="en-AU"/>
              </w:rPr>
              <w:t>Real GSP</w:t>
            </w:r>
          </w:p>
        </w:tc>
        <w:tc>
          <w:tcPr>
            <w:tcW w:w="850" w:type="dxa"/>
          </w:tcPr>
          <w:p w:rsidR="004B6846" w:rsidRPr="0002718C" w:rsidRDefault="004B6846" w:rsidP="00CC0EB7">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0.16</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0.37</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0.47</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0.54</w:t>
            </w:r>
          </w:p>
        </w:tc>
      </w:tr>
      <w:tr w:rsidR="004B6846" w:rsidRPr="00946B06" w:rsidTr="00CC0EB7">
        <w:tc>
          <w:tcPr>
            <w:cnfStyle w:val="001000000000" w:firstRow="0" w:lastRow="0" w:firstColumn="1" w:lastColumn="0" w:oddVBand="0" w:evenVBand="0" w:oddHBand="0" w:evenHBand="0" w:firstRowFirstColumn="0" w:firstRowLastColumn="0" w:lastRowFirstColumn="0" w:lastRowLastColumn="0"/>
            <w:tcW w:w="4367" w:type="dxa"/>
          </w:tcPr>
          <w:p w:rsidR="004B6846" w:rsidRPr="00946B06" w:rsidRDefault="004B6846" w:rsidP="00CC0EB7">
            <w:pPr>
              <w:keepLines w:val="0"/>
              <w:autoSpaceDE w:val="0"/>
              <w:autoSpaceDN w:val="0"/>
              <w:adjustRightInd w:val="0"/>
              <w:rPr>
                <w:rFonts w:eastAsiaTheme="minorEastAsia" w:cs="Calibri"/>
                <w:color w:val="000000"/>
                <w:szCs w:val="17"/>
                <w:lang w:eastAsia="en-AU"/>
              </w:rPr>
            </w:pPr>
            <w:r w:rsidRPr="00946B06">
              <w:rPr>
                <w:rFonts w:eastAsiaTheme="minorEastAsia" w:cs="Calibri"/>
                <w:color w:val="000000"/>
                <w:szCs w:val="17"/>
                <w:lang w:eastAsia="en-AU"/>
              </w:rPr>
              <w:t>Employment</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0.22</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0.51</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0.63</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0.70</w:t>
            </w:r>
          </w:p>
        </w:tc>
      </w:tr>
      <w:tr w:rsidR="004B6846" w:rsidRPr="00946B06" w:rsidTr="00CC0EB7">
        <w:tc>
          <w:tcPr>
            <w:cnfStyle w:val="001000000000" w:firstRow="0" w:lastRow="0" w:firstColumn="1" w:lastColumn="0" w:oddVBand="0" w:evenVBand="0" w:oddHBand="0" w:evenHBand="0" w:firstRowFirstColumn="0" w:firstRowLastColumn="0" w:lastRowFirstColumn="0" w:lastRowLastColumn="0"/>
            <w:tcW w:w="4367" w:type="dxa"/>
          </w:tcPr>
          <w:p w:rsidR="004B6846" w:rsidRPr="00946B06" w:rsidRDefault="004B6846" w:rsidP="00CC0EB7">
            <w:pPr>
              <w:keepLines w:val="0"/>
              <w:autoSpaceDE w:val="0"/>
              <w:autoSpaceDN w:val="0"/>
              <w:adjustRightInd w:val="0"/>
              <w:rPr>
                <w:rFonts w:eastAsiaTheme="minorEastAsia" w:cs="Calibri"/>
                <w:color w:val="000000"/>
                <w:szCs w:val="17"/>
                <w:lang w:eastAsia="en-AU"/>
              </w:rPr>
            </w:pPr>
            <w:r w:rsidRPr="00946B06">
              <w:rPr>
                <w:rFonts w:eastAsiaTheme="minorEastAsia" w:cs="Calibri"/>
                <w:color w:val="000000"/>
                <w:szCs w:val="17"/>
                <w:lang w:eastAsia="en-AU"/>
              </w:rPr>
              <w:t>Consumer price index</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0.11</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0.13</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(0.00)</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(0.09)</w:t>
            </w:r>
          </w:p>
        </w:tc>
      </w:tr>
      <w:tr w:rsidR="004B6846" w:rsidRPr="00946B06" w:rsidTr="00CC0EB7">
        <w:tc>
          <w:tcPr>
            <w:cnfStyle w:val="001000000000" w:firstRow="0" w:lastRow="0" w:firstColumn="1" w:lastColumn="0" w:oddVBand="0" w:evenVBand="0" w:oddHBand="0" w:evenHBand="0" w:firstRowFirstColumn="0" w:firstRowLastColumn="0" w:lastRowFirstColumn="0" w:lastRowLastColumn="0"/>
            <w:tcW w:w="4367" w:type="dxa"/>
          </w:tcPr>
          <w:p w:rsidR="004B6846" w:rsidRPr="00946B06" w:rsidRDefault="004B6846" w:rsidP="00CC0EB7">
            <w:pPr>
              <w:keepLines w:val="0"/>
              <w:autoSpaceDE w:val="0"/>
              <w:autoSpaceDN w:val="0"/>
              <w:adjustRightInd w:val="0"/>
              <w:rPr>
                <w:rFonts w:eastAsiaTheme="minorEastAsia" w:cs="Calibri"/>
                <w:color w:val="000000"/>
                <w:szCs w:val="17"/>
                <w:lang w:eastAsia="en-AU"/>
              </w:rPr>
            </w:pPr>
            <w:r w:rsidRPr="00946B06">
              <w:rPr>
                <w:rFonts w:eastAsiaTheme="minorEastAsia" w:cs="Calibri"/>
                <w:color w:val="000000"/>
                <w:szCs w:val="17"/>
                <w:lang w:eastAsia="en-AU"/>
              </w:rPr>
              <w:t>Wage price index</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(0.03)</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(0.24)</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(0.49)</w:t>
            </w:r>
          </w:p>
        </w:tc>
        <w:tc>
          <w:tcPr>
            <w:tcW w:w="850" w:type="dxa"/>
          </w:tcPr>
          <w:p w:rsidR="004B6846" w:rsidRPr="0002718C" w:rsidRDefault="004B6846" w:rsidP="00CC0EB7">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(0.63)</w:t>
            </w:r>
          </w:p>
        </w:tc>
      </w:tr>
    </w:tbl>
    <w:p w:rsidR="004B6846" w:rsidRDefault="004B6846" w:rsidP="00CC0EB7">
      <w:pPr>
        <w:pStyle w:val="Source"/>
      </w:pPr>
      <w:r w:rsidRPr="004103B7">
        <w:t>Source: Centre of Poli</w:t>
      </w:r>
      <w:r>
        <w:t>cy Studies, Victoria University</w:t>
      </w:r>
    </w:p>
    <w:p w:rsidR="004B6846" w:rsidRDefault="004B6846" w:rsidP="00CC0EB7">
      <w:pPr>
        <w:pStyle w:val="Note"/>
      </w:pPr>
      <w:r w:rsidRPr="004103B7">
        <w:t xml:space="preserve">Note: </w:t>
      </w:r>
    </w:p>
    <w:p w:rsidR="004B6846" w:rsidRDefault="004B6846" w:rsidP="00CC0EB7">
      <w:pPr>
        <w:pStyle w:val="Note"/>
      </w:pPr>
      <w:r>
        <w:t>(a)</w:t>
      </w:r>
      <w:r>
        <w:tab/>
      </w:r>
      <w:r w:rsidRPr="004103B7">
        <w:t>Figures reported are the change in the level of each parameter relative to the baseline of no change in the economic outloo</w:t>
      </w:r>
      <w:r>
        <w:t>k, for each year of the budget.</w:t>
      </w:r>
    </w:p>
    <w:p w:rsidR="004B6846" w:rsidRDefault="004B6846" w:rsidP="00CC0EB7"/>
    <w:p w:rsidR="004B6846" w:rsidRDefault="004B6846" w:rsidP="00CC0EB7">
      <w:pPr>
        <w:keepNext/>
        <w:tabs>
          <w:tab w:val="left" w:pos="1134"/>
          <w:tab w:val="right" w:pos="7710"/>
        </w:tabs>
        <w:spacing w:before="180" w:after="60"/>
        <w:ind w:left="1134" w:hanging="1134"/>
        <w:rPr>
          <w:rFonts w:ascii="Calibri" w:eastAsia="Garamond" w:hAnsi="Calibri" w:cs="Times New Roman"/>
          <w:b/>
          <w:sz w:val="20"/>
          <w:szCs w:val="20"/>
        </w:rPr>
      </w:pPr>
      <w:r w:rsidRPr="00212986">
        <w:rPr>
          <w:rFonts w:ascii="Calibri" w:eastAsia="Garamond" w:hAnsi="Calibri" w:cs="Times New Roman"/>
          <w:b/>
          <w:sz w:val="20"/>
          <w:szCs w:val="20"/>
        </w:rPr>
        <w:t xml:space="preserve">Chart </w:t>
      </w:r>
      <w:r>
        <w:rPr>
          <w:rFonts w:ascii="Calibri" w:eastAsia="Garamond" w:hAnsi="Calibri" w:cs="Times New Roman"/>
          <w:b/>
          <w:sz w:val="20"/>
          <w:szCs w:val="20"/>
        </w:rPr>
        <w:t>D.</w:t>
      </w:r>
      <w:r w:rsidRPr="00212986">
        <w:rPr>
          <w:rFonts w:ascii="Calibri" w:eastAsia="Garamond" w:hAnsi="Calibri" w:cs="Times New Roman"/>
          <w:b/>
          <w:sz w:val="20"/>
          <w:szCs w:val="20"/>
        </w:rPr>
        <w:t>5:</w:t>
      </w:r>
      <w:r w:rsidRPr="00212986">
        <w:rPr>
          <w:rFonts w:ascii="Calibri" w:eastAsia="Garamond" w:hAnsi="Calibri" w:cs="Times New Roman"/>
          <w:b/>
          <w:sz w:val="20"/>
          <w:szCs w:val="20"/>
        </w:rPr>
        <w:tab/>
        <w:t>The effects on growth and employment of high labour force participation</w:t>
      </w:r>
    </w:p>
    <w:p w:rsidR="004B6846" w:rsidRPr="00212986" w:rsidRDefault="004B6846" w:rsidP="00CC0EB7">
      <w:r w:rsidRPr="005E05C2">
        <w:rPr>
          <w:noProof/>
        </w:rPr>
        <w:drawing>
          <wp:inline distT="0" distB="0" distL="0" distR="0">
            <wp:extent cx="4896485" cy="2981883"/>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896485" cy="2981883"/>
                    </a:xfrm>
                    <a:prstGeom prst="rect">
                      <a:avLst/>
                    </a:prstGeom>
                    <a:noFill/>
                    <a:ln>
                      <a:noFill/>
                    </a:ln>
                  </pic:spPr>
                </pic:pic>
              </a:graphicData>
            </a:graphic>
          </wp:inline>
        </w:drawing>
      </w:r>
    </w:p>
    <w:p w:rsidR="004B6846" w:rsidRDefault="004B6846" w:rsidP="00CC0EB7">
      <w:pPr>
        <w:spacing w:before="20" w:after="60"/>
        <w:rPr>
          <w:rFonts w:ascii="Calibri" w:eastAsia="Garamond" w:hAnsi="Calibri" w:cs="Times New Roman"/>
          <w:i/>
          <w:spacing w:val="-2"/>
          <w:sz w:val="14"/>
        </w:rPr>
      </w:pPr>
      <w:r w:rsidRPr="004D5BF1">
        <w:rPr>
          <w:rFonts w:ascii="Calibri" w:eastAsia="Garamond" w:hAnsi="Calibri" w:cs="Times New Roman"/>
          <w:i/>
          <w:spacing w:val="-2"/>
          <w:sz w:val="14"/>
        </w:rPr>
        <w:t>Sources: Australian Bureau of Statistics; Centre of Policy Studies; Department of Treasury and Finance</w:t>
      </w:r>
    </w:p>
    <w:p w:rsidR="004B6846" w:rsidRPr="00C97E2B" w:rsidRDefault="004B6846" w:rsidP="00CC0EB7"/>
    <w:p w:rsidR="004B6846" w:rsidRDefault="004B6846" w:rsidP="00CC0EB7">
      <w:r w:rsidRPr="0044131A">
        <w:t>Under this scenario, general government sector revenu</w:t>
      </w:r>
      <w:r>
        <w:t>e is higher, as shown in Table D.</w:t>
      </w:r>
      <w:r w:rsidRPr="0044131A">
        <w:t xml:space="preserve">4. The boost to </w:t>
      </w:r>
      <w:r>
        <w:t xml:space="preserve">Victorian </w:t>
      </w:r>
      <w:r w:rsidRPr="0044131A">
        <w:t xml:space="preserve">household consumption </w:t>
      </w:r>
      <w:r>
        <w:t xml:space="preserve">raises the </w:t>
      </w:r>
      <w:r w:rsidRPr="0044131A">
        <w:t xml:space="preserve">GST </w:t>
      </w:r>
      <w:r>
        <w:t>pool</w:t>
      </w:r>
      <w:r w:rsidRPr="0044131A">
        <w:t>,</w:t>
      </w:r>
      <w:r>
        <w:rPr>
          <w:rStyle w:val="FootnoteReference"/>
        </w:rPr>
        <w:footnoteReference w:id="7"/>
      </w:r>
      <w:r w:rsidRPr="0044131A">
        <w:t xml:space="preserve"> while higher household disposable income leads to more property-based taxes being collected by the State Government.</w:t>
      </w:r>
      <w:r>
        <w:t xml:space="preserve"> In contrast, p</w:t>
      </w:r>
      <w:r w:rsidRPr="0044131A">
        <w:t>ayroll tax</w:t>
      </w:r>
      <w:r>
        <w:t xml:space="preserve"> </w:t>
      </w:r>
      <w:r w:rsidRPr="0044131A">
        <w:t xml:space="preserve">collections are </w:t>
      </w:r>
      <w:r>
        <w:t>only marginally higher in the scenario</w:t>
      </w:r>
      <w:r w:rsidRPr="0044131A">
        <w:t xml:space="preserve">, as the </w:t>
      </w:r>
      <w:r>
        <w:t>effect of the higher level of</w:t>
      </w:r>
      <w:r w:rsidRPr="0044131A">
        <w:t xml:space="preserve"> employment </w:t>
      </w:r>
      <w:r>
        <w:t>and</w:t>
      </w:r>
      <w:r w:rsidRPr="0044131A">
        <w:t xml:space="preserve"> more modest wage growth </w:t>
      </w:r>
      <w:r>
        <w:t>almost negate each other</w:t>
      </w:r>
      <w:r w:rsidRPr="0044131A">
        <w:t>.</w:t>
      </w:r>
    </w:p>
    <w:p w:rsidR="004B6846" w:rsidRDefault="004B6846" w:rsidP="00CC0EB7">
      <w:pPr>
        <w:keepLines w:val="0"/>
        <w:rPr>
          <w:rFonts w:asciiTheme="majorHAnsi" w:hAnsiTheme="majorHAnsi"/>
          <w:b/>
          <w:sz w:val="20"/>
          <w:szCs w:val="20"/>
        </w:rPr>
      </w:pPr>
      <w:r>
        <w:br w:type="page"/>
      </w:r>
    </w:p>
    <w:p w:rsidR="004B6846" w:rsidRPr="003B6233" w:rsidRDefault="004B6846" w:rsidP="00CC0EB7">
      <w:pPr>
        <w:pStyle w:val="TableHeading"/>
      </w:pPr>
      <w:r w:rsidRPr="00193B36">
        <w:lastRenderedPageBreak/>
        <w:t xml:space="preserve">Table </w:t>
      </w:r>
      <w:r>
        <w:t>D.</w:t>
      </w:r>
      <w:r w:rsidRPr="00193B36">
        <w:t>4:</w:t>
      </w:r>
      <w:r w:rsidRPr="00193B36">
        <w:tab/>
        <w:t>Projected fiscal impact of higher labour force participation</w:t>
      </w:r>
      <w:r>
        <w:t xml:space="preserve"> </w:t>
      </w:r>
      <w:r>
        <w:tab/>
      </w:r>
      <w:r w:rsidRPr="004103B7">
        <w:t>($</w:t>
      </w:r>
      <w:r>
        <w:t> million)</w:t>
      </w:r>
    </w:p>
    <w:tbl>
      <w:tblPr>
        <w:tblStyle w:val="DTFTable"/>
        <w:tblW w:w="7765" w:type="dxa"/>
        <w:tblLayout w:type="fixed"/>
        <w:tblLook w:val="06E0" w:firstRow="1" w:lastRow="1" w:firstColumn="1" w:lastColumn="0" w:noHBand="1" w:noVBand="1"/>
      </w:tblPr>
      <w:tblGrid>
        <w:gridCol w:w="4365"/>
        <w:gridCol w:w="850"/>
        <w:gridCol w:w="850"/>
        <w:gridCol w:w="850"/>
        <w:gridCol w:w="850"/>
      </w:tblGrid>
      <w:tr w:rsidR="00CC0EB7" w:rsidRPr="003B6233" w:rsidTr="00065FD3">
        <w:trPr>
          <w:cnfStyle w:val="100000000000" w:firstRow="1" w:lastRow="0" w:firstColumn="0" w:lastColumn="0" w:oddVBand="0" w:evenVBand="0" w:oddHBand="0" w:evenHBand="0" w:firstRowFirstColumn="0" w:firstRowLastColumn="0" w:lastRowFirstColumn="0" w:lastRowLastColumn="0"/>
          <w:trHeight w:val="74"/>
          <w:tblHeader/>
        </w:trPr>
        <w:tc>
          <w:tcPr>
            <w:cnfStyle w:val="001000000000" w:firstRow="0" w:lastRow="0" w:firstColumn="1" w:lastColumn="0" w:oddVBand="0" w:evenVBand="0" w:oddHBand="0" w:evenHBand="0" w:firstRowFirstColumn="0" w:firstRowLastColumn="0" w:lastRowFirstColumn="0" w:lastRowLastColumn="0"/>
            <w:tcW w:w="4365" w:type="dxa"/>
          </w:tcPr>
          <w:p w:rsidR="00CC0EB7" w:rsidRPr="003B6233" w:rsidRDefault="00CC0EB7" w:rsidP="00CC0EB7">
            <w:pPr>
              <w:keepLines w:val="0"/>
              <w:autoSpaceDE w:val="0"/>
              <w:autoSpaceDN w:val="0"/>
              <w:adjustRightInd w:val="0"/>
              <w:rPr>
                <w:rFonts w:eastAsiaTheme="minorEastAsia" w:cs="Calibri"/>
                <w:iCs/>
                <w:color w:val="000000"/>
                <w:szCs w:val="17"/>
                <w:lang w:eastAsia="en-AU"/>
              </w:rPr>
            </w:pPr>
            <w:bookmarkStart w:id="102" w:name="_Hlk531180049"/>
            <w:r w:rsidRPr="003B6233">
              <w:rPr>
                <w:rFonts w:eastAsiaTheme="minorEastAsia" w:cs="Calibri"/>
                <w:iCs/>
                <w:color w:val="000000"/>
                <w:szCs w:val="17"/>
                <w:lang w:eastAsia="en-AU"/>
              </w:rPr>
              <w:t xml:space="preserve">  </w:t>
            </w:r>
          </w:p>
        </w:tc>
        <w:tc>
          <w:tcPr>
            <w:tcW w:w="850" w:type="dxa"/>
          </w:tcPr>
          <w:p w:rsidR="00CC0EB7" w:rsidRPr="003B623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3B6233">
              <w:rPr>
                <w:rFonts w:eastAsiaTheme="minorEastAsia" w:cs="Calibri"/>
                <w:iCs/>
                <w:color w:val="FFFFFF"/>
                <w:szCs w:val="17"/>
                <w:lang w:eastAsia="en-AU"/>
              </w:rPr>
              <w:t>2018-19</w:t>
            </w:r>
            <w:r>
              <w:rPr>
                <w:rFonts w:eastAsiaTheme="minorEastAsia" w:cs="Calibri"/>
                <w:iCs/>
                <w:color w:val="FFFFFF"/>
                <w:szCs w:val="17"/>
                <w:lang w:eastAsia="en-AU"/>
              </w:rPr>
              <w:br/>
            </w:r>
            <w:r w:rsidRPr="003B6233">
              <w:rPr>
                <w:rFonts w:eastAsiaTheme="minorEastAsia" w:cs="Calibri"/>
                <w:iCs/>
                <w:color w:val="FFFFFF"/>
                <w:szCs w:val="17"/>
                <w:lang w:eastAsia="en-AU"/>
              </w:rPr>
              <w:t>estimate</w:t>
            </w:r>
          </w:p>
        </w:tc>
        <w:tc>
          <w:tcPr>
            <w:tcW w:w="850" w:type="dxa"/>
          </w:tcPr>
          <w:p w:rsidR="00CC0EB7" w:rsidRPr="003B623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3B6233">
              <w:rPr>
                <w:rFonts w:eastAsiaTheme="minorEastAsia" w:cs="Calibri"/>
                <w:iCs/>
                <w:color w:val="FFFFFF"/>
                <w:szCs w:val="17"/>
                <w:lang w:eastAsia="en-AU"/>
              </w:rPr>
              <w:t>2019-20</w:t>
            </w:r>
            <w:r>
              <w:rPr>
                <w:rFonts w:eastAsiaTheme="minorEastAsia" w:cs="Calibri"/>
                <w:iCs/>
                <w:color w:val="FFFFFF"/>
                <w:szCs w:val="17"/>
                <w:lang w:eastAsia="en-AU"/>
              </w:rPr>
              <w:br/>
            </w:r>
            <w:r w:rsidRPr="003B6233">
              <w:rPr>
                <w:rFonts w:eastAsiaTheme="minorEastAsia" w:cs="Calibri"/>
                <w:iCs/>
                <w:color w:val="FFFFFF"/>
                <w:szCs w:val="17"/>
                <w:lang w:eastAsia="en-AU"/>
              </w:rPr>
              <w:t>estimate</w:t>
            </w:r>
          </w:p>
        </w:tc>
        <w:tc>
          <w:tcPr>
            <w:tcW w:w="850" w:type="dxa"/>
          </w:tcPr>
          <w:p w:rsidR="00CC0EB7" w:rsidRPr="003B623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3B6233">
              <w:rPr>
                <w:rFonts w:eastAsiaTheme="minorEastAsia" w:cs="Calibri"/>
                <w:iCs/>
                <w:color w:val="FFFFFF"/>
                <w:szCs w:val="17"/>
                <w:lang w:eastAsia="en-AU"/>
              </w:rPr>
              <w:t>2020-21</w:t>
            </w:r>
            <w:r>
              <w:rPr>
                <w:rFonts w:eastAsiaTheme="minorEastAsia" w:cs="Calibri"/>
                <w:iCs/>
                <w:color w:val="FFFFFF"/>
                <w:szCs w:val="17"/>
                <w:lang w:eastAsia="en-AU"/>
              </w:rPr>
              <w:br/>
            </w:r>
            <w:r w:rsidRPr="003B6233">
              <w:rPr>
                <w:rFonts w:eastAsiaTheme="minorEastAsia" w:cs="Calibri"/>
                <w:iCs/>
                <w:color w:val="FFFFFF"/>
                <w:szCs w:val="17"/>
                <w:lang w:eastAsia="en-AU"/>
              </w:rPr>
              <w:t xml:space="preserve"> estimate</w:t>
            </w:r>
          </w:p>
        </w:tc>
        <w:tc>
          <w:tcPr>
            <w:tcW w:w="850" w:type="dxa"/>
          </w:tcPr>
          <w:p w:rsidR="00CC0EB7" w:rsidRPr="003B6233"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3B6233">
              <w:rPr>
                <w:rFonts w:eastAsiaTheme="minorEastAsia" w:cs="Calibri"/>
                <w:iCs/>
                <w:color w:val="FFFFFF"/>
                <w:szCs w:val="17"/>
                <w:lang w:eastAsia="en-AU"/>
              </w:rPr>
              <w:t>2021-22</w:t>
            </w:r>
            <w:r>
              <w:rPr>
                <w:rFonts w:eastAsiaTheme="minorEastAsia" w:cs="Calibri"/>
                <w:iCs/>
                <w:color w:val="FFFFFF"/>
                <w:szCs w:val="17"/>
                <w:lang w:eastAsia="en-AU"/>
              </w:rPr>
              <w:br/>
            </w:r>
            <w:r w:rsidRPr="003B6233">
              <w:rPr>
                <w:rFonts w:eastAsiaTheme="minorEastAsia" w:cs="Calibri"/>
                <w:iCs/>
                <w:color w:val="FFFFFF"/>
                <w:szCs w:val="17"/>
                <w:lang w:eastAsia="en-AU"/>
              </w:rPr>
              <w:t>estimate</w:t>
            </w:r>
          </w:p>
        </w:tc>
      </w:tr>
      <w:tr w:rsidR="004B6846" w:rsidRPr="003B6233" w:rsidTr="00CC0EB7">
        <w:tc>
          <w:tcPr>
            <w:cnfStyle w:val="001000000000" w:firstRow="0" w:lastRow="0" w:firstColumn="1" w:lastColumn="0" w:oddVBand="0" w:evenVBand="0" w:oddHBand="0" w:evenHBand="0" w:firstRowFirstColumn="0" w:firstRowLastColumn="0" w:lastRowFirstColumn="0" w:lastRowLastColumn="0"/>
            <w:tcW w:w="4365" w:type="dxa"/>
          </w:tcPr>
          <w:p w:rsidR="004B6846" w:rsidRPr="003B6233" w:rsidRDefault="004B6846" w:rsidP="00CC0EB7">
            <w:pPr>
              <w:keepLines w:val="0"/>
              <w:autoSpaceDE w:val="0"/>
              <w:autoSpaceDN w:val="0"/>
              <w:adjustRightInd w:val="0"/>
              <w:rPr>
                <w:rFonts w:eastAsiaTheme="minorEastAsia" w:cs="Calibri"/>
                <w:color w:val="000000"/>
                <w:szCs w:val="17"/>
                <w:lang w:eastAsia="en-AU"/>
              </w:rPr>
            </w:pPr>
            <w:r w:rsidRPr="003B6233">
              <w:rPr>
                <w:rFonts w:eastAsiaTheme="minorEastAsia" w:cs="Calibri"/>
                <w:color w:val="000000"/>
                <w:szCs w:val="17"/>
                <w:lang w:eastAsia="en-AU"/>
              </w:rPr>
              <w:t>Income from transactions</w:t>
            </w:r>
          </w:p>
        </w:tc>
        <w:tc>
          <w:tcPr>
            <w:tcW w:w="850" w:type="dxa"/>
            <w:tcBorders>
              <w:top w:val="nil"/>
              <w:left w:val="nil"/>
              <w:bottom w:val="nil"/>
              <w:right w:val="nil"/>
            </w:tcBorders>
            <w:shd w:val="clear" w:color="000000" w:fill="FFFFFF"/>
            <w:vAlign w:val="bottom"/>
          </w:tcPr>
          <w:p w:rsidR="004B6846" w:rsidRPr="001972E2" w:rsidRDefault="004B6846" w:rsidP="00CC0EB7">
            <w:pPr>
              <w:keepLines w:val="0"/>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207.4</w:t>
            </w:r>
          </w:p>
        </w:tc>
        <w:tc>
          <w:tcPr>
            <w:tcW w:w="850" w:type="dxa"/>
            <w:tcBorders>
              <w:top w:val="nil"/>
              <w:left w:val="nil"/>
              <w:bottom w:val="nil"/>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336.4</w:t>
            </w:r>
          </w:p>
        </w:tc>
        <w:tc>
          <w:tcPr>
            <w:tcW w:w="850" w:type="dxa"/>
            <w:tcBorders>
              <w:top w:val="nil"/>
              <w:left w:val="nil"/>
              <w:bottom w:val="nil"/>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294.8</w:t>
            </w:r>
          </w:p>
        </w:tc>
        <w:tc>
          <w:tcPr>
            <w:tcW w:w="850" w:type="dxa"/>
            <w:tcBorders>
              <w:top w:val="nil"/>
              <w:left w:val="nil"/>
              <w:bottom w:val="nil"/>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286.9</w:t>
            </w:r>
          </w:p>
        </w:tc>
      </w:tr>
      <w:tr w:rsidR="004B6846" w:rsidRPr="003B6233" w:rsidTr="00532FB4">
        <w:tc>
          <w:tcPr>
            <w:cnfStyle w:val="001000000000" w:firstRow="0" w:lastRow="0" w:firstColumn="1" w:lastColumn="0" w:oddVBand="0" w:evenVBand="0" w:oddHBand="0" w:evenHBand="0" w:firstRowFirstColumn="0" w:firstRowLastColumn="0" w:lastRowFirstColumn="0" w:lastRowLastColumn="0"/>
            <w:tcW w:w="4365" w:type="dxa"/>
            <w:tcBorders>
              <w:bottom w:val="single" w:sz="6" w:space="0" w:color="auto"/>
            </w:tcBorders>
          </w:tcPr>
          <w:p w:rsidR="004B6846" w:rsidRPr="003B6233" w:rsidRDefault="004B6846" w:rsidP="00CC0EB7">
            <w:pPr>
              <w:keepLines w:val="0"/>
              <w:autoSpaceDE w:val="0"/>
              <w:autoSpaceDN w:val="0"/>
              <w:adjustRightInd w:val="0"/>
              <w:rPr>
                <w:rFonts w:eastAsiaTheme="minorEastAsia" w:cs="Calibri"/>
                <w:color w:val="000000"/>
                <w:szCs w:val="17"/>
                <w:lang w:eastAsia="en-AU"/>
              </w:rPr>
            </w:pPr>
            <w:r w:rsidRPr="003B6233">
              <w:rPr>
                <w:rFonts w:eastAsiaTheme="minorEastAsia" w:cs="Calibri"/>
                <w:color w:val="000000"/>
                <w:szCs w:val="17"/>
                <w:lang w:eastAsia="en-AU"/>
              </w:rPr>
              <w:t>Expenses from transactions</w:t>
            </w:r>
          </w:p>
        </w:tc>
        <w:tc>
          <w:tcPr>
            <w:tcW w:w="850" w:type="dxa"/>
            <w:tcBorders>
              <w:top w:val="nil"/>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67.8</w:t>
            </w:r>
          </w:p>
        </w:tc>
        <w:tc>
          <w:tcPr>
            <w:tcW w:w="850" w:type="dxa"/>
            <w:tcBorders>
              <w:top w:val="nil"/>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126.1</w:t>
            </w:r>
          </w:p>
        </w:tc>
        <w:tc>
          <w:tcPr>
            <w:tcW w:w="850" w:type="dxa"/>
            <w:tcBorders>
              <w:top w:val="nil"/>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41.5</w:t>
            </w:r>
          </w:p>
        </w:tc>
        <w:tc>
          <w:tcPr>
            <w:tcW w:w="850" w:type="dxa"/>
            <w:tcBorders>
              <w:top w:val="nil"/>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(16.6)</w:t>
            </w:r>
          </w:p>
        </w:tc>
      </w:tr>
      <w:tr w:rsidR="004B6846" w:rsidRPr="003B6233" w:rsidTr="00532FB4">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6" w:space="0" w:color="auto"/>
            </w:tcBorders>
          </w:tcPr>
          <w:p w:rsidR="004B6846" w:rsidRPr="003B6233" w:rsidRDefault="004B6846" w:rsidP="00CC0EB7">
            <w:pPr>
              <w:keepLines w:val="0"/>
              <w:autoSpaceDE w:val="0"/>
              <w:autoSpaceDN w:val="0"/>
              <w:adjustRightInd w:val="0"/>
              <w:rPr>
                <w:rFonts w:eastAsiaTheme="minorEastAsia" w:cs="Calibri"/>
                <w:b/>
                <w:bCs/>
                <w:color w:val="000000"/>
                <w:szCs w:val="17"/>
                <w:lang w:eastAsia="en-AU"/>
              </w:rPr>
            </w:pPr>
            <w:r w:rsidRPr="003B6233">
              <w:rPr>
                <w:rFonts w:eastAsiaTheme="minorEastAsia" w:cs="Calibri"/>
                <w:b/>
                <w:bCs/>
                <w:color w:val="000000"/>
                <w:szCs w:val="17"/>
                <w:lang w:eastAsia="en-AU"/>
              </w:rPr>
              <w:t>Net result from transactions</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139.6</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210.2</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253.2</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303.5</w:t>
            </w:r>
          </w:p>
        </w:tc>
      </w:tr>
      <w:tr w:rsidR="004B6846" w:rsidRPr="003B6233" w:rsidTr="00532FB4">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6" w:space="0" w:color="auto"/>
            </w:tcBorders>
          </w:tcPr>
          <w:p w:rsidR="004B6846" w:rsidRPr="003B6233" w:rsidRDefault="004B6846" w:rsidP="00CC0EB7">
            <w:pPr>
              <w:keepLines w:val="0"/>
              <w:autoSpaceDE w:val="0"/>
              <w:autoSpaceDN w:val="0"/>
              <w:adjustRightInd w:val="0"/>
              <w:rPr>
                <w:rFonts w:eastAsiaTheme="minorEastAsia" w:cs="Calibri"/>
                <w:color w:val="000000"/>
                <w:szCs w:val="17"/>
                <w:lang w:eastAsia="en-AU"/>
              </w:rPr>
            </w:pPr>
            <w:r w:rsidRPr="003B6233">
              <w:rPr>
                <w:rFonts w:eastAsiaTheme="minorEastAsia" w:cs="Calibri"/>
                <w:color w:val="000000"/>
                <w:szCs w:val="17"/>
                <w:lang w:eastAsia="en-AU"/>
              </w:rPr>
              <w:t>Other economic flows</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2.1</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4.2</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3.4</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1972E2">
              <w:rPr>
                <w:rFonts w:ascii="Calibri" w:hAnsi="Calibri" w:cs="Calibri"/>
                <w:szCs w:val="17"/>
              </w:rPr>
              <w:t>3.1</w:t>
            </w:r>
          </w:p>
        </w:tc>
      </w:tr>
      <w:tr w:rsidR="004B6846" w:rsidRPr="003B6233" w:rsidTr="00532FB4">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6" w:space="0" w:color="auto"/>
            </w:tcBorders>
          </w:tcPr>
          <w:p w:rsidR="004B6846" w:rsidRPr="003B6233" w:rsidRDefault="004B6846" w:rsidP="00CC0EB7">
            <w:pPr>
              <w:keepLines w:val="0"/>
              <w:autoSpaceDE w:val="0"/>
              <w:autoSpaceDN w:val="0"/>
              <w:adjustRightInd w:val="0"/>
              <w:rPr>
                <w:rFonts w:eastAsiaTheme="minorEastAsia" w:cs="Calibri"/>
                <w:b/>
                <w:bCs/>
                <w:color w:val="000000"/>
                <w:szCs w:val="17"/>
                <w:lang w:eastAsia="en-AU"/>
              </w:rPr>
            </w:pPr>
            <w:r w:rsidRPr="003B6233">
              <w:rPr>
                <w:rFonts w:eastAsiaTheme="minorEastAsia" w:cs="Calibri"/>
                <w:b/>
                <w:bCs/>
                <w:color w:val="000000"/>
                <w:szCs w:val="17"/>
                <w:lang w:eastAsia="en-AU"/>
              </w:rPr>
              <w:t>Net result</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141.7</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214.4</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256.6</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306.6</w:t>
            </w:r>
          </w:p>
        </w:tc>
      </w:tr>
      <w:tr w:rsidR="004B6846" w:rsidRPr="003B6233" w:rsidTr="00532FB4">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6" w:space="0" w:color="auto"/>
            </w:tcBorders>
          </w:tcPr>
          <w:p w:rsidR="004B6846" w:rsidRPr="003B6233" w:rsidRDefault="004B6846" w:rsidP="00CC0EB7">
            <w:pPr>
              <w:keepLines w:val="0"/>
              <w:autoSpaceDE w:val="0"/>
              <w:autoSpaceDN w:val="0"/>
              <w:adjustRightInd w:val="0"/>
              <w:rPr>
                <w:rFonts w:eastAsiaTheme="minorEastAsia" w:cs="Calibri"/>
                <w:b/>
                <w:bCs/>
                <w:color w:val="000000"/>
                <w:szCs w:val="17"/>
                <w:lang w:eastAsia="en-AU"/>
              </w:rPr>
            </w:pPr>
            <w:r w:rsidRPr="003B6233">
              <w:rPr>
                <w:rFonts w:eastAsiaTheme="minorEastAsia" w:cs="Calibri"/>
                <w:b/>
                <w:bCs/>
                <w:color w:val="000000"/>
                <w:szCs w:val="17"/>
                <w:lang w:eastAsia="en-AU"/>
              </w:rPr>
              <w:t>Net debt (cumulative)</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(141.7)</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(358.5)</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(617.5)</w:t>
            </w:r>
          </w:p>
        </w:tc>
        <w:tc>
          <w:tcPr>
            <w:tcW w:w="850" w:type="dxa"/>
            <w:tcBorders>
              <w:top w:val="single" w:sz="6" w:space="0" w:color="auto"/>
              <w:left w:val="nil"/>
              <w:bottom w:val="single" w:sz="6" w:space="0" w:color="auto"/>
              <w:right w:val="nil"/>
            </w:tcBorders>
            <w:shd w:val="clear" w:color="000000" w:fill="FFFFFF"/>
            <w:vAlign w:val="bottom"/>
          </w:tcPr>
          <w:p w:rsidR="004B6846" w:rsidRPr="001972E2"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1972E2">
              <w:rPr>
                <w:rFonts w:ascii="Calibri" w:hAnsi="Calibri" w:cs="Calibri"/>
                <w:b/>
                <w:bCs/>
                <w:szCs w:val="17"/>
              </w:rPr>
              <w:t>(926.5)</w:t>
            </w:r>
          </w:p>
        </w:tc>
      </w:tr>
      <w:tr w:rsidR="004B6846" w:rsidRPr="0015723C"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rsidR="004B6846" w:rsidRPr="0015723C" w:rsidRDefault="004B6846" w:rsidP="00CC0EB7">
            <w:pPr>
              <w:keepLines w:val="0"/>
              <w:autoSpaceDE w:val="0"/>
              <w:autoSpaceDN w:val="0"/>
              <w:adjustRightInd w:val="0"/>
              <w:rPr>
                <w:rFonts w:eastAsiaTheme="minorEastAsia" w:cs="Calibri"/>
                <w:bCs/>
                <w:color w:val="000000"/>
                <w:szCs w:val="17"/>
                <w:lang w:eastAsia="en-AU"/>
              </w:rPr>
            </w:pPr>
            <w:r w:rsidRPr="0015723C">
              <w:rPr>
                <w:rFonts w:eastAsiaTheme="minorEastAsia" w:cs="Calibri"/>
                <w:bCs/>
                <w:color w:val="000000"/>
                <w:szCs w:val="17"/>
                <w:lang w:eastAsia="en-AU"/>
              </w:rPr>
              <w:t>Net debt to GSP ratio (percentage point difference)</w:t>
            </w:r>
          </w:p>
        </w:tc>
        <w:tc>
          <w:tcPr>
            <w:tcW w:w="850" w:type="dxa"/>
            <w:tcBorders>
              <w:top w:val="single" w:sz="6" w:space="0" w:color="auto"/>
              <w:bottom w:val="single" w:sz="12" w:space="0" w:color="auto"/>
            </w:tcBorders>
            <w:shd w:val="clear" w:color="auto" w:fill="auto"/>
            <w:vAlign w:val="center"/>
          </w:tcPr>
          <w:p w:rsidR="004B6846" w:rsidRPr="0015723C" w:rsidRDefault="004B6846" w:rsidP="00CC0EB7">
            <w:pPr>
              <w:ind w:firstLineChars="100" w:firstLine="171"/>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15723C">
              <w:rPr>
                <w:rFonts w:ascii="Calibri" w:hAnsi="Calibri" w:cs="Calibri"/>
                <w:bCs/>
                <w:color w:val="000000"/>
                <w:szCs w:val="17"/>
              </w:rPr>
              <w:t>(0.04)</w:t>
            </w:r>
          </w:p>
        </w:tc>
        <w:tc>
          <w:tcPr>
            <w:tcW w:w="850" w:type="dxa"/>
            <w:tcBorders>
              <w:top w:val="single" w:sz="6" w:space="0" w:color="auto"/>
              <w:bottom w:val="single" w:sz="12" w:space="0" w:color="auto"/>
            </w:tcBorders>
            <w:shd w:val="clear" w:color="auto" w:fill="auto"/>
            <w:vAlign w:val="center"/>
          </w:tcPr>
          <w:p w:rsidR="004B6846" w:rsidRPr="0015723C" w:rsidRDefault="004B6846" w:rsidP="00CC0EB7">
            <w:pPr>
              <w:ind w:firstLineChars="100" w:firstLine="171"/>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15723C">
              <w:rPr>
                <w:rFonts w:ascii="Calibri" w:hAnsi="Calibri" w:cs="Calibri"/>
                <w:bCs/>
                <w:color w:val="000000"/>
                <w:szCs w:val="17"/>
              </w:rPr>
              <w:t>(0.10)</w:t>
            </w:r>
          </w:p>
        </w:tc>
        <w:tc>
          <w:tcPr>
            <w:tcW w:w="850" w:type="dxa"/>
            <w:tcBorders>
              <w:top w:val="single" w:sz="6" w:space="0" w:color="auto"/>
              <w:bottom w:val="single" w:sz="12" w:space="0" w:color="auto"/>
            </w:tcBorders>
            <w:shd w:val="clear" w:color="auto" w:fill="auto"/>
            <w:vAlign w:val="center"/>
          </w:tcPr>
          <w:p w:rsidR="004B6846" w:rsidRPr="0015723C" w:rsidRDefault="004B6846" w:rsidP="00CC0EB7">
            <w:pPr>
              <w:ind w:firstLineChars="100" w:firstLine="171"/>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15723C">
              <w:rPr>
                <w:rFonts w:ascii="Calibri" w:hAnsi="Calibri" w:cs="Calibri"/>
                <w:bCs/>
                <w:color w:val="000000"/>
                <w:szCs w:val="17"/>
              </w:rPr>
              <w:t>(0.15)</w:t>
            </w:r>
          </w:p>
        </w:tc>
        <w:tc>
          <w:tcPr>
            <w:tcW w:w="850" w:type="dxa"/>
            <w:tcBorders>
              <w:top w:val="single" w:sz="6" w:space="0" w:color="auto"/>
              <w:bottom w:val="single" w:sz="12" w:space="0" w:color="auto"/>
            </w:tcBorders>
            <w:shd w:val="clear" w:color="auto" w:fill="auto"/>
            <w:vAlign w:val="center"/>
          </w:tcPr>
          <w:p w:rsidR="004B6846" w:rsidRPr="0015723C" w:rsidRDefault="004B6846" w:rsidP="00CC0EB7">
            <w:pPr>
              <w:ind w:firstLineChars="100" w:firstLine="171"/>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15723C">
              <w:rPr>
                <w:rFonts w:ascii="Calibri" w:hAnsi="Calibri" w:cs="Calibri"/>
                <w:bCs/>
                <w:color w:val="000000"/>
                <w:szCs w:val="17"/>
              </w:rPr>
              <w:t>(0.21)</w:t>
            </w:r>
          </w:p>
        </w:tc>
      </w:tr>
    </w:tbl>
    <w:bookmarkEnd w:id="102"/>
    <w:p w:rsidR="004B6846" w:rsidRDefault="004B6846" w:rsidP="00CC0EB7">
      <w:pPr>
        <w:pStyle w:val="Source"/>
      </w:pPr>
      <w:r w:rsidRPr="004103B7">
        <w:t>Source: Department of Treasury and Finance</w:t>
      </w:r>
    </w:p>
    <w:p w:rsidR="004B6846" w:rsidRDefault="004B6846" w:rsidP="00CC0EB7">
      <w:r>
        <w:t>Government expenses are marginally higher under the scenario, reflecting higher public sector employment. However, these effects largely unwind by the last year of the forward estimates, reflecting the pass</w:t>
      </w:r>
      <w:r>
        <w:noBreakHyphen/>
        <w:t>through of more modest economy</w:t>
      </w:r>
      <w:r>
        <w:noBreakHyphen/>
        <w:t xml:space="preserve">wide wages growth. These impacts reflect the assumed relationship between private and public sector employment and wages in the model, as discussed in the lower household consumption and dwelling investment scenario. </w:t>
      </w:r>
      <w:r w:rsidRPr="00175A3E">
        <w:t xml:space="preserve">Overall, the increase in revenue more than offsets the immediate rise in expenses, boosting the net result </w:t>
      </w:r>
      <w:r>
        <w:t xml:space="preserve">across all four years of the budget and forward estimates </w:t>
      </w:r>
      <w:r w:rsidRPr="00175A3E">
        <w:t>and leading to a fall in the stock of net debt.</w:t>
      </w:r>
    </w:p>
    <w:p w:rsidR="004B6846" w:rsidRPr="00BB71B2" w:rsidRDefault="004B6846" w:rsidP="00CC0EB7">
      <w:pPr>
        <w:pStyle w:val="Heading10"/>
      </w:pPr>
      <w:bookmarkStart w:id="103" w:name="_Toc512629773"/>
      <w:bookmarkStart w:id="104" w:name="_Toc531884969"/>
      <w:r w:rsidRPr="00BB71B2">
        <w:t>Sensitivity to independent variations in major economic parameters</w:t>
      </w:r>
      <w:bookmarkEnd w:id="103"/>
      <w:bookmarkEnd w:id="104"/>
    </w:p>
    <w:p w:rsidR="004B6846" w:rsidRDefault="004B6846" w:rsidP="00CC0EB7">
      <w:r w:rsidRPr="00972577">
        <w:t xml:space="preserve">Table </w:t>
      </w:r>
      <w:r>
        <w:t>D.</w:t>
      </w:r>
      <w:r w:rsidRPr="00972577">
        <w:t>5 presents the sensitivity of financial aggregates where the levels of key economic parameters are one per cent (or</w:t>
      </w:r>
      <w:r>
        <w:t>, for interest rates,</w:t>
      </w:r>
      <w:r w:rsidRPr="00972577">
        <w:t xml:space="preserve"> one percentage point) above the forecast for each year of the budget and forward estimates, holding all else constant. The impacts shown are broadly symmetric; that is, the estimated fiscal impacts would apply approximately equally in the opposite direction where there is a decrease</w:t>
      </w:r>
      <w:r>
        <w:t xml:space="preserve"> in the parameter</w:t>
      </w:r>
      <w:r w:rsidRPr="00972577">
        <w:t>. Differences may arise to the extent that the impact on income tax equivalent income may not be symmetric because that line item is subject to a floor of zero</w:t>
      </w:r>
      <w:r>
        <w:t>, and the impact on dividends may be affected by some entities facing caps on the share of profits that can be returned to the general government sector</w:t>
      </w:r>
      <w:r w:rsidRPr="00972577">
        <w:t>.</w:t>
      </w:r>
    </w:p>
    <w:p w:rsidR="004B6846" w:rsidRDefault="004B6846" w:rsidP="00CC0EB7">
      <w:pPr>
        <w:pStyle w:val="TableHeading"/>
      </w:pPr>
      <w:r>
        <w:br w:type="page"/>
      </w:r>
    </w:p>
    <w:p w:rsidR="004B6846" w:rsidRPr="003D4BA0" w:rsidRDefault="004B6846" w:rsidP="00CC0EB7">
      <w:pPr>
        <w:pStyle w:val="TableHeading"/>
      </w:pPr>
      <w:r w:rsidRPr="00B720EB">
        <w:lastRenderedPageBreak/>
        <w:t xml:space="preserve">Table </w:t>
      </w:r>
      <w:r>
        <w:t>D.</w:t>
      </w:r>
      <w:r w:rsidRPr="00B720EB">
        <w:t>5:</w:t>
      </w:r>
      <w:r w:rsidRPr="00B720EB">
        <w:tab/>
        <w:t xml:space="preserve">Sensitivity of key fiscal aggregates to selected indicators being </w:t>
      </w:r>
      <w:r>
        <w:br/>
      </w:r>
      <w:r w:rsidRPr="00B720EB">
        <w:t>1 per cent higher than expected from 2018-19</w:t>
      </w:r>
      <w:r w:rsidRPr="00B720EB">
        <w:rPr>
          <w:vertAlign w:val="superscript"/>
        </w:rPr>
        <w:t xml:space="preserve"> (a)(b)(c)(d)</w:t>
      </w:r>
      <w:r>
        <w:rPr>
          <w:vertAlign w:val="superscript"/>
        </w:rPr>
        <w:t xml:space="preserve"> </w:t>
      </w:r>
      <w:r>
        <w:rPr>
          <w:vertAlign w:val="superscript"/>
        </w:rPr>
        <w:tab/>
      </w:r>
      <w:r w:rsidRPr="00B720EB">
        <w:t>($</w:t>
      </w:r>
      <w:r>
        <w:t> million)</w:t>
      </w:r>
    </w:p>
    <w:tbl>
      <w:tblPr>
        <w:tblStyle w:val="DTFTable"/>
        <w:tblW w:w="7760" w:type="dxa"/>
        <w:tblLayout w:type="fixed"/>
        <w:tblLook w:val="06E0" w:firstRow="1" w:lastRow="1" w:firstColumn="1" w:lastColumn="0" w:noHBand="1" w:noVBand="1"/>
      </w:tblPr>
      <w:tblGrid>
        <w:gridCol w:w="4362"/>
        <w:gridCol w:w="849"/>
        <w:gridCol w:w="849"/>
        <w:gridCol w:w="850"/>
        <w:gridCol w:w="850"/>
      </w:tblGrid>
      <w:tr w:rsidR="00CC0EB7" w:rsidRPr="007C6619" w:rsidTr="00065FD3">
        <w:trPr>
          <w:cnfStyle w:val="100000000000" w:firstRow="1" w:lastRow="0" w:firstColumn="0" w:lastColumn="0" w:oddVBand="0" w:evenVBand="0" w:oddHBand="0" w:evenHBand="0" w:firstRowFirstColumn="0" w:firstRowLastColumn="0" w:lastRowFirstColumn="0" w:lastRowLastColumn="0"/>
          <w:trHeight w:val="101"/>
          <w:tblHeader/>
        </w:trPr>
        <w:tc>
          <w:tcPr>
            <w:cnfStyle w:val="001000000000" w:firstRow="0" w:lastRow="0" w:firstColumn="1" w:lastColumn="0" w:oddVBand="0" w:evenVBand="0" w:oddHBand="0" w:evenHBand="0" w:firstRowFirstColumn="0" w:firstRowLastColumn="0" w:lastRowFirstColumn="0" w:lastRowLastColumn="0"/>
            <w:tcW w:w="4362" w:type="dxa"/>
          </w:tcPr>
          <w:p w:rsidR="00CC0EB7" w:rsidRPr="007C6619" w:rsidRDefault="00CC0EB7" w:rsidP="00CC0EB7">
            <w:pPr>
              <w:keepLines w:val="0"/>
              <w:autoSpaceDE w:val="0"/>
              <w:autoSpaceDN w:val="0"/>
              <w:adjustRightInd w:val="0"/>
              <w:ind w:left="0" w:firstLine="0"/>
            </w:pPr>
            <w:bookmarkStart w:id="105" w:name="_Hlk531180169"/>
            <w:bookmarkStart w:id="106" w:name="_Hlk531180213"/>
            <w:r w:rsidRPr="007C6619">
              <w:rPr>
                <w:rFonts w:eastAsiaTheme="minorEastAsia" w:cs="Calibri"/>
                <w:iCs/>
                <w:color w:val="FFFFFF"/>
                <w:szCs w:val="17"/>
                <w:lang w:eastAsia="en-AU"/>
              </w:rPr>
              <w:t xml:space="preserve"> </w:t>
            </w:r>
            <w:r w:rsidRPr="007C6619">
              <w:rPr>
                <w:rFonts w:eastAsiaTheme="minorEastAsia" w:cs="Calibri"/>
                <w:color w:val="FFFFFF"/>
                <w:szCs w:val="17"/>
                <w:lang w:eastAsia="en-AU"/>
              </w:rPr>
              <w:t xml:space="preserve"> </w:t>
            </w:r>
          </w:p>
        </w:tc>
        <w:tc>
          <w:tcPr>
            <w:tcW w:w="849" w:type="dxa"/>
          </w:tcPr>
          <w:p w:rsidR="00CC0EB7" w:rsidRPr="007C6619"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2018-19</w:t>
            </w:r>
            <w:r>
              <w:rPr>
                <w:rFonts w:eastAsiaTheme="minorEastAsia" w:cs="Calibri"/>
                <w:iCs/>
                <w:color w:val="FFFFFF"/>
                <w:szCs w:val="17"/>
                <w:lang w:eastAsia="en-AU"/>
              </w:rPr>
              <w:br/>
            </w:r>
            <w:r w:rsidRPr="007C6619">
              <w:rPr>
                <w:rFonts w:eastAsiaTheme="minorEastAsia" w:cs="Calibri"/>
                <w:iCs/>
                <w:color w:val="FFFFFF"/>
                <w:szCs w:val="17"/>
                <w:lang w:eastAsia="en-AU"/>
              </w:rPr>
              <w:t>estimate</w:t>
            </w:r>
          </w:p>
        </w:tc>
        <w:tc>
          <w:tcPr>
            <w:tcW w:w="849" w:type="dxa"/>
          </w:tcPr>
          <w:p w:rsidR="00CC0EB7" w:rsidRPr="007C6619"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2019-20</w:t>
            </w:r>
            <w:r>
              <w:rPr>
                <w:rFonts w:eastAsiaTheme="minorEastAsia" w:cs="Calibri"/>
                <w:iCs/>
                <w:color w:val="FFFFFF"/>
                <w:szCs w:val="17"/>
                <w:lang w:eastAsia="en-AU"/>
              </w:rPr>
              <w:br/>
            </w:r>
            <w:r w:rsidRPr="007C6619">
              <w:rPr>
                <w:rFonts w:eastAsiaTheme="minorEastAsia" w:cs="Calibri"/>
                <w:iCs/>
                <w:color w:val="FFFFFF"/>
                <w:szCs w:val="17"/>
                <w:lang w:eastAsia="en-AU"/>
              </w:rPr>
              <w:t>estimate</w:t>
            </w:r>
          </w:p>
        </w:tc>
        <w:tc>
          <w:tcPr>
            <w:tcW w:w="850" w:type="dxa"/>
          </w:tcPr>
          <w:p w:rsidR="00CC0EB7" w:rsidRPr="007C6619"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2020-21</w:t>
            </w:r>
            <w:r>
              <w:rPr>
                <w:rFonts w:eastAsiaTheme="minorEastAsia" w:cs="Calibri"/>
                <w:iCs/>
                <w:color w:val="FFFFFF"/>
                <w:szCs w:val="17"/>
                <w:lang w:eastAsia="en-AU"/>
              </w:rPr>
              <w:br/>
            </w:r>
            <w:r w:rsidRPr="007C6619">
              <w:rPr>
                <w:rFonts w:eastAsiaTheme="minorEastAsia" w:cs="Calibri"/>
                <w:iCs/>
                <w:color w:val="FFFFFF"/>
                <w:szCs w:val="17"/>
                <w:lang w:eastAsia="en-AU"/>
              </w:rPr>
              <w:t>estimate</w:t>
            </w:r>
          </w:p>
        </w:tc>
        <w:tc>
          <w:tcPr>
            <w:tcW w:w="850" w:type="dxa"/>
          </w:tcPr>
          <w:p w:rsidR="00CC0EB7" w:rsidRPr="007C6619"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2021-22</w:t>
            </w:r>
            <w:r>
              <w:rPr>
                <w:rFonts w:eastAsiaTheme="minorEastAsia" w:cs="Calibri"/>
                <w:iCs/>
                <w:color w:val="FFFFFF"/>
                <w:szCs w:val="17"/>
                <w:lang w:eastAsia="en-AU"/>
              </w:rPr>
              <w:br/>
            </w:r>
            <w:r w:rsidRPr="007C6619">
              <w:rPr>
                <w:rFonts w:eastAsiaTheme="minorEastAsia" w:cs="Calibri"/>
                <w:iCs/>
                <w:color w:val="FFFFFF"/>
                <w:szCs w:val="17"/>
                <w:lang w:eastAsia="en-AU"/>
              </w:rPr>
              <w:t>estimate</w:t>
            </w:r>
          </w:p>
        </w:tc>
      </w:tr>
      <w:tr w:rsidR="004B6846" w:rsidRPr="007C6619" w:rsidTr="00CC0EB7">
        <w:tc>
          <w:tcPr>
            <w:cnfStyle w:val="001000000000" w:firstRow="0" w:lastRow="0" w:firstColumn="1" w:lastColumn="0" w:oddVBand="0" w:evenVBand="0" w:oddHBand="0" w:evenHBand="0" w:firstRowFirstColumn="0" w:firstRowLastColumn="0" w:lastRowFirstColumn="0" w:lastRowLastColumn="0"/>
            <w:tcW w:w="4362" w:type="dxa"/>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GSP</w:t>
            </w:r>
          </w:p>
        </w:tc>
        <w:tc>
          <w:tcPr>
            <w:tcW w:w="849" w:type="dxa"/>
          </w:tcPr>
          <w:p w:rsidR="004B6846" w:rsidRPr="007C661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7C6619">
              <w:rPr>
                <w:rFonts w:eastAsiaTheme="minorEastAsia" w:cs="Calibri"/>
                <w:color w:val="000000"/>
                <w:szCs w:val="17"/>
                <w:lang w:eastAsia="en-AU"/>
              </w:rPr>
              <w:t xml:space="preserve"> </w:t>
            </w:r>
          </w:p>
        </w:tc>
        <w:tc>
          <w:tcPr>
            <w:tcW w:w="849" w:type="dxa"/>
          </w:tcPr>
          <w:p w:rsidR="004B6846" w:rsidRPr="007C661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7C6619">
              <w:rPr>
                <w:rFonts w:eastAsiaTheme="minorEastAsia" w:cs="Calibri"/>
                <w:color w:val="000000"/>
                <w:szCs w:val="17"/>
                <w:lang w:eastAsia="en-AU"/>
              </w:rPr>
              <w:t xml:space="preserve"> </w:t>
            </w:r>
          </w:p>
        </w:tc>
        <w:tc>
          <w:tcPr>
            <w:tcW w:w="850" w:type="dxa"/>
          </w:tcPr>
          <w:p w:rsidR="004B6846" w:rsidRPr="007C661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7C6619">
              <w:rPr>
                <w:rFonts w:eastAsiaTheme="minorEastAsia" w:cs="Calibri"/>
                <w:color w:val="000000"/>
                <w:szCs w:val="17"/>
                <w:lang w:eastAsia="en-AU"/>
              </w:rPr>
              <w:t xml:space="preserve"> </w:t>
            </w:r>
          </w:p>
        </w:tc>
        <w:tc>
          <w:tcPr>
            <w:tcW w:w="850" w:type="dxa"/>
          </w:tcPr>
          <w:p w:rsidR="004B6846" w:rsidRPr="007C661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7C6619">
              <w:rPr>
                <w:rFonts w:eastAsiaTheme="minorEastAsia" w:cs="Calibri"/>
                <w:color w:val="000000"/>
                <w:szCs w:val="17"/>
                <w:lang w:eastAsia="en-AU"/>
              </w:rPr>
              <w:t xml:space="preserve"> </w:t>
            </w: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bottom w:val="nil"/>
            </w:tcBorders>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Borders>
              <w:top w:val="nil"/>
              <w:left w:val="nil"/>
              <w:bottom w:val="nil"/>
              <w:right w:val="nil"/>
            </w:tcBorders>
            <w:shd w:val="clear" w:color="000000" w:fill="FFFFFF"/>
            <w:vAlign w:val="bottom"/>
          </w:tcPr>
          <w:p w:rsidR="004B6846" w:rsidRPr="009C0718" w:rsidRDefault="004B6846" w:rsidP="00CC0EB7">
            <w:pPr>
              <w:keepLines w:val="0"/>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115</w:t>
            </w:r>
          </w:p>
        </w:tc>
        <w:tc>
          <w:tcPr>
            <w:tcW w:w="849"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121</w:t>
            </w:r>
          </w:p>
        </w:tc>
        <w:tc>
          <w:tcPr>
            <w:tcW w:w="850"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126</w:t>
            </w:r>
          </w:p>
        </w:tc>
        <w:tc>
          <w:tcPr>
            <w:tcW w:w="850"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130</w:t>
            </w: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auto"/>
            </w:tcBorders>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w:t>
            </w:r>
          </w:p>
        </w:tc>
        <w:tc>
          <w:tcPr>
            <w:tcW w:w="849"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(4)</w:t>
            </w:r>
          </w:p>
        </w:tc>
        <w:tc>
          <w:tcPr>
            <w:tcW w:w="850"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(9)</w:t>
            </w:r>
          </w:p>
        </w:tc>
        <w:tc>
          <w:tcPr>
            <w:tcW w:w="850"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(15)</w:t>
            </w: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bottom w:val="single" w:sz="6"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114</w:t>
            </w:r>
          </w:p>
        </w:tc>
        <w:tc>
          <w:tcPr>
            <w:tcW w:w="849"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126</w:t>
            </w:r>
          </w:p>
        </w:tc>
        <w:tc>
          <w:tcPr>
            <w:tcW w:w="850"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135</w:t>
            </w:r>
          </w:p>
        </w:tc>
        <w:tc>
          <w:tcPr>
            <w:tcW w:w="850"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144</w:t>
            </w:r>
          </w:p>
        </w:tc>
      </w:tr>
      <w:tr w:rsidR="004B6846" w:rsidRPr="007C6619" w:rsidTr="00CC0EB7">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bottom w:val="single" w:sz="12"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debt</w:t>
            </w:r>
          </w:p>
        </w:tc>
        <w:tc>
          <w:tcPr>
            <w:tcW w:w="849"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(114)</w:t>
            </w:r>
          </w:p>
        </w:tc>
        <w:tc>
          <w:tcPr>
            <w:tcW w:w="849"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(239)</w:t>
            </w:r>
          </w:p>
        </w:tc>
        <w:tc>
          <w:tcPr>
            <w:tcW w:w="850"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(375)</w:t>
            </w:r>
          </w:p>
        </w:tc>
        <w:tc>
          <w:tcPr>
            <w:tcW w:w="850"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(519)</w:t>
            </w:r>
          </w:p>
        </w:tc>
      </w:tr>
      <w:tr w:rsidR="004B6846" w:rsidRPr="007C6619" w:rsidTr="00CC0EB7">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auto"/>
            </w:tcBorders>
          </w:tcPr>
          <w:p w:rsidR="004B6846" w:rsidRPr="007C6619" w:rsidRDefault="004B6846" w:rsidP="00CC0EB7">
            <w:pPr>
              <w:keepLines w:val="0"/>
              <w:autoSpaceDE w:val="0"/>
              <w:autoSpaceDN w:val="0"/>
              <w:adjustRightInd w:val="0"/>
              <w:rPr>
                <w:rFonts w:eastAsiaTheme="minorEastAsia" w:cs="Calibri"/>
                <w:b/>
                <w:bCs/>
                <w:color w:val="000000"/>
                <w:lang w:eastAsia="en-AU"/>
              </w:rPr>
            </w:pPr>
            <w:r w:rsidRPr="007C6619">
              <w:rPr>
                <w:rFonts w:eastAsiaTheme="minorEastAsia" w:cs="Calibri"/>
                <w:b/>
                <w:bCs/>
                <w:color w:val="000000"/>
                <w:szCs w:val="17"/>
                <w:lang w:eastAsia="en-AU"/>
              </w:rPr>
              <w:t>Employment</w:t>
            </w:r>
            <w:r w:rsidRPr="007C6619">
              <w:rPr>
                <w:rFonts w:eastAsiaTheme="minorEastAsia" w:cs="Calibri"/>
                <w:b/>
                <w:bCs/>
                <w:color w:val="000000"/>
                <w:lang w:eastAsia="en-AU"/>
              </w:rPr>
              <w:t xml:space="preserve"> </w:t>
            </w:r>
            <w:r w:rsidRPr="007C6619">
              <w:rPr>
                <w:rFonts w:eastAsiaTheme="minorEastAsia" w:cs="Calibri"/>
                <w:b/>
                <w:bCs/>
                <w:color w:val="000000"/>
                <w:vertAlign w:val="superscript"/>
                <w:lang w:eastAsia="en-AU"/>
              </w:rPr>
              <w:t>(e)</w:t>
            </w:r>
            <w:r w:rsidRPr="007C6619">
              <w:rPr>
                <w:rFonts w:eastAsiaTheme="minorEastAsia" w:cs="Calibri"/>
                <w:b/>
                <w:bCs/>
                <w:color w:val="000000"/>
                <w:lang w:eastAsia="en-AU"/>
              </w:rPr>
              <w:t xml:space="preserve"> </w:t>
            </w:r>
          </w:p>
        </w:tc>
        <w:tc>
          <w:tcPr>
            <w:tcW w:w="849"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p>
        </w:tc>
        <w:tc>
          <w:tcPr>
            <w:tcW w:w="849"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850"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850"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bottom w:val="nil"/>
            </w:tcBorders>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Borders>
              <w:top w:val="nil"/>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80</w:t>
            </w:r>
          </w:p>
        </w:tc>
        <w:tc>
          <w:tcPr>
            <w:tcW w:w="849" w:type="dxa"/>
            <w:tcBorders>
              <w:top w:val="nil"/>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84</w:t>
            </w:r>
          </w:p>
        </w:tc>
        <w:tc>
          <w:tcPr>
            <w:tcW w:w="850" w:type="dxa"/>
            <w:tcBorders>
              <w:top w:val="nil"/>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88</w:t>
            </w:r>
          </w:p>
        </w:tc>
        <w:tc>
          <w:tcPr>
            <w:tcW w:w="850" w:type="dxa"/>
            <w:tcBorders>
              <w:top w:val="nil"/>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93</w:t>
            </w: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auto"/>
            </w:tcBorders>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top w:val="nil"/>
              <w:left w:val="nil"/>
              <w:bottom w:val="single" w:sz="6"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254</w:t>
            </w:r>
          </w:p>
        </w:tc>
        <w:tc>
          <w:tcPr>
            <w:tcW w:w="849" w:type="dxa"/>
            <w:tcBorders>
              <w:top w:val="nil"/>
              <w:left w:val="nil"/>
              <w:bottom w:val="single" w:sz="6"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276</w:t>
            </w:r>
          </w:p>
        </w:tc>
        <w:tc>
          <w:tcPr>
            <w:tcW w:w="850" w:type="dxa"/>
            <w:tcBorders>
              <w:top w:val="nil"/>
              <w:left w:val="nil"/>
              <w:bottom w:val="single" w:sz="6"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294</w:t>
            </w:r>
          </w:p>
        </w:tc>
        <w:tc>
          <w:tcPr>
            <w:tcW w:w="850" w:type="dxa"/>
            <w:tcBorders>
              <w:top w:val="nil"/>
              <w:left w:val="nil"/>
              <w:bottom w:val="single" w:sz="6"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313</w:t>
            </w: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bottom w:val="single" w:sz="6"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6" w:space="0" w:color="auto"/>
              <w:left w:val="nil"/>
              <w:bottom w:val="single" w:sz="6"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(174)</w:t>
            </w:r>
          </w:p>
        </w:tc>
        <w:tc>
          <w:tcPr>
            <w:tcW w:w="849" w:type="dxa"/>
            <w:tcBorders>
              <w:top w:val="single" w:sz="6" w:space="0" w:color="auto"/>
              <w:left w:val="nil"/>
              <w:bottom w:val="single" w:sz="6"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(192)</w:t>
            </w:r>
          </w:p>
        </w:tc>
        <w:tc>
          <w:tcPr>
            <w:tcW w:w="850" w:type="dxa"/>
            <w:tcBorders>
              <w:top w:val="single" w:sz="6" w:space="0" w:color="auto"/>
              <w:left w:val="nil"/>
              <w:bottom w:val="single" w:sz="6"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(206)</w:t>
            </w:r>
          </w:p>
        </w:tc>
        <w:tc>
          <w:tcPr>
            <w:tcW w:w="850" w:type="dxa"/>
            <w:tcBorders>
              <w:top w:val="single" w:sz="6" w:space="0" w:color="auto"/>
              <w:left w:val="nil"/>
              <w:bottom w:val="single" w:sz="6"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(221)</w:t>
            </w:r>
          </w:p>
        </w:tc>
      </w:tr>
      <w:tr w:rsidR="004B6846" w:rsidRPr="007C6619" w:rsidTr="00CC0EB7">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bottom w:val="single" w:sz="12"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debt</w:t>
            </w:r>
          </w:p>
        </w:tc>
        <w:tc>
          <w:tcPr>
            <w:tcW w:w="849" w:type="dxa"/>
            <w:tcBorders>
              <w:top w:val="single" w:sz="6" w:space="0" w:color="auto"/>
              <w:left w:val="nil"/>
              <w:bottom w:val="single" w:sz="12"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174</w:t>
            </w:r>
          </w:p>
        </w:tc>
        <w:tc>
          <w:tcPr>
            <w:tcW w:w="849" w:type="dxa"/>
            <w:tcBorders>
              <w:top w:val="single" w:sz="6" w:space="0" w:color="auto"/>
              <w:left w:val="nil"/>
              <w:bottom w:val="single" w:sz="12"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366</w:t>
            </w:r>
          </w:p>
        </w:tc>
        <w:tc>
          <w:tcPr>
            <w:tcW w:w="850" w:type="dxa"/>
            <w:tcBorders>
              <w:top w:val="single" w:sz="6" w:space="0" w:color="auto"/>
              <w:left w:val="nil"/>
              <w:bottom w:val="single" w:sz="12"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572</w:t>
            </w:r>
          </w:p>
        </w:tc>
        <w:tc>
          <w:tcPr>
            <w:tcW w:w="850" w:type="dxa"/>
            <w:tcBorders>
              <w:top w:val="single" w:sz="6" w:space="0" w:color="auto"/>
              <w:left w:val="nil"/>
              <w:bottom w:val="single" w:sz="12"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793</w:t>
            </w:r>
          </w:p>
        </w:tc>
      </w:tr>
      <w:tr w:rsidR="004B6846" w:rsidRPr="007C6619" w:rsidTr="00CC0EB7">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auto"/>
            </w:tcBorders>
          </w:tcPr>
          <w:p w:rsidR="004B6846" w:rsidRPr="007C6619" w:rsidRDefault="004B6846" w:rsidP="00CC0EB7">
            <w:pPr>
              <w:keepLines w:val="0"/>
              <w:autoSpaceDE w:val="0"/>
              <w:autoSpaceDN w:val="0"/>
              <w:adjustRightInd w:val="0"/>
              <w:rPr>
                <w:rFonts w:eastAsiaTheme="minorEastAsia" w:cs="Calibri"/>
                <w:b/>
                <w:bCs/>
                <w:color w:val="000000"/>
                <w:lang w:eastAsia="en-AU"/>
              </w:rPr>
            </w:pPr>
            <w:r w:rsidRPr="007C6619">
              <w:rPr>
                <w:rFonts w:eastAsiaTheme="minorEastAsia" w:cs="Calibri"/>
                <w:b/>
                <w:bCs/>
                <w:color w:val="000000"/>
                <w:szCs w:val="17"/>
                <w:lang w:eastAsia="en-AU"/>
              </w:rPr>
              <w:t xml:space="preserve">Consumer prices </w:t>
            </w:r>
            <w:r w:rsidRPr="007C6619">
              <w:rPr>
                <w:rFonts w:eastAsiaTheme="minorEastAsia" w:cs="Calibri"/>
                <w:b/>
                <w:bCs/>
                <w:color w:val="000000"/>
                <w:vertAlign w:val="superscript"/>
                <w:lang w:eastAsia="en-AU"/>
              </w:rPr>
              <w:t>(f)</w:t>
            </w:r>
          </w:p>
        </w:tc>
        <w:tc>
          <w:tcPr>
            <w:tcW w:w="849"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p>
        </w:tc>
        <w:tc>
          <w:tcPr>
            <w:tcW w:w="849"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850"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850"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bottom w:val="nil"/>
            </w:tcBorders>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170</w:t>
            </w:r>
          </w:p>
        </w:tc>
        <w:tc>
          <w:tcPr>
            <w:tcW w:w="849"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261</w:t>
            </w:r>
          </w:p>
        </w:tc>
        <w:tc>
          <w:tcPr>
            <w:tcW w:w="850"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254</w:t>
            </w:r>
          </w:p>
        </w:tc>
        <w:tc>
          <w:tcPr>
            <w:tcW w:w="850"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278</w:t>
            </w: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auto"/>
            </w:tcBorders>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219</w:t>
            </w:r>
          </w:p>
        </w:tc>
        <w:tc>
          <w:tcPr>
            <w:tcW w:w="849"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216</w:t>
            </w:r>
          </w:p>
        </w:tc>
        <w:tc>
          <w:tcPr>
            <w:tcW w:w="850"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211</w:t>
            </w:r>
          </w:p>
        </w:tc>
        <w:tc>
          <w:tcPr>
            <w:tcW w:w="850"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214</w:t>
            </w: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bottom w:val="single" w:sz="6"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(49)</w:t>
            </w:r>
          </w:p>
        </w:tc>
        <w:tc>
          <w:tcPr>
            <w:tcW w:w="849"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45</w:t>
            </w:r>
          </w:p>
        </w:tc>
        <w:tc>
          <w:tcPr>
            <w:tcW w:w="850"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43</w:t>
            </w:r>
          </w:p>
        </w:tc>
        <w:tc>
          <w:tcPr>
            <w:tcW w:w="850"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64</w:t>
            </w:r>
          </w:p>
        </w:tc>
      </w:tr>
      <w:tr w:rsidR="004B6846" w:rsidRPr="007C6619" w:rsidTr="00CC0EB7">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bottom w:val="single" w:sz="12"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debt</w:t>
            </w:r>
          </w:p>
        </w:tc>
        <w:tc>
          <w:tcPr>
            <w:tcW w:w="849"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49</w:t>
            </w:r>
          </w:p>
        </w:tc>
        <w:tc>
          <w:tcPr>
            <w:tcW w:w="849"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(4)</w:t>
            </w:r>
          </w:p>
        </w:tc>
        <w:tc>
          <w:tcPr>
            <w:tcW w:w="850"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(56)</w:t>
            </w:r>
          </w:p>
        </w:tc>
        <w:tc>
          <w:tcPr>
            <w:tcW w:w="850"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(128)</w:t>
            </w:r>
          </w:p>
        </w:tc>
      </w:tr>
      <w:tr w:rsidR="004B6846" w:rsidRPr="007C6619" w:rsidTr="00CC0EB7">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Average weekly earnings</w:t>
            </w:r>
            <w:r>
              <w:rPr>
                <w:rFonts w:eastAsiaTheme="minorEastAsia" w:cs="Calibri"/>
                <w:b/>
                <w:bCs/>
                <w:color w:val="000000"/>
                <w:szCs w:val="17"/>
                <w:lang w:eastAsia="en-AU"/>
              </w:rPr>
              <w:t xml:space="preserve"> </w:t>
            </w:r>
            <w:r w:rsidRPr="007C6619">
              <w:rPr>
                <w:rFonts w:eastAsiaTheme="minorEastAsia" w:cs="Calibri"/>
                <w:b/>
                <w:bCs/>
                <w:color w:val="000000"/>
                <w:vertAlign w:val="superscript"/>
                <w:lang w:eastAsia="en-AU"/>
              </w:rPr>
              <w:t>(g)</w:t>
            </w:r>
            <w:r w:rsidRPr="007C6619">
              <w:rPr>
                <w:rFonts w:eastAsiaTheme="minorEastAsia" w:cs="Calibri"/>
                <w:b/>
                <w:bCs/>
                <w:color w:val="000000"/>
                <w:szCs w:val="17"/>
                <w:lang w:eastAsia="en-AU"/>
              </w:rPr>
              <w:t xml:space="preserve"> </w:t>
            </w:r>
          </w:p>
        </w:tc>
        <w:tc>
          <w:tcPr>
            <w:tcW w:w="849"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p>
        </w:tc>
        <w:tc>
          <w:tcPr>
            <w:tcW w:w="849"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850"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850"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bottom w:val="nil"/>
            </w:tcBorders>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(21)</w:t>
            </w:r>
          </w:p>
        </w:tc>
        <w:tc>
          <w:tcPr>
            <w:tcW w:w="849"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54</w:t>
            </w:r>
          </w:p>
        </w:tc>
        <w:tc>
          <w:tcPr>
            <w:tcW w:w="850"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22</w:t>
            </w:r>
          </w:p>
        </w:tc>
        <w:tc>
          <w:tcPr>
            <w:tcW w:w="850"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52</w:t>
            </w: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auto"/>
            </w:tcBorders>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5</w:t>
            </w:r>
          </w:p>
        </w:tc>
        <w:tc>
          <w:tcPr>
            <w:tcW w:w="849"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4</w:t>
            </w:r>
          </w:p>
        </w:tc>
        <w:tc>
          <w:tcPr>
            <w:tcW w:w="850"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3</w:t>
            </w:r>
          </w:p>
        </w:tc>
        <w:tc>
          <w:tcPr>
            <w:tcW w:w="850"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w:t>
            </w:r>
          </w:p>
        </w:tc>
      </w:tr>
      <w:tr w:rsidR="004B6846" w:rsidRPr="00A36E62" w:rsidTr="00EB414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bottom w:val="single" w:sz="6"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(27)</w:t>
            </w:r>
          </w:p>
        </w:tc>
        <w:tc>
          <w:tcPr>
            <w:tcW w:w="849"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49</w:t>
            </w:r>
          </w:p>
        </w:tc>
        <w:tc>
          <w:tcPr>
            <w:tcW w:w="850"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19</w:t>
            </w:r>
          </w:p>
        </w:tc>
        <w:tc>
          <w:tcPr>
            <w:tcW w:w="850"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50</w:t>
            </w:r>
          </w:p>
        </w:tc>
      </w:tr>
      <w:tr w:rsidR="004B6846" w:rsidRPr="00A36E62" w:rsidTr="00CC0EB7">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bottom w:val="single" w:sz="12"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debt</w:t>
            </w:r>
          </w:p>
        </w:tc>
        <w:tc>
          <w:tcPr>
            <w:tcW w:w="849"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27</w:t>
            </w:r>
          </w:p>
        </w:tc>
        <w:tc>
          <w:tcPr>
            <w:tcW w:w="849"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(23)</w:t>
            </w:r>
          </w:p>
        </w:tc>
        <w:tc>
          <w:tcPr>
            <w:tcW w:w="850"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(41)</w:t>
            </w:r>
          </w:p>
        </w:tc>
        <w:tc>
          <w:tcPr>
            <w:tcW w:w="850"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(91)</w:t>
            </w:r>
          </w:p>
        </w:tc>
      </w:tr>
      <w:tr w:rsidR="004B6846" w:rsidRPr="007C6619" w:rsidTr="00CC0EB7">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auto"/>
            </w:tcBorders>
          </w:tcPr>
          <w:p w:rsidR="004B6846" w:rsidRPr="007C6619" w:rsidRDefault="004B6846" w:rsidP="00CC0EB7">
            <w:pPr>
              <w:keepLines w:val="0"/>
              <w:autoSpaceDE w:val="0"/>
              <w:autoSpaceDN w:val="0"/>
              <w:adjustRightInd w:val="0"/>
              <w:rPr>
                <w:rFonts w:eastAsiaTheme="minorEastAsia" w:cs="Calibri"/>
                <w:b/>
                <w:bCs/>
                <w:color w:val="000000"/>
                <w:lang w:eastAsia="en-AU"/>
              </w:rPr>
            </w:pPr>
            <w:r w:rsidRPr="007C6619">
              <w:rPr>
                <w:rFonts w:eastAsiaTheme="minorEastAsia" w:cs="Calibri"/>
                <w:b/>
                <w:bCs/>
                <w:color w:val="000000"/>
                <w:szCs w:val="17"/>
                <w:lang w:eastAsia="en-AU"/>
              </w:rPr>
              <w:t>Total employee expenses</w:t>
            </w:r>
            <w:r>
              <w:rPr>
                <w:rFonts w:eastAsiaTheme="minorEastAsia" w:cs="Calibri"/>
                <w:b/>
                <w:bCs/>
                <w:color w:val="000000"/>
                <w:szCs w:val="17"/>
                <w:lang w:eastAsia="en-AU"/>
              </w:rPr>
              <w:t xml:space="preserve"> </w:t>
            </w:r>
            <w:r w:rsidRPr="007C6619">
              <w:rPr>
                <w:rFonts w:eastAsiaTheme="minorEastAsia" w:cs="Calibri"/>
                <w:b/>
                <w:bCs/>
                <w:color w:val="000000"/>
                <w:vertAlign w:val="superscript"/>
                <w:lang w:eastAsia="en-AU"/>
              </w:rPr>
              <w:t>(</w:t>
            </w:r>
            <w:r>
              <w:rPr>
                <w:rFonts w:eastAsiaTheme="minorEastAsia" w:cs="Calibri"/>
                <w:b/>
                <w:bCs/>
                <w:color w:val="000000"/>
                <w:vertAlign w:val="superscript"/>
                <w:lang w:eastAsia="en-AU"/>
              </w:rPr>
              <w:t>h</w:t>
            </w:r>
            <w:r w:rsidRPr="007C6619">
              <w:rPr>
                <w:rFonts w:eastAsiaTheme="minorEastAsia" w:cs="Calibri"/>
                <w:b/>
                <w:bCs/>
                <w:color w:val="000000"/>
                <w:vertAlign w:val="superscript"/>
                <w:lang w:eastAsia="en-AU"/>
              </w:rPr>
              <w:t>)</w:t>
            </w:r>
          </w:p>
        </w:tc>
        <w:tc>
          <w:tcPr>
            <w:tcW w:w="849"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p>
        </w:tc>
        <w:tc>
          <w:tcPr>
            <w:tcW w:w="849"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850"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850"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r>
      <w:tr w:rsidR="004B6846" w:rsidRPr="007C6619" w:rsidTr="00CC0EB7">
        <w:tc>
          <w:tcPr>
            <w:cnfStyle w:val="001000000000" w:firstRow="0" w:lastRow="0" w:firstColumn="1" w:lastColumn="0" w:oddVBand="0" w:evenVBand="0" w:oddHBand="0" w:evenHBand="0" w:firstRowFirstColumn="0" w:firstRowLastColumn="0" w:lastRowFirstColumn="0" w:lastRowLastColumn="0"/>
            <w:tcW w:w="4362" w:type="dxa"/>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w:t>
            </w:r>
          </w:p>
        </w:tc>
        <w:tc>
          <w:tcPr>
            <w:tcW w:w="849"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24</w:t>
            </w:r>
          </w:p>
        </w:tc>
        <w:tc>
          <w:tcPr>
            <w:tcW w:w="850"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84</w:t>
            </w:r>
          </w:p>
        </w:tc>
        <w:tc>
          <w:tcPr>
            <w:tcW w:w="850"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92</w:t>
            </w:r>
          </w:p>
        </w:tc>
      </w:tr>
      <w:tr w:rsidR="004B6846" w:rsidRPr="007C6619" w:rsidTr="00CC0EB7">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255</w:t>
            </w:r>
          </w:p>
        </w:tc>
        <w:tc>
          <w:tcPr>
            <w:tcW w:w="849"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314</w:t>
            </w:r>
          </w:p>
        </w:tc>
        <w:tc>
          <w:tcPr>
            <w:tcW w:w="850"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336</w:t>
            </w:r>
          </w:p>
        </w:tc>
        <w:tc>
          <w:tcPr>
            <w:tcW w:w="850"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357</w:t>
            </w:r>
          </w:p>
        </w:tc>
      </w:tr>
      <w:tr w:rsidR="004B6846" w:rsidRPr="007C6619" w:rsidTr="00CC0EB7">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single" w:sz="6"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4"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(255)</w:t>
            </w:r>
          </w:p>
        </w:tc>
        <w:tc>
          <w:tcPr>
            <w:tcW w:w="849" w:type="dxa"/>
            <w:tcBorders>
              <w:top w:val="single" w:sz="4"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(290)</w:t>
            </w:r>
          </w:p>
        </w:tc>
        <w:tc>
          <w:tcPr>
            <w:tcW w:w="850" w:type="dxa"/>
            <w:tcBorders>
              <w:top w:val="single" w:sz="4"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(251)</w:t>
            </w:r>
          </w:p>
        </w:tc>
        <w:tc>
          <w:tcPr>
            <w:tcW w:w="850" w:type="dxa"/>
            <w:tcBorders>
              <w:top w:val="single" w:sz="4"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(265)</w:t>
            </w:r>
          </w:p>
        </w:tc>
      </w:tr>
      <w:tr w:rsidR="004B6846" w:rsidRPr="007C6619" w:rsidTr="00CC0EB7">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bottom w:val="single" w:sz="12"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debt</w:t>
            </w:r>
          </w:p>
        </w:tc>
        <w:tc>
          <w:tcPr>
            <w:tcW w:w="849"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255</w:t>
            </w:r>
          </w:p>
        </w:tc>
        <w:tc>
          <w:tcPr>
            <w:tcW w:w="849"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529</w:t>
            </w:r>
          </w:p>
        </w:tc>
        <w:tc>
          <w:tcPr>
            <w:tcW w:w="850"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765</w:t>
            </w:r>
          </w:p>
        </w:tc>
        <w:tc>
          <w:tcPr>
            <w:tcW w:w="850" w:type="dxa"/>
            <w:tcBorders>
              <w:top w:val="single" w:sz="6" w:space="0" w:color="auto"/>
              <w:left w:val="nil"/>
              <w:bottom w:val="single" w:sz="12" w:space="0" w:color="auto"/>
              <w:right w:val="nil"/>
            </w:tcBorders>
            <w:shd w:val="clear" w:color="000000" w:fill="FFFFFF"/>
            <w:vAlign w:val="bottom"/>
          </w:tcPr>
          <w:p w:rsidR="004B6846" w:rsidRPr="009C0718" w:rsidRDefault="00EB414D"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Pr>
                <w:rFonts w:ascii="Calibri" w:hAnsi="Calibri" w:cs="Calibri"/>
                <w:b/>
                <w:bCs/>
                <w:szCs w:val="17"/>
              </w:rPr>
              <w:t>1 013</w:t>
            </w:r>
          </w:p>
        </w:tc>
      </w:tr>
      <w:tr w:rsidR="004B6846" w:rsidRPr="007C6619" w:rsidTr="00CC0EB7">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 xml:space="preserve">Domestic share prices </w:t>
            </w:r>
          </w:p>
        </w:tc>
        <w:tc>
          <w:tcPr>
            <w:tcW w:w="849"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p>
        </w:tc>
        <w:tc>
          <w:tcPr>
            <w:tcW w:w="849"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850"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850"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bottom w:val="nil"/>
            </w:tcBorders>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Borders>
              <w:top w:val="nil"/>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w:t>
            </w:r>
          </w:p>
        </w:tc>
        <w:tc>
          <w:tcPr>
            <w:tcW w:w="849" w:type="dxa"/>
            <w:tcBorders>
              <w:top w:val="nil"/>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3</w:t>
            </w:r>
          </w:p>
        </w:tc>
        <w:tc>
          <w:tcPr>
            <w:tcW w:w="850" w:type="dxa"/>
            <w:tcBorders>
              <w:top w:val="nil"/>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3</w:t>
            </w:r>
          </w:p>
        </w:tc>
        <w:tc>
          <w:tcPr>
            <w:tcW w:w="850" w:type="dxa"/>
            <w:tcBorders>
              <w:top w:val="nil"/>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w:t>
            </w: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auto"/>
            </w:tcBorders>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top w:val="nil"/>
              <w:left w:val="nil"/>
              <w:bottom w:val="single" w:sz="6" w:space="0" w:color="auto"/>
              <w:right w:val="nil"/>
            </w:tcBorders>
            <w:shd w:val="clear" w:color="auto" w:fill="auto"/>
            <w:vAlign w:val="bottom"/>
          </w:tcPr>
          <w:p w:rsidR="004B6846" w:rsidRPr="009C0718" w:rsidRDefault="00EB414D"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Pr>
                <w:rFonts w:ascii="Calibri" w:hAnsi="Calibri" w:cs="Calibri"/>
                <w:szCs w:val="17"/>
              </w:rPr>
              <w:t>..</w:t>
            </w:r>
          </w:p>
        </w:tc>
        <w:tc>
          <w:tcPr>
            <w:tcW w:w="849" w:type="dxa"/>
            <w:tcBorders>
              <w:top w:val="nil"/>
              <w:left w:val="nil"/>
              <w:bottom w:val="single" w:sz="6"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w:t>
            </w:r>
          </w:p>
        </w:tc>
        <w:tc>
          <w:tcPr>
            <w:tcW w:w="850" w:type="dxa"/>
            <w:tcBorders>
              <w:top w:val="nil"/>
              <w:left w:val="nil"/>
              <w:bottom w:val="single" w:sz="6"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w:t>
            </w:r>
          </w:p>
        </w:tc>
        <w:tc>
          <w:tcPr>
            <w:tcW w:w="850" w:type="dxa"/>
            <w:tcBorders>
              <w:top w:val="nil"/>
              <w:left w:val="nil"/>
              <w:bottom w:val="single" w:sz="6"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w:t>
            </w:r>
          </w:p>
        </w:tc>
      </w:tr>
      <w:tr w:rsidR="004B6846" w:rsidRPr="00A36E62" w:rsidTr="00EB414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bottom w:val="single" w:sz="6"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6" w:space="0" w:color="auto"/>
              <w:left w:val="nil"/>
              <w:bottom w:val="single" w:sz="6"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w:t>
            </w:r>
          </w:p>
        </w:tc>
        <w:tc>
          <w:tcPr>
            <w:tcW w:w="849" w:type="dxa"/>
            <w:tcBorders>
              <w:top w:val="single" w:sz="6" w:space="0" w:color="auto"/>
              <w:left w:val="nil"/>
              <w:bottom w:val="single" w:sz="6"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5</w:t>
            </w:r>
          </w:p>
        </w:tc>
        <w:tc>
          <w:tcPr>
            <w:tcW w:w="850" w:type="dxa"/>
            <w:tcBorders>
              <w:top w:val="single" w:sz="6" w:space="0" w:color="auto"/>
              <w:left w:val="nil"/>
              <w:bottom w:val="single" w:sz="6"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5</w:t>
            </w:r>
          </w:p>
        </w:tc>
        <w:tc>
          <w:tcPr>
            <w:tcW w:w="850" w:type="dxa"/>
            <w:tcBorders>
              <w:top w:val="single" w:sz="6" w:space="0" w:color="auto"/>
              <w:left w:val="nil"/>
              <w:bottom w:val="single" w:sz="6"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4</w:t>
            </w:r>
          </w:p>
        </w:tc>
      </w:tr>
      <w:tr w:rsidR="004B6846" w:rsidRPr="00A36E62" w:rsidTr="00CC0EB7">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bottom w:val="single" w:sz="12"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debt</w:t>
            </w:r>
          </w:p>
        </w:tc>
        <w:tc>
          <w:tcPr>
            <w:tcW w:w="849" w:type="dxa"/>
            <w:tcBorders>
              <w:top w:val="single" w:sz="6" w:space="0" w:color="auto"/>
              <w:left w:val="nil"/>
              <w:bottom w:val="single" w:sz="12"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w:t>
            </w:r>
          </w:p>
        </w:tc>
        <w:tc>
          <w:tcPr>
            <w:tcW w:w="849" w:type="dxa"/>
            <w:tcBorders>
              <w:top w:val="single" w:sz="6" w:space="0" w:color="auto"/>
              <w:left w:val="nil"/>
              <w:bottom w:val="single" w:sz="12"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(2)</w:t>
            </w:r>
          </w:p>
        </w:tc>
        <w:tc>
          <w:tcPr>
            <w:tcW w:w="850" w:type="dxa"/>
            <w:tcBorders>
              <w:top w:val="single" w:sz="6" w:space="0" w:color="auto"/>
              <w:left w:val="nil"/>
              <w:bottom w:val="single" w:sz="12"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(5)</w:t>
            </w:r>
          </w:p>
        </w:tc>
        <w:tc>
          <w:tcPr>
            <w:tcW w:w="850" w:type="dxa"/>
            <w:tcBorders>
              <w:top w:val="single" w:sz="6" w:space="0" w:color="auto"/>
              <w:left w:val="nil"/>
              <w:bottom w:val="single" w:sz="12" w:space="0" w:color="auto"/>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(6)</w:t>
            </w:r>
          </w:p>
        </w:tc>
      </w:tr>
      <w:tr w:rsidR="004B6846" w:rsidRPr="007C6619" w:rsidTr="00CC0EB7">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 xml:space="preserve">Overseas share prices </w:t>
            </w:r>
          </w:p>
        </w:tc>
        <w:tc>
          <w:tcPr>
            <w:tcW w:w="849"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p>
        </w:tc>
        <w:tc>
          <w:tcPr>
            <w:tcW w:w="849"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850"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850"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bottom w:val="nil"/>
            </w:tcBorders>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w:t>
            </w:r>
          </w:p>
        </w:tc>
        <w:tc>
          <w:tcPr>
            <w:tcW w:w="849"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7</w:t>
            </w:r>
          </w:p>
        </w:tc>
        <w:tc>
          <w:tcPr>
            <w:tcW w:w="850"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5</w:t>
            </w:r>
          </w:p>
        </w:tc>
        <w:tc>
          <w:tcPr>
            <w:tcW w:w="850"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3</w:t>
            </w: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auto"/>
            </w:tcBorders>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top w:val="nil"/>
              <w:left w:val="nil"/>
              <w:bottom w:val="single" w:sz="6" w:space="0" w:color="auto"/>
              <w:right w:val="nil"/>
            </w:tcBorders>
            <w:shd w:val="clear" w:color="000000" w:fill="FFFFFF"/>
            <w:vAlign w:val="bottom"/>
          </w:tcPr>
          <w:p w:rsidR="004B6846" w:rsidRPr="009C0718" w:rsidRDefault="00EB414D"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Pr>
                <w:rFonts w:ascii="Calibri" w:hAnsi="Calibri" w:cs="Calibri"/>
                <w:szCs w:val="17"/>
              </w:rPr>
              <w:t>..</w:t>
            </w:r>
          </w:p>
        </w:tc>
        <w:tc>
          <w:tcPr>
            <w:tcW w:w="849"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w:t>
            </w:r>
          </w:p>
        </w:tc>
        <w:tc>
          <w:tcPr>
            <w:tcW w:w="850"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w:t>
            </w:r>
          </w:p>
        </w:tc>
        <w:tc>
          <w:tcPr>
            <w:tcW w:w="850"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(3)</w:t>
            </w:r>
          </w:p>
        </w:tc>
      </w:tr>
      <w:tr w:rsidR="004B6846" w:rsidRPr="00A36E62" w:rsidTr="00EB414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bottom w:val="single" w:sz="6"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w:t>
            </w:r>
          </w:p>
        </w:tc>
        <w:tc>
          <w:tcPr>
            <w:tcW w:w="849"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9</w:t>
            </w:r>
          </w:p>
        </w:tc>
        <w:tc>
          <w:tcPr>
            <w:tcW w:w="850"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8</w:t>
            </w:r>
          </w:p>
        </w:tc>
        <w:tc>
          <w:tcPr>
            <w:tcW w:w="850"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6</w:t>
            </w:r>
          </w:p>
        </w:tc>
      </w:tr>
      <w:tr w:rsidR="004B6846" w:rsidRPr="00A36E62" w:rsidTr="00CC0EB7">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bottom w:val="single" w:sz="12"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debt</w:t>
            </w:r>
          </w:p>
        </w:tc>
        <w:tc>
          <w:tcPr>
            <w:tcW w:w="849"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w:t>
            </w:r>
          </w:p>
        </w:tc>
        <w:tc>
          <w:tcPr>
            <w:tcW w:w="849"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(8)</w:t>
            </w:r>
          </w:p>
        </w:tc>
        <w:tc>
          <w:tcPr>
            <w:tcW w:w="850"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(13)</w:t>
            </w:r>
          </w:p>
        </w:tc>
        <w:tc>
          <w:tcPr>
            <w:tcW w:w="850"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(17)</w:t>
            </w:r>
          </w:p>
        </w:tc>
      </w:tr>
      <w:tr w:rsidR="004B6846" w:rsidRPr="007C6619" w:rsidTr="00CC0EB7">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Property prices</w:t>
            </w:r>
          </w:p>
        </w:tc>
        <w:tc>
          <w:tcPr>
            <w:tcW w:w="849"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p>
        </w:tc>
        <w:tc>
          <w:tcPr>
            <w:tcW w:w="849"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850"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850"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bottom w:val="nil"/>
            </w:tcBorders>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92</w:t>
            </w:r>
          </w:p>
        </w:tc>
        <w:tc>
          <w:tcPr>
            <w:tcW w:w="849"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93</w:t>
            </w:r>
          </w:p>
        </w:tc>
        <w:tc>
          <w:tcPr>
            <w:tcW w:w="850"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98</w:t>
            </w:r>
          </w:p>
        </w:tc>
        <w:tc>
          <w:tcPr>
            <w:tcW w:w="850"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101</w:t>
            </w: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auto"/>
            </w:tcBorders>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w:t>
            </w:r>
          </w:p>
        </w:tc>
        <w:tc>
          <w:tcPr>
            <w:tcW w:w="849"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(7)</w:t>
            </w:r>
          </w:p>
        </w:tc>
        <w:tc>
          <w:tcPr>
            <w:tcW w:w="850"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(11)</w:t>
            </w:r>
          </w:p>
        </w:tc>
        <w:tc>
          <w:tcPr>
            <w:tcW w:w="850"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(15)</w:t>
            </w:r>
          </w:p>
        </w:tc>
      </w:tr>
      <w:tr w:rsidR="004B6846" w:rsidRPr="00A36E62" w:rsidTr="00EB414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bottom w:val="single" w:sz="6"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94</w:t>
            </w:r>
          </w:p>
        </w:tc>
        <w:tc>
          <w:tcPr>
            <w:tcW w:w="849"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100</w:t>
            </w:r>
          </w:p>
        </w:tc>
        <w:tc>
          <w:tcPr>
            <w:tcW w:w="850"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109</w:t>
            </w:r>
          </w:p>
        </w:tc>
        <w:tc>
          <w:tcPr>
            <w:tcW w:w="850"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117</w:t>
            </w:r>
          </w:p>
        </w:tc>
      </w:tr>
      <w:tr w:rsidR="004B6846" w:rsidRPr="00A36E62"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bottom w:val="single" w:sz="12" w:space="0" w:color="auto"/>
            </w:tcBorders>
          </w:tcPr>
          <w:p w:rsidR="004B6846" w:rsidRPr="007C6619" w:rsidRDefault="004B6846" w:rsidP="00684CDB">
            <w:pPr>
              <w:rPr>
                <w:lang w:eastAsia="en-AU"/>
              </w:rPr>
            </w:pPr>
            <w:r w:rsidRPr="007C6619">
              <w:rPr>
                <w:lang w:eastAsia="en-AU"/>
              </w:rPr>
              <w:t>Net debt</w:t>
            </w:r>
          </w:p>
        </w:tc>
        <w:tc>
          <w:tcPr>
            <w:tcW w:w="849" w:type="dxa"/>
            <w:tcBorders>
              <w:top w:val="single" w:sz="6" w:space="0" w:color="auto"/>
              <w:bottom w:val="single" w:sz="12" w:space="0" w:color="auto"/>
            </w:tcBorders>
            <w:shd w:val="clear" w:color="000000" w:fill="FFFFFF"/>
            <w:vAlign w:val="bottom"/>
          </w:tcPr>
          <w:p w:rsidR="004B6846" w:rsidRPr="009C0718" w:rsidRDefault="004B6846" w:rsidP="00684CDB">
            <w:pPr>
              <w:cnfStyle w:val="010000000000" w:firstRow="0" w:lastRow="1" w:firstColumn="0" w:lastColumn="0" w:oddVBand="0" w:evenVBand="0" w:oddHBand="0" w:evenHBand="0" w:firstRowFirstColumn="0" w:firstRowLastColumn="0" w:lastRowFirstColumn="0" w:lastRowLastColumn="0"/>
              <w:rPr>
                <w:rFonts w:ascii="Calibri" w:hAnsi="Calibri"/>
              </w:rPr>
            </w:pPr>
            <w:r w:rsidRPr="009C0718">
              <w:rPr>
                <w:rFonts w:ascii="Calibri" w:hAnsi="Calibri"/>
              </w:rPr>
              <w:t>(97)</w:t>
            </w:r>
          </w:p>
        </w:tc>
        <w:tc>
          <w:tcPr>
            <w:tcW w:w="849" w:type="dxa"/>
            <w:tcBorders>
              <w:top w:val="single" w:sz="6" w:space="0" w:color="auto"/>
              <w:bottom w:val="single" w:sz="12" w:space="0" w:color="auto"/>
            </w:tcBorders>
            <w:shd w:val="clear" w:color="000000" w:fill="FFFFFF"/>
            <w:vAlign w:val="bottom"/>
          </w:tcPr>
          <w:p w:rsidR="004B6846" w:rsidRPr="009C0718" w:rsidRDefault="004B6846" w:rsidP="00684CDB">
            <w:pPr>
              <w:cnfStyle w:val="010000000000" w:firstRow="0" w:lastRow="1" w:firstColumn="0" w:lastColumn="0" w:oddVBand="0" w:evenVBand="0" w:oddHBand="0" w:evenHBand="0" w:firstRowFirstColumn="0" w:firstRowLastColumn="0" w:lastRowFirstColumn="0" w:lastRowLastColumn="0"/>
              <w:rPr>
                <w:rFonts w:ascii="Calibri" w:hAnsi="Calibri"/>
              </w:rPr>
            </w:pPr>
            <w:r w:rsidRPr="009C0718">
              <w:rPr>
                <w:rFonts w:ascii="Calibri" w:hAnsi="Calibri"/>
              </w:rPr>
              <w:t>(199)</w:t>
            </w:r>
          </w:p>
        </w:tc>
        <w:tc>
          <w:tcPr>
            <w:tcW w:w="850" w:type="dxa"/>
            <w:tcBorders>
              <w:top w:val="single" w:sz="6" w:space="0" w:color="auto"/>
              <w:bottom w:val="single" w:sz="12" w:space="0" w:color="auto"/>
            </w:tcBorders>
            <w:shd w:val="clear" w:color="000000" w:fill="FFFFFF"/>
            <w:vAlign w:val="bottom"/>
          </w:tcPr>
          <w:p w:rsidR="004B6846" w:rsidRPr="009C0718" w:rsidRDefault="004B6846" w:rsidP="00684CDB">
            <w:pPr>
              <w:cnfStyle w:val="010000000000" w:firstRow="0" w:lastRow="1" w:firstColumn="0" w:lastColumn="0" w:oddVBand="0" w:evenVBand="0" w:oddHBand="0" w:evenHBand="0" w:firstRowFirstColumn="0" w:firstRowLastColumn="0" w:lastRowFirstColumn="0" w:lastRowLastColumn="0"/>
              <w:rPr>
                <w:rFonts w:ascii="Calibri" w:hAnsi="Calibri"/>
              </w:rPr>
            </w:pPr>
            <w:r w:rsidRPr="009C0718">
              <w:rPr>
                <w:rFonts w:ascii="Calibri" w:hAnsi="Calibri"/>
              </w:rPr>
              <w:t>(311)</w:t>
            </w:r>
          </w:p>
        </w:tc>
        <w:tc>
          <w:tcPr>
            <w:tcW w:w="850" w:type="dxa"/>
            <w:tcBorders>
              <w:top w:val="single" w:sz="6" w:space="0" w:color="auto"/>
              <w:bottom w:val="single" w:sz="12" w:space="0" w:color="auto"/>
            </w:tcBorders>
            <w:shd w:val="clear" w:color="000000" w:fill="FFFFFF"/>
            <w:vAlign w:val="bottom"/>
          </w:tcPr>
          <w:p w:rsidR="004B6846" w:rsidRPr="009C0718" w:rsidRDefault="004B6846" w:rsidP="00684CDB">
            <w:pPr>
              <w:cnfStyle w:val="010000000000" w:firstRow="0" w:lastRow="1" w:firstColumn="0" w:lastColumn="0" w:oddVBand="0" w:evenVBand="0" w:oddHBand="0" w:evenHBand="0" w:firstRowFirstColumn="0" w:firstRowLastColumn="0" w:lastRowFirstColumn="0" w:lastRowLastColumn="0"/>
              <w:rPr>
                <w:rFonts w:ascii="Calibri" w:hAnsi="Calibri"/>
              </w:rPr>
            </w:pPr>
            <w:r w:rsidRPr="009C0718">
              <w:rPr>
                <w:rFonts w:ascii="Calibri" w:hAnsi="Calibri"/>
              </w:rPr>
              <w:t>(430)</w:t>
            </w:r>
          </w:p>
        </w:tc>
      </w:tr>
    </w:tbl>
    <w:p w:rsidR="00684CDB" w:rsidRDefault="00684CDB"/>
    <w:p w:rsidR="00684CDB" w:rsidRPr="003D4BA0" w:rsidRDefault="00684CDB" w:rsidP="00684CDB">
      <w:pPr>
        <w:pStyle w:val="TableHeading"/>
      </w:pPr>
      <w:r w:rsidRPr="00B720EB">
        <w:lastRenderedPageBreak/>
        <w:t xml:space="preserve">Table </w:t>
      </w:r>
      <w:r>
        <w:t>D.</w:t>
      </w:r>
      <w:r w:rsidRPr="00B720EB">
        <w:t>5:</w:t>
      </w:r>
      <w:r w:rsidRPr="00B720EB">
        <w:tab/>
        <w:t xml:space="preserve">Sensitivity of key fiscal aggregates to selected indicators being </w:t>
      </w:r>
      <w:r>
        <w:br/>
      </w:r>
      <w:r w:rsidRPr="00B720EB">
        <w:t>1 per cent higher than expected from 2018-19</w:t>
      </w:r>
      <w:r>
        <w:rPr>
          <w:vertAlign w:val="superscript"/>
        </w:rPr>
        <w:t xml:space="preserve"> </w:t>
      </w:r>
      <w:r w:rsidRPr="00684CDB">
        <w:rPr>
          <w:i/>
        </w:rPr>
        <w:t>(continued)</w:t>
      </w:r>
      <w:r>
        <w:rPr>
          <w:vertAlign w:val="superscript"/>
        </w:rPr>
        <w:tab/>
      </w:r>
      <w:r w:rsidRPr="00B720EB">
        <w:t>($</w:t>
      </w:r>
      <w:r>
        <w:t> million)</w:t>
      </w:r>
    </w:p>
    <w:tbl>
      <w:tblPr>
        <w:tblStyle w:val="DTFTable"/>
        <w:tblW w:w="7760" w:type="dxa"/>
        <w:tblLayout w:type="fixed"/>
        <w:tblLook w:val="06E0" w:firstRow="1" w:lastRow="1" w:firstColumn="1" w:lastColumn="0" w:noHBand="1" w:noVBand="1"/>
      </w:tblPr>
      <w:tblGrid>
        <w:gridCol w:w="4362"/>
        <w:gridCol w:w="849"/>
        <w:gridCol w:w="849"/>
        <w:gridCol w:w="850"/>
        <w:gridCol w:w="850"/>
      </w:tblGrid>
      <w:tr w:rsidR="00684CDB" w:rsidRPr="007C6619" w:rsidTr="00D73159">
        <w:trPr>
          <w:cnfStyle w:val="100000000000" w:firstRow="1" w:lastRow="0" w:firstColumn="0" w:lastColumn="0" w:oddVBand="0" w:evenVBand="0" w:oddHBand="0" w:evenHBand="0" w:firstRowFirstColumn="0" w:firstRowLastColumn="0" w:lastRowFirstColumn="0" w:lastRowLastColumn="0"/>
          <w:trHeight w:val="101"/>
          <w:tblHeader/>
        </w:trPr>
        <w:tc>
          <w:tcPr>
            <w:cnfStyle w:val="001000000000" w:firstRow="0" w:lastRow="0" w:firstColumn="1" w:lastColumn="0" w:oddVBand="0" w:evenVBand="0" w:oddHBand="0" w:evenHBand="0" w:firstRowFirstColumn="0" w:firstRowLastColumn="0" w:lastRowFirstColumn="0" w:lastRowLastColumn="0"/>
            <w:tcW w:w="4362" w:type="dxa"/>
          </w:tcPr>
          <w:p w:rsidR="00684CDB" w:rsidRPr="007C6619" w:rsidRDefault="00684CDB" w:rsidP="00D73159">
            <w:pPr>
              <w:keepLines w:val="0"/>
              <w:autoSpaceDE w:val="0"/>
              <w:autoSpaceDN w:val="0"/>
              <w:adjustRightInd w:val="0"/>
              <w:ind w:left="0" w:firstLine="0"/>
            </w:pPr>
            <w:r w:rsidRPr="007C6619">
              <w:rPr>
                <w:rFonts w:eastAsiaTheme="minorEastAsia" w:cs="Calibri"/>
                <w:iCs/>
                <w:color w:val="FFFFFF"/>
                <w:szCs w:val="17"/>
                <w:lang w:eastAsia="en-AU"/>
              </w:rPr>
              <w:t xml:space="preserve"> </w:t>
            </w:r>
            <w:r w:rsidRPr="007C6619">
              <w:rPr>
                <w:rFonts w:eastAsiaTheme="minorEastAsia" w:cs="Calibri"/>
                <w:color w:val="FFFFFF"/>
                <w:szCs w:val="17"/>
                <w:lang w:eastAsia="en-AU"/>
              </w:rPr>
              <w:t xml:space="preserve"> </w:t>
            </w:r>
          </w:p>
        </w:tc>
        <w:tc>
          <w:tcPr>
            <w:tcW w:w="849" w:type="dxa"/>
          </w:tcPr>
          <w:p w:rsidR="00684CDB" w:rsidRPr="007C6619" w:rsidRDefault="00684CDB" w:rsidP="00D73159">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2018-19</w:t>
            </w:r>
            <w:r>
              <w:rPr>
                <w:rFonts w:eastAsiaTheme="minorEastAsia" w:cs="Calibri"/>
                <w:iCs/>
                <w:color w:val="FFFFFF"/>
                <w:szCs w:val="17"/>
                <w:lang w:eastAsia="en-AU"/>
              </w:rPr>
              <w:br/>
            </w:r>
            <w:r w:rsidRPr="007C6619">
              <w:rPr>
                <w:rFonts w:eastAsiaTheme="minorEastAsia" w:cs="Calibri"/>
                <w:iCs/>
                <w:color w:val="FFFFFF"/>
                <w:szCs w:val="17"/>
                <w:lang w:eastAsia="en-AU"/>
              </w:rPr>
              <w:t>estimate</w:t>
            </w:r>
          </w:p>
        </w:tc>
        <w:tc>
          <w:tcPr>
            <w:tcW w:w="849" w:type="dxa"/>
          </w:tcPr>
          <w:p w:rsidR="00684CDB" w:rsidRPr="007C6619" w:rsidRDefault="00684CDB" w:rsidP="00D73159">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2019-20</w:t>
            </w:r>
            <w:r>
              <w:rPr>
                <w:rFonts w:eastAsiaTheme="minorEastAsia" w:cs="Calibri"/>
                <w:iCs/>
                <w:color w:val="FFFFFF"/>
                <w:szCs w:val="17"/>
                <w:lang w:eastAsia="en-AU"/>
              </w:rPr>
              <w:br/>
            </w:r>
            <w:r w:rsidRPr="007C6619">
              <w:rPr>
                <w:rFonts w:eastAsiaTheme="minorEastAsia" w:cs="Calibri"/>
                <w:iCs/>
                <w:color w:val="FFFFFF"/>
                <w:szCs w:val="17"/>
                <w:lang w:eastAsia="en-AU"/>
              </w:rPr>
              <w:t>estimate</w:t>
            </w:r>
          </w:p>
        </w:tc>
        <w:tc>
          <w:tcPr>
            <w:tcW w:w="850" w:type="dxa"/>
          </w:tcPr>
          <w:p w:rsidR="00684CDB" w:rsidRPr="007C6619" w:rsidRDefault="00684CDB" w:rsidP="00D73159">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2020-21</w:t>
            </w:r>
            <w:r>
              <w:rPr>
                <w:rFonts w:eastAsiaTheme="minorEastAsia" w:cs="Calibri"/>
                <w:iCs/>
                <w:color w:val="FFFFFF"/>
                <w:szCs w:val="17"/>
                <w:lang w:eastAsia="en-AU"/>
              </w:rPr>
              <w:br/>
            </w:r>
            <w:r w:rsidRPr="007C6619">
              <w:rPr>
                <w:rFonts w:eastAsiaTheme="minorEastAsia" w:cs="Calibri"/>
                <w:iCs/>
                <w:color w:val="FFFFFF"/>
                <w:szCs w:val="17"/>
                <w:lang w:eastAsia="en-AU"/>
              </w:rPr>
              <w:t>estimate</w:t>
            </w:r>
          </w:p>
        </w:tc>
        <w:tc>
          <w:tcPr>
            <w:tcW w:w="850" w:type="dxa"/>
          </w:tcPr>
          <w:p w:rsidR="00684CDB" w:rsidRPr="007C6619" w:rsidRDefault="00684CDB" w:rsidP="00D73159">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2021-22</w:t>
            </w:r>
            <w:r>
              <w:rPr>
                <w:rFonts w:eastAsiaTheme="minorEastAsia" w:cs="Calibri"/>
                <w:iCs/>
                <w:color w:val="FFFFFF"/>
                <w:szCs w:val="17"/>
                <w:lang w:eastAsia="en-AU"/>
              </w:rPr>
              <w:br/>
            </w:r>
            <w:r w:rsidRPr="007C6619">
              <w:rPr>
                <w:rFonts w:eastAsiaTheme="minorEastAsia" w:cs="Calibri"/>
                <w:iCs/>
                <w:color w:val="FFFFFF"/>
                <w:szCs w:val="17"/>
                <w:lang w:eastAsia="en-AU"/>
              </w:rPr>
              <w:t>estimate</w:t>
            </w:r>
          </w:p>
        </w:tc>
      </w:tr>
      <w:tr w:rsidR="004B6846" w:rsidRPr="007C6619" w:rsidTr="00CC0EB7">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auto"/>
            </w:tcBorders>
          </w:tcPr>
          <w:p w:rsidR="004B6846" w:rsidRPr="007C6619" w:rsidRDefault="004B6846" w:rsidP="00684CDB">
            <w:pPr>
              <w:keepLines w:val="0"/>
              <w:autoSpaceDE w:val="0"/>
              <w:autoSpaceDN w:val="0"/>
              <w:adjustRightInd w:val="0"/>
              <w:ind w:left="176" w:hanging="176"/>
              <w:rPr>
                <w:rFonts w:eastAsiaTheme="minorEastAsia" w:cs="Calibri"/>
                <w:b/>
                <w:bCs/>
                <w:color w:val="000000"/>
                <w:szCs w:val="17"/>
                <w:lang w:eastAsia="en-AU"/>
              </w:rPr>
            </w:pPr>
            <w:r w:rsidRPr="007C6619">
              <w:rPr>
                <w:rFonts w:eastAsiaTheme="minorEastAsia" w:cs="Calibri"/>
                <w:b/>
                <w:bCs/>
                <w:color w:val="000000"/>
                <w:szCs w:val="17"/>
                <w:lang w:eastAsia="en-AU"/>
              </w:rPr>
              <w:t>Property volumes</w:t>
            </w:r>
          </w:p>
        </w:tc>
        <w:tc>
          <w:tcPr>
            <w:tcW w:w="849"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p>
        </w:tc>
        <w:tc>
          <w:tcPr>
            <w:tcW w:w="849"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850"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850"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bottom w:val="nil"/>
            </w:tcBorders>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61</w:t>
            </w:r>
          </w:p>
        </w:tc>
        <w:tc>
          <w:tcPr>
            <w:tcW w:w="849"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62</w:t>
            </w:r>
          </w:p>
        </w:tc>
        <w:tc>
          <w:tcPr>
            <w:tcW w:w="850"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65</w:t>
            </w:r>
          </w:p>
        </w:tc>
        <w:tc>
          <w:tcPr>
            <w:tcW w:w="850"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67</w:t>
            </w: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auto"/>
            </w:tcBorders>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w:t>
            </w:r>
          </w:p>
        </w:tc>
        <w:tc>
          <w:tcPr>
            <w:tcW w:w="849"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(4)</w:t>
            </w:r>
          </w:p>
        </w:tc>
        <w:tc>
          <w:tcPr>
            <w:tcW w:w="850"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(7)</w:t>
            </w:r>
          </w:p>
        </w:tc>
        <w:tc>
          <w:tcPr>
            <w:tcW w:w="850"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(10)</w:t>
            </w:r>
          </w:p>
        </w:tc>
      </w:tr>
      <w:tr w:rsidR="004B6846" w:rsidRPr="00A36E62" w:rsidTr="00EB414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bottom w:val="single" w:sz="6"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62</w:t>
            </w:r>
          </w:p>
        </w:tc>
        <w:tc>
          <w:tcPr>
            <w:tcW w:w="849"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66</w:t>
            </w:r>
          </w:p>
        </w:tc>
        <w:tc>
          <w:tcPr>
            <w:tcW w:w="850"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71</w:t>
            </w:r>
          </w:p>
        </w:tc>
        <w:tc>
          <w:tcPr>
            <w:tcW w:w="850"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77</w:t>
            </w:r>
          </w:p>
        </w:tc>
      </w:tr>
      <w:tr w:rsidR="004B6846" w:rsidRPr="00A36E62" w:rsidTr="00CC0EB7">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bottom w:val="single" w:sz="12"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debt</w:t>
            </w:r>
          </w:p>
        </w:tc>
        <w:tc>
          <w:tcPr>
            <w:tcW w:w="849"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(62)</w:t>
            </w:r>
          </w:p>
        </w:tc>
        <w:tc>
          <w:tcPr>
            <w:tcW w:w="849"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(128)</w:t>
            </w:r>
          </w:p>
        </w:tc>
        <w:tc>
          <w:tcPr>
            <w:tcW w:w="850"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(199)</w:t>
            </w:r>
          </w:p>
        </w:tc>
        <w:tc>
          <w:tcPr>
            <w:tcW w:w="850" w:type="dxa"/>
            <w:tcBorders>
              <w:top w:val="single" w:sz="6" w:space="0" w:color="auto"/>
              <w:left w:val="nil"/>
              <w:bottom w:val="single" w:sz="12"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(277)</w:t>
            </w:r>
          </w:p>
        </w:tc>
      </w:tr>
      <w:tr w:rsidR="004B6846" w:rsidRPr="007C6619" w:rsidTr="00CC0EB7">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auto"/>
            </w:tcBorders>
          </w:tcPr>
          <w:p w:rsidR="004B6846" w:rsidRPr="007C6619" w:rsidRDefault="004B6846" w:rsidP="00CC0EB7">
            <w:pPr>
              <w:keepLines w:val="0"/>
              <w:autoSpaceDE w:val="0"/>
              <w:autoSpaceDN w:val="0"/>
              <w:adjustRightInd w:val="0"/>
              <w:ind w:left="173" w:hanging="173"/>
              <w:rPr>
                <w:rFonts w:eastAsiaTheme="minorEastAsia" w:cs="Calibri"/>
                <w:b/>
                <w:bCs/>
                <w:color w:val="000000"/>
                <w:lang w:eastAsia="en-AU"/>
              </w:rPr>
            </w:pPr>
            <w:r w:rsidRPr="007C6619">
              <w:rPr>
                <w:rFonts w:eastAsiaTheme="minorEastAsia" w:cs="Calibri"/>
                <w:b/>
                <w:bCs/>
                <w:color w:val="000000"/>
                <w:szCs w:val="17"/>
                <w:lang w:eastAsia="en-AU"/>
              </w:rPr>
              <w:t>Interest rates</w:t>
            </w:r>
            <w:r w:rsidRPr="007C6619">
              <w:rPr>
                <w:rFonts w:eastAsiaTheme="minorEastAsia" w:cs="Calibri"/>
                <w:b/>
                <w:bCs/>
                <w:color w:val="000000"/>
                <w:lang w:eastAsia="en-AU"/>
              </w:rPr>
              <w:t xml:space="preserve"> </w:t>
            </w:r>
            <w:r>
              <w:rPr>
                <w:rFonts w:eastAsiaTheme="minorEastAsia" w:cs="Calibri"/>
                <w:b/>
                <w:bCs/>
                <w:color w:val="000000"/>
                <w:vertAlign w:val="superscript"/>
                <w:lang w:eastAsia="en-AU"/>
              </w:rPr>
              <w:t>(i</w:t>
            </w:r>
            <w:r w:rsidRPr="007C6619">
              <w:rPr>
                <w:rFonts w:eastAsiaTheme="minorEastAsia" w:cs="Calibri"/>
                <w:b/>
                <w:bCs/>
                <w:color w:val="000000"/>
                <w:vertAlign w:val="superscript"/>
                <w:lang w:eastAsia="en-AU"/>
              </w:rPr>
              <w:t>)</w:t>
            </w:r>
          </w:p>
        </w:tc>
        <w:tc>
          <w:tcPr>
            <w:tcW w:w="849"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p>
        </w:tc>
        <w:tc>
          <w:tcPr>
            <w:tcW w:w="849"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850"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850" w:type="dxa"/>
            <w:tcBorders>
              <w:top w:val="single" w:sz="12" w:space="0" w:color="auto"/>
              <w:left w:val="nil"/>
              <w:bottom w:val="nil"/>
              <w:right w:val="nil"/>
            </w:tcBorders>
            <w:shd w:val="clear" w:color="auto" w:fill="auto"/>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bottom w:val="nil"/>
            </w:tcBorders>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406</w:t>
            </w:r>
          </w:p>
        </w:tc>
        <w:tc>
          <w:tcPr>
            <w:tcW w:w="849"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110</w:t>
            </w:r>
          </w:p>
        </w:tc>
        <w:tc>
          <w:tcPr>
            <w:tcW w:w="850"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115</w:t>
            </w:r>
          </w:p>
        </w:tc>
        <w:tc>
          <w:tcPr>
            <w:tcW w:w="850" w:type="dxa"/>
            <w:tcBorders>
              <w:top w:val="nil"/>
              <w:left w:val="nil"/>
              <w:bottom w:val="nil"/>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125</w:t>
            </w:r>
          </w:p>
        </w:tc>
      </w:tr>
      <w:tr w:rsidR="004B6846" w:rsidRPr="007C6619" w:rsidTr="00EB414D">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auto"/>
            </w:tcBorders>
          </w:tcPr>
          <w:p w:rsidR="004B6846" w:rsidRPr="007C6619" w:rsidRDefault="004B6846" w:rsidP="00CC0EB7">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2</w:t>
            </w:r>
          </w:p>
        </w:tc>
        <w:tc>
          <w:tcPr>
            <w:tcW w:w="849"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158</w:t>
            </w:r>
          </w:p>
        </w:tc>
        <w:tc>
          <w:tcPr>
            <w:tcW w:w="850"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153</w:t>
            </w:r>
          </w:p>
        </w:tc>
        <w:tc>
          <w:tcPr>
            <w:tcW w:w="850" w:type="dxa"/>
            <w:tcBorders>
              <w:top w:val="nil"/>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9C0718">
              <w:rPr>
                <w:rFonts w:ascii="Calibri" w:hAnsi="Calibri" w:cs="Calibri"/>
                <w:szCs w:val="17"/>
              </w:rPr>
              <w:t>135</w:t>
            </w:r>
          </w:p>
        </w:tc>
      </w:tr>
      <w:tr w:rsidR="004B6846" w:rsidRPr="00A36E62" w:rsidTr="00EB414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bottom w:val="single" w:sz="6" w:space="0" w:color="auto"/>
            </w:tcBorders>
          </w:tcPr>
          <w:p w:rsidR="004B6846" w:rsidRPr="007C6619" w:rsidRDefault="004B6846" w:rsidP="00CC0EB7">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404</w:t>
            </w:r>
          </w:p>
        </w:tc>
        <w:tc>
          <w:tcPr>
            <w:tcW w:w="849"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(48)</w:t>
            </w:r>
          </w:p>
        </w:tc>
        <w:tc>
          <w:tcPr>
            <w:tcW w:w="850"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(38)</w:t>
            </w:r>
          </w:p>
        </w:tc>
        <w:tc>
          <w:tcPr>
            <w:tcW w:w="850" w:type="dxa"/>
            <w:tcBorders>
              <w:top w:val="single" w:sz="6" w:space="0" w:color="auto"/>
              <w:left w:val="nil"/>
              <w:bottom w:val="single" w:sz="6" w:space="0" w:color="auto"/>
              <w:right w:val="nil"/>
            </w:tcBorders>
            <w:shd w:val="clear" w:color="000000" w:fill="FFFFFF"/>
            <w:vAlign w:val="bottom"/>
          </w:tcPr>
          <w:p w:rsidR="004B6846" w:rsidRPr="009C0718" w:rsidRDefault="004B6846" w:rsidP="00CC0EB7">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9C0718">
              <w:rPr>
                <w:rFonts w:ascii="Calibri" w:hAnsi="Calibri" w:cs="Calibri"/>
                <w:b/>
                <w:bCs/>
                <w:szCs w:val="17"/>
              </w:rPr>
              <w:t>(10)</w:t>
            </w:r>
          </w:p>
        </w:tc>
      </w:tr>
      <w:tr w:rsidR="004B6846" w:rsidRPr="00A36E62"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auto"/>
              <w:bottom w:val="single" w:sz="12" w:space="0" w:color="auto"/>
            </w:tcBorders>
          </w:tcPr>
          <w:p w:rsidR="004B6846" w:rsidRPr="007C6619" w:rsidRDefault="004B6846" w:rsidP="00CC0EB7">
            <w:pPr>
              <w:keepLines w:val="0"/>
              <w:autoSpaceDE w:val="0"/>
              <w:autoSpaceDN w:val="0"/>
              <w:adjustRightInd w:val="0"/>
              <w:rPr>
                <w:rFonts w:eastAsiaTheme="minorEastAsia" w:cs="Calibri"/>
                <w:bCs/>
                <w:color w:val="000000"/>
                <w:szCs w:val="17"/>
                <w:lang w:eastAsia="en-AU"/>
              </w:rPr>
            </w:pPr>
            <w:r w:rsidRPr="007C6619">
              <w:rPr>
                <w:rFonts w:eastAsiaTheme="minorEastAsia" w:cs="Calibri"/>
                <w:bCs/>
                <w:color w:val="000000"/>
                <w:szCs w:val="17"/>
                <w:lang w:eastAsia="en-AU"/>
              </w:rPr>
              <w:t>Net debt</w:t>
            </w:r>
          </w:p>
        </w:tc>
        <w:tc>
          <w:tcPr>
            <w:tcW w:w="849" w:type="dxa"/>
            <w:tcBorders>
              <w:top w:val="single" w:sz="6" w:space="0" w:color="auto"/>
              <w:bottom w:val="single" w:sz="12" w:space="0" w:color="auto"/>
            </w:tcBorders>
            <w:shd w:val="clear" w:color="000000" w:fill="FFFFFF"/>
            <w:vAlign w:val="bottom"/>
          </w:tcPr>
          <w:p w:rsidR="004B6846" w:rsidRPr="009C0718" w:rsidRDefault="004B6846" w:rsidP="00CC0EB7">
            <w:pPr>
              <w:cnfStyle w:val="010000000000" w:firstRow="0" w:lastRow="1" w:firstColumn="0" w:lastColumn="0" w:oddVBand="0" w:evenVBand="0" w:oddHBand="0" w:evenHBand="0" w:firstRowFirstColumn="0" w:firstRowLastColumn="0" w:lastRowFirstColumn="0" w:lastRowLastColumn="0"/>
              <w:rPr>
                <w:rFonts w:ascii="Calibri" w:hAnsi="Calibri" w:cs="Calibri"/>
                <w:b w:val="0"/>
                <w:bCs/>
                <w:szCs w:val="17"/>
              </w:rPr>
            </w:pPr>
            <w:r w:rsidRPr="009C0718">
              <w:rPr>
                <w:rFonts w:ascii="Calibri" w:hAnsi="Calibri" w:cs="Calibri"/>
                <w:b w:val="0"/>
                <w:bCs/>
                <w:szCs w:val="17"/>
              </w:rPr>
              <w:t>(404)</w:t>
            </w:r>
          </w:p>
        </w:tc>
        <w:tc>
          <w:tcPr>
            <w:tcW w:w="849" w:type="dxa"/>
            <w:tcBorders>
              <w:top w:val="single" w:sz="6" w:space="0" w:color="auto"/>
              <w:bottom w:val="single" w:sz="12" w:space="0" w:color="auto"/>
            </w:tcBorders>
            <w:shd w:val="clear" w:color="000000" w:fill="FFFFFF"/>
            <w:vAlign w:val="bottom"/>
          </w:tcPr>
          <w:p w:rsidR="004B6846" w:rsidRPr="009C0718" w:rsidRDefault="004B6846" w:rsidP="00CC0EB7">
            <w:pPr>
              <w:cnfStyle w:val="010000000000" w:firstRow="0" w:lastRow="1" w:firstColumn="0" w:lastColumn="0" w:oddVBand="0" w:evenVBand="0" w:oddHBand="0" w:evenHBand="0" w:firstRowFirstColumn="0" w:firstRowLastColumn="0" w:lastRowFirstColumn="0" w:lastRowLastColumn="0"/>
              <w:rPr>
                <w:rFonts w:ascii="Calibri" w:hAnsi="Calibri" w:cs="Calibri"/>
                <w:b w:val="0"/>
                <w:bCs/>
                <w:szCs w:val="17"/>
              </w:rPr>
            </w:pPr>
            <w:r w:rsidRPr="009C0718">
              <w:rPr>
                <w:rFonts w:ascii="Calibri" w:hAnsi="Calibri" w:cs="Calibri"/>
                <w:b w:val="0"/>
                <w:bCs/>
                <w:szCs w:val="17"/>
              </w:rPr>
              <w:t>(521)</w:t>
            </w:r>
          </w:p>
        </w:tc>
        <w:tc>
          <w:tcPr>
            <w:tcW w:w="850" w:type="dxa"/>
            <w:tcBorders>
              <w:top w:val="single" w:sz="6" w:space="0" w:color="auto"/>
              <w:bottom w:val="single" w:sz="12" w:space="0" w:color="auto"/>
            </w:tcBorders>
            <w:shd w:val="clear" w:color="000000" w:fill="FFFFFF"/>
            <w:vAlign w:val="bottom"/>
          </w:tcPr>
          <w:p w:rsidR="004B6846" w:rsidRPr="009C0718" w:rsidRDefault="004B6846" w:rsidP="00CC0EB7">
            <w:pPr>
              <w:cnfStyle w:val="010000000000" w:firstRow="0" w:lastRow="1" w:firstColumn="0" w:lastColumn="0" w:oddVBand="0" w:evenVBand="0" w:oddHBand="0" w:evenHBand="0" w:firstRowFirstColumn="0" w:firstRowLastColumn="0" w:lastRowFirstColumn="0" w:lastRowLastColumn="0"/>
              <w:rPr>
                <w:rFonts w:ascii="Calibri" w:hAnsi="Calibri" w:cs="Calibri"/>
                <w:b w:val="0"/>
                <w:bCs/>
                <w:szCs w:val="17"/>
              </w:rPr>
            </w:pPr>
            <w:r w:rsidRPr="009C0718">
              <w:rPr>
                <w:rFonts w:ascii="Calibri" w:hAnsi="Calibri" w:cs="Calibri"/>
                <w:b w:val="0"/>
                <w:bCs/>
                <w:szCs w:val="17"/>
              </w:rPr>
              <w:t>(648)</w:t>
            </w:r>
          </w:p>
        </w:tc>
        <w:tc>
          <w:tcPr>
            <w:tcW w:w="850" w:type="dxa"/>
            <w:tcBorders>
              <w:top w:val="single" w:sz="6" w:space="0" w:color="auto"/>
              <w:bottom w:val="single" w:sz="12" w:space="0" w:color="auto"/>
            </w:tcBorders>
            <w:shd w:val="clear" w:color="000000" w:fill="FFFFFF"/>
            <w:vAlign w:val="bottom"/>
          </w:tcPr>
          <w:p w:rsidR="004B6846" w:rsidRPr="009C0718" w:rsidRDefault="004B6846" w:rsidP="00CC0EB7">
            <w:pPr>
              <w:cnfStyle w:val="010000000000" w:firstRow="0" w:lastRow="1" w:firstColumn="0" w:lastColumn="0" w:oddVBand="0" w:evenVBand="0" w:oddHBand="0" w:evenHBand="0" w:firstRowFirstColumn="0" w:firstRowLastColumn="0" w:lastRowFirstColumn="0" w:lastRowLastColumn="0"/>
              <w:rPr>
                <w:rFonts w:ascii="Calibri" w:hAnsi="Calibri" w:cs="Calibri"/>
                <w:b w:val="0"/>
                <w:bCs/>
                <w:szCs w:val="17"/>
              </w:rPr>
            </w:pPr>
            <w:r w:rsidRPr="009C0718">
              <w:rPr>
                <w:rFonts w:ascii="Calibri" w:hAnsi="Calibri" w:cs="Calibri"/>
                <w:b w:val="0"/>
                <w:bCs/>
                <w:szCs w:val="17"/>
              </w:rPr>
              <w:t>(789)</w:t>
            </w:r>
          </w:p>
        </w:tc>
      </w:tr>
    </w:tbl>
    <w:bookmarkEnd w:id="105"/>
    <w:p w:rsidR="004B6846" w:rsidRPr="00B720EB" w:rsidRDefault="004B6846" w:rsidP="00CC0EB7">
      <w:pPr>
        <w:pStyle w:val="Source"/>
      </w:pPr>
      <w:r w:rsidRPr="00B720EB">
        <w:t>Source: Department of Treasury and Finance</w:t>
      </w:r>
    </w:p>
    <w:bookmarkEnd w:id="106"/>
    <w:p w:rsidR="004B6846" w:rsidRDefault="004B6846" w:rsidP="00CC0EB7">
      <w:pPr>
        <w:pStyle w:val="Note"/>
      </w:pPr>
      <w:r w:rsidRPr="00B720EB">
        <w:t>Notes:</w:t>
      </w:r>
    </w:p>
    <w:p w:rsidR="004B6846" w:rsidRDefault="004B6846" w:rsidP="00CC0EB7">
      <w:pPr>
        <w:pStyle w:val="Note"/>
      </w:pPr>
      <w:r>
        <w:t>(a)</w:t>
      </w:r>
      <w:r>
        <w:tab/>
        <w:t>Variations are applied to the economic variables effective from the first day in the budget year (1 July 2018). It is assumed that each variable’s growth rate matches that under a no</w:t>
      </w:r>
      <w:r>
        <w:noBreakHyphen/>
        <w:t>variation scenario for the forward estimates period. This implies economic variables, other than interest rates, are 1 per cent higher across the four years compared with a no</w:t>
      </w:r>
      <w:r>
        <w:noBreakHyphen/>
        <w:t>variation scenario; i</w:t>
      </w:r>
      <w:r w:rsidRPr="00CC126D">
        <w:t>nterest rates are assumed to be 1 percentage point higher in each year of t</w:t>
      </w:r>
      <w:r>
        <w:t xml:space="preserve">he budget and forward estimates. </w:t>
      </w:r>
    </w:p>
    <w:p w:rsidR="004B6846" w:rsidRDefault="004B6846" w:rsidP="00CC0EB7">
      <w:pPr>
        <w:pStyle w:val="Note"/>
      </w:pPr>
      <w:r>
        <w:t>(b)</w:t>
      </w:r>
      <w:r>
        <w:tab/>
        <w:t>A positive number for income from transactions denotes an increase in revenue. A positive number for expenses from transactions denotes an increase in expenses (and hence a reduction in the net result from transactions). A positive number for the net result from transactions denotes a higher surplus or smaller deficit. A positive number for net debt denotes a higher level of net debt in the relevant year compared with a no</w:t>
      </w:r>
      <w:r>
        <w:noBreakHyphen/>
        <w:t>variation scenario. Numbers may not balance due to rounding.</w:t>
      </w:r>
    </w:p>
    <w:p w:rsidR="004B6846" w:rsidRDefault="004B6846" w:rsidP="00CC0EB7">
      <w:pPr>
        <w:pStyle w:val="Note"/>
      </w:pPr>
      <w:r>
        <w:t>(c)</w:t>
      </w:r>
      <w:r>
        <w:tab/>
        <w:t>Only reasonably quantifiable impacts have been included in the analysis.</w:t>
      </w:r>
    </w:p>
    <w:p w:rsidR="004B6846" w:rsidRPr="007008E0" w:rsidRDefault="004B6846" w:rsidP="00CC0EB7">
      <w:pPr>
        <w:pStyle w:val="Note"/>
      </w:pPr>
      <w:r w:rsidRPr="007008E0">
        <w:t>(d)</w:t>
      </w:r>
      <w:r w:rsidRPr="007008E0">
        <w:tab/>
        <w:t>Estimates of net debt are approximately equal to the cumulative impact of the net result from transactions. The difference between the cumulative net result from transactions and net debt is due to non</w:t>
      </w:r>
      <w:r w:rsidRPr="007008E0">
        <w:noBreakHyphen/>
        <w:t>cash expenses and gross sale proceeds (where applicable).</w:t>
      </w:r>
    </w:p>
    <w:p w:rsidR="004B6846" w:rsidRPr="007008E0" w:rsidRDefault="004B6846" w:rsidP="00CC0EB7">
      <w:pPr>
        <w:pStyle w:val="Note"/>
      </w:pPr>
      <w:r w:rsidRPr="007008E0">
        <w:t>(e)</w:t>
      </w:r>
      <w:r w:rsidRPr="007008E0">
        <w:tab/>
        <w:t>A shock to employment is assumed to impact payroll tax</w:t>
      </w:r>
      <w:r>
        <w:t xml:space="preserve"> </w:t>
      </w:r>
      <w:r w:rsidRPr="007008E0">
        <w:t>revenue to an extent consistent with no change to historical relationships between total employment, part</w:t>
      </w:r>
      <w:r w:rsidRPr="007008E0">
        <w:noBreakHyphen/>
        <w:t>time/full</w:t>
      </w:r>
      <w:r w:rsidRPr="007008E0">
        <w:noBreakHyphen/>
        <w:t>time employment shares, and payroll tax revenue. Both public and private sector employment are assumed to be 1 per cent higher across the four years; the rise in public sector employment boosts general government sector employee expenses.</w:t>
      </w:r>
    </w:p>
    <w:p w:rsidR="004B6846" w:rsidRPr="007008E0" w:rsidRDefault="004B6846" w:rsidP="00CC0EB7">
      <w:pPr>
        <w:pStyle w:val="Note"/>
      </w:pPr>
      <w:r w:rsidRPr="007008E0">
        <w:t>(f)</w:t>
      </w:r>
      <w:r w:rsidRPr="007008E0">
        <w:tab/>
        <w:t>Incorporates the impact of departmental funding model arrangements. It is assumed that an increase in consumer prices within the budget year does not affect employee entitlements.</w:t>
      </w:r>
    </w:p>
    <w:p w:rsidR="004B6846" w:rsidRPr="007008E0" w:rsidRDefault="004B6846" w:rsidP="00CC0EB7">
      <w:pPr>
        <w:pStyle w:val="Note"/>
      </w:pPr>
      <w:r w:rsidRPr="007008E0">
        <w:t>(g)</w:t>
      </w:r>
      <w:r w:rsidRPr="007008E0">
        <w:tab/>
        <w:t>A positive shock to average weekly earnings increases the expenses of public financial and non</w:t>
      </w:r>
      <w:r w:rsidRPr="007008E0">
        <w:noBreakHyphen/>
        <w:t xml:space="preserve">financial corporations and reduces the general government sector’s income from dividends and ITEs. </w:t>
      </w:r>
    </w:p>
    <w:p w:rsidR="004B6846" w:rsidRDefault="004B6846" w:rsidP="00CC0EB7">
      <w:pPr>
        <w:pStyle w:val="Note"/>
      </w:pPr>
      <w:r w:rsidRPr="007008E0">
        <w:t xml:space="preserve">(h) </w:t>
      </w:r>
      <w:r w:rsidRPr="007008E0">
        <w:tab/>
        <w:t>Represents a one</w:t>
      </w:r>
      <w:r w:rsidRPr="007008E0">
        <w:noBreakHyphen/>
        <w:t>off 1 per cent increase in total employee expenses relative to a no</w:t>
      </w:r>
      <w:r w:rsidRPr="007008E0">
        <w:noBreakHyphen/>
        <w:t>variation scenario. This could be generated through a change in the size of the workforce, the price of the workforce (salaries, overtime, allowances and bonuses, long service leave expenses, fringe benefits tax and WorkCover premiums), through other management decisions regarding the composition and profile of the workforce or any combination of these.</w:t>
      </w:r>
      <w:r w:rsidRPr="00B06916">
        <w:t xml:space="preserve"> </w:t>
      </w:r>
    </w:p>
    <w:p w:rsidR="004B6846" w:rsidRDefault="004B6846" w:rsidP="00CC0EB7">
      <w:pPr>
        <w:pStyle w:val="Note"/>
      </w:pPr>
      <w:r>
        <w:t>(i)</w:t>
      </w:r>
      <w:r>
        <w:tab/>
        <w:t>Interest rates are assumed to be 1 percentage point higher in each year of the budget and forward estimates.</w:t>
      </w:r>
    </w:p>
    <w:p w:rsidR="004B6846" w:rsidRDefault="004B6846" w:rsidP="00CC0EB7">
      <w:pPr>
        <w:keepLines w:val="0"/>
        <w:rPr>
          <w:rFonts w:asciiTheme="majorHAnsi" w:hAnsiTheme="majorHAnsi"/>
          <w:i/>
          <w:spacing w:val="-2"/>
          <w:sz w:val="14"/>
        </w:rPr>
      </w:pPr>
      <w:r>
        <w:br w:type="page"/>
      </w:r>
    </w:p>
    <w:p w:rsidR="004B6846" w:rsidRPr="0015723C" w:rsidRDefault="004B6846" w:rsidP="00CC0EB7">
      <w:pPr>
        <w:jc w:val="center"/>
        <w:rPr>
          <w:rFonts w:eastAsia="Times New Roman" w:cs="Times New Roman"/>
        </w:rPr>
      </w:pPr>
    </w:p>
    <w:p w:rsidR="004B6846" w:rsidRPr="0015723C" w:rsidRDefault="004B6846" w:rsidP="00CC0EB7">
      <w:pPr>
        <w:jc w:val="center"/>
        <w:rPr>
          <w:rFonts w:eastAsia="Times New Roman" w:cs="Times New Roman"/>
        </w:rPr>
      </w:pPr>
    </w:p>
    <w:p w:rsidR="004B6846" w:rsidRDefault="004B6846" w:rsidP="004419CD"/>
    <w:p w:rsidR="004B6846" w:rsidRDefault="004B6846" w:rsidP="004B6846">
      <w:pPr>
        <w:pStyle w:val="Heading10"/>
        <w:sectPr w:rsidR="004B6846" w:rsidSect="00CC0EB7">
          <w:footerReference w:type="even" r:id="rId94"/>
          <w:footerReference w:type="default" r:id="rId95"/>
          <w:footerReference w:type="first" r:id="rId96"/>
          <w:type w:val="oddPage"/>
          <w:pgSz w:w="9979" w:h="14175" w:code="9"/>
          <w:pgMar w:top="850" w:right="1134" w:bottom="850" w:left="1134" w:header="624" w:footer="567" w:gutter="0"/>
          <w:cols w:space="567"/>
          <w:titlePg/>
          <w:docGrid w:linePitch="360"/>
        </w:sectPr>
      </w:pPr>
    </w:p>
    <w:p w:rsidR="004B6846" w:rsidRDefault="004B6846" w:rsidP="000C43CD">
      <w:pPr>
        <w:pStyle w:val="Chapterheading"/>
      </w:pPr>
      <w:bookmarkStart w:id="107" w:name="_Toc531884970"/>
      <w:r>
        <w:lastRenderedPageBreak/>
        <w:t xml:space="preserve">Appendix E – Quarterly Financial Report for the Victorian general government sector – </w:t>
      </w:r>
      <w:r w:rsidR="00F74250">
        <w:t>S</w:t>
      </w:r>
      <w:r>
        <w:t>eptember 2018</w:t>
      </w:r>
      <w:bookmarkEnd w:id="107"/>
    </w:p>
    <w:p w:rsidR="004B6846" w:rsidRDefault="004B6846" w:rsidP="003C6991">
      <w:pPr>
        <w:rPr>
          <w:b/>
          <w:bCs/>
          <w:caps/>
        </w:rPr>
      </w:pPr>
      <w:r w:rsidRPr="00E73B5F">
        <w:t xml:space="preserve">The financial statements included in this appendix estimate </w:t>
      </w:r>
      <w:r>
        <w:t xml:space="preserve">the revised budget outcomes for the 2018-19 financial year and </w:t>
      </w:r>
      <w:r w:rsidRPr="00E73B5F">
        <w:t>the</w:t>
      </w:r>
      <w:r>
        <w:t xml:space="preserve"> actual</w:t>
      </w:r>
      <w:r w:rsidRPr="00E73B5F">
        <w:t xml:space="preserve"> financial results for the general government </w:t>
      </w:r>
      <w:r>
        <w:t>sector for the three months ended 30 September</w:t>
      </w:r>
      <w:r w:rsidRPr="00E73B5F">
        <w:t xml:space="preserve"> 2018, prepared in accordance with the </w:t>
      </w:r>
      <w:r w:rsidRPr="008F43A4">
        <w:rPr>
          <w:i/>
        </w:rPr>
        <w:t>Financial Management Act 1994</w:t>
      </w:r>
      <w:r w:rsidRPr="00E73B5F">
        <w:t>.</w:t>
      </w:r>
    </w:p>
    <w:p w:rsidR="004B6846" w:rsidRDefault="004B6846" w:rsidP="003C6991">
      <w:pPr>
        <w:pStyle w:val="Heading1-AppendixE"/>
      </w:pPr>
      <w:r>
        <w:t>GENERAL GOVERNMENT SECTOR OUTCOME</w:t>
      </w:r>
    </w:p>
    <w:p w:rsidR="004B6846" w:rsidRDefault="004B6846" w:rsidP="00CC0EB7">
      <w:pPr>
        <w:pStyle w:val="Heading20"/>
        <w:spacing w:before="180"/>
      </w:pPr>
      <w:r>
        <w:t>Financial performance</w:t>
      </w:r>
    </w:p>
    <w:p w:rsidR="004B6846" w:rsidRDefault="004B6846" w:rsidP="00CC0EB7">
      <w:pPr>
        <w:ind w:right="-86"/>
      </w:pPr>
      <w:r>
        <w:t>The general government sector recorded a net result from transactions of $832</w:t>
      </w:r>
      <w:r w:rsidRPr="00E831CC">
        <w:t> million</w:t>
      </w:r>
      <w:r>
        <w:t xml:space="preserve"> for the three months to 30 September 2018. This is higher than the $555</w:t>
      </w:r>
      <w:r w:rsidRPr="00E831CC">
        <w:t> million</w:t>
      </w:r>
      <w:r>
        <w:t xml:space="preserve"> net result from transactions for the first quarter of </w:t>
      </w:r>
      <w:r w:rsidRPr="00E831CC">
        <w:t>2017</w:t>
      </w:r>
      <w:r w:rsidRPr="00E831CC">
        <w:noBreakHyphen/>
        <w:t>18</w:t>
      </w:r>
      <w:r w:rsidR="00032788">
        <w:t>, primarily driven by</w:t>
      </w:r>
      <w:r>
        <w:t xml:space="preserve"> growth in GST grants due to an increase in Victoria’s share of national population, an increase in Victoria’s GST relativity and an increase in the expected 2018-19 national GST pool in the Commonwealth’s 2018-19 B</w:t>
      </w:r>
      <w:r w:rsidRPr="00930574">
        <w:t>udget</w:t>
      </w:r>
      <w:r>
        <w:t>. Growth in payroll tax revenue, attributable to strong employment growth, is also contributing to the higher net result from transactions for the three months to 30 September 2018 when compared to the same period last year.</w:t>
      </w:r>
    </w:p>
    <w:p w:rsidR="004B6846" w:rsidRDefault="004B6846" w:rsidP="00CC0EB7">
      <w:r>
        <w:t xml:space="preserve">Similar to previous years, the uneven recognition pattern of various major revenue items such as land tax, the Fire Services Property Levy, Commonwealth grants and dividends from public corporations has a significant impact on quarterly operating results. Accordingly, care needs to be taken in their interpretation and projecting potential annual outcomes. </w:t>
      </w:r>
    </w:p>
    <w:p w:rsidR="004B6846" w:rsidRDefault="004B6846" w:rsidP="00CC0EB7">
      <w:pPr>
        <w:keepNext/>
      </w:pPr>
      <w:r>
        <w:t>Revenue for the quarter totalled $16.6</w:t>
      </w:r>
      <w:r w:rsidRPr="00E831CC">
        <w:t> billion</w:t>
      </w:r>
      <w:r>
        <w:t>, or 23.8</w:t>
      </w:r>
      <w:r w:rsidRPr="00E831CC">
        <w:t> per cent</w:t>
      </w:r>
      <w:r>
        <w:t xml:space="preserve"> of the full year revised budget. Although revenue levels are tracking slightly below the revised budget, this is consistent with previous years and expectations for the current year to date, due to the timing of certain revenue items. In particular:</w:t>
      </w:r>
    </w:p>
    <w:p w:rsidR="004B6846" w:rsidRPr="009A7AAE" w:rsidRDefault="004B6846" w:rsidP="00393CA4">
      <w:pPr>
        <w:pStyle w:val="ListBullet"/>
      </w:pPr>
      <w:r w:rsidRPr="009A7AAE">
        <w:t xml:space="preserve">land tax recognition is $781 million below the pro rata revised budget, as the majority of land tax is billed and recognised in the March quarter, partially offset by the Fire Services Property Levy which is tracking $483 million above the pro-rata revised budget due to its billing in the September quarter; </w:t>
      </w:r>
    </w:p>
    <w:p w:rsidR="004B6846" w:rsidRPr="009A7AAE" w:rsidRDefault="004B6846" w:rsidP="00393CA4">
      <w:pPr>
        <w:pStyle w:val="ListBullet"/>
      </w:pPr>
      <w:r w:rsidRPr="009A7AAE">
        <w:t>grant revenue is $456 million below the pro-rata revised budget, primarily impacted by the timing of Commonwealth Government grants; and</w:t>
      </w:r>
    </w:p>
    <w:p w:rsidR="004B6846" w:rsidRPr="009A7AAE" w:rsidRDefault="004B6846" w:rsidP="00393CA4">
      <w:pPr>
        <w:pStyle w:val="ListBullet"/>
      </w:pPr>
      <w:r w:rsidRPr="009A7AAE">
        <w:lastRenderedPageBreak/>
        <w:t>dividends from public non-financial and financial corporations are lower than the pro</w:t>
      </w:r>
      <w:r w:rsidRPr="009A7AAE">
        <w:noBreakHyphen/>
        <w:t>rata revised budget for the quarter as they are typically declared during the second and fourth quarters of the relevant financial years.</w:t>
      </w:r>
    </w:p>
    <w:p w:rsidR="004B6846" w:rsidRDefault="004B6846" w:rsidP="00CC0EB7">
      <w:r>
        <w:t xml:space="preserve">Expenses from transactions totalled $15.8 </w:t>
      </w:r>
      <w:r w:rsidRPr="00E831CC">
        <w:t>billion</w:t>
      </w:r>
      <w:r>
        <w:t xml:space="preserve"> for the September 2018 quarter, or </w:t>
      </w:r>
      <w:r w:rsidRPr="0081308B">
        <w:t>23.3 per</w:t>
      </w:r>
      <w:r w:rsidRPr="00E831CC">
        <w:t> cent</w:t>
      </w:r>
      <w:r>
        <w:t xml:space="preserve"> of the annual revised budget for the year. </w:t>
      </w:r>
    </w:p>
    <w:p w:rsidR="004B6846" w:rsidRDefault="004B6846" w:rsidP="00CC0EB7">
      <w:r>
        <w:t>Grant expenditure was 22.3</w:t>
      </w:r>
      <w:r w:rsidRPr="00E831CC">
        <w:t> per cent</w:t>
      </w:r>
      <w:r>
        <w:t xml:space="preserve"> of the revised budget for the quarter. This was lower than the pro-rata revised budget primarily due to the timing of payments to the Commonwealth relating to the National Disability Insurance Scheme.</w:t>
      </w:r>
    </w:p>
    <w:p w:rsidR="004B6846" w:rsidRDefault="004B6846" w:rsidP="00CC0EB7">
      <w:r>
        <w:t>Other significant expenditure categories include employee expenses and other operating expenses. These tracked below pro-rata for the September quarter, at 24.3</w:t>
      </w:r>
      <w:r w:rsidRPr="00E831CC">
        <w:t> per cent</w:t>
      </w:r>
      <w:r>
        <w:t xml:space="preserve"> and 22.6</w:t>
      </w:r>
      <w:r w:rsidRPr="00E831CC">
        <w:t> per cent</w:t>
      </w:r>
      <w:r>
        <w:t xml:space="preserve"> of the revised budget respectively, in line with expectations.</w:t>
      </w:r>
    </w:p>
    <w:p w:rsidR="004B6846" w:rsidRDefault="004B6846" w:rsidP="00CC0EB7">
      <w:pPr>
        <w:ind w:right="-369"/>
      </w:pPr>
      <w:r>
        <w:t xml:space="preserve">The comprehensive result includes other economic flows that are not included in the net </w:t>
      </w:r>
      <w:r>
        <w:br/>
        <w:t>result from transactions. The comprehensive result was a surplus of $1.9</w:t>
      </w:r>
      <w:r w:rsidRPr="00E831CC">
        <w:t> billion</w:t>
      </w:r>
      <w:r>
        <w:t xml:space="preserve"> for the quarter, compared with $1.7 b</w:t>
      </w:r>
      <w:r w:rsidRPr="00E831CC">
        <w:t>illion</w:t>
      </w:r>
      <w:r>
        <w:t xml:space="preserve"> over the same period in </w:t>
      </w:r>
      <w:r w:rsidRPr="00E831CC">
        <w:t>2017</w:t>
      </w:r>
      <w:r w:rsidRPr="00E831CC">
        <w:noBreakHyphen/>
        <w:t>18</w:t>
      </w:r>
      <w:r>
        <w:t>. In both periods, the surplus was primarily attributable to gains on the remeasurement of the State’s superannuation liability due to increases in the bond yields that underlie the key superannuation valuation assumptions.</w:t>
      </w:r>
    </w:p>
    <w:p w:rsidR="004B6846" w:rsidRDefault="004B6846" w:rsidP="00CC0EB7">
      <w:pPr>
        <w:pStyle w:val="Heading20"/>
      </w:pPr>
      <w:r>
        <w:t>Financial position</w:t>
      </w:r>
    </w:p>
    <w:p w:rsidR="004B6846" w:rsidRDefault="004B6846" w:rsidP="00CC0EB7">
      <w:r>
        <w:t>Total assets over the three months to September 2018 increased by $771</w:t>
      </w:r>
      <w:r w:rsidRPr="00E831CC">
        <w:t> million</w:t>
      </w:r>
      <w:r>
        <w:t xml:space="preserve"> to $265</w:t>
      </w:r>
      <w:r w:rsidRPr="00E831CC">
        <w:t> billion</w:t>
      </w:r>
      <w:r>
        <w:t xml:space="preserve">. Total assets are expected to increase throughout the remainder of 2018-19 as a result of the Government’s infrastructure investment program. </w:t>
      </w:r>
    </w:p>
    <w:p w:rsidR="004B6846" w:rsidRDefault="004B6846" w:rsidP="00CC0EB7">
      <w:r>
        <w:t>Total liabilities declined by $1.2</w:t>
      </w:r>
      <w:r w:rsidRPr="00E831CC">
        <w:t> billion</w:t>
      </w:r>
      <w:r>
        <w:t xml:space="preserve"> to $79.0</w:t>
      </w:r>
      <w:r w:rsidRPr="00E831CC">
        <w:t> billion</w:t>
      </w:r>
      <w:r>
        <w:t xml:space="preserve"> over the same period, primarily due to the earlier mentioned positive remeasurement of the State’s superannuation liability. </w:t>
      </w:r>
    </w:p>
    <w:p w:rsidR="004B6846" w:rsidRDefault="004B6846" w:rsidP="00CC0EB7">
      <w:r>
        <w:t>Net debt decreased by $1.3</w:t>
      </w:r>
      <w:r w:rsidRPr="00E831CC">
        <w:t> billion</w:t>
      </w:r>
      <w:r>
        <w:t xml:space="preserve"> to $18.</w:t>
      </w:r>
      <w:r w:rsidRPr="00E831CC">
        <w:t>7 billion</w:t>
      </w:r>
      <w:r>
        <w:t xml:space="preserve"> over the quarter, primarily due to the receipt of proce</w:t>
      </w:r>
      <w:r w:rsidRPr="00C75752">
        <w:t>eds from the commercialisation of the land titles and registry functions of Land Use Victoria</w:t>
      </w:r>
      <w:r>
        <w:t>.</w:t>
      </w:r>
    </w:p>
    <w:p w:rsidR="004B6846" w:rsidRDefault="004B6846" w:rsidP="00CC0EB7">
      <w:pPr>
        <w:pStyle w:val="Heading20"/>
      </w:pPr>
      <w:r>
        <w:t>Cash flows</w:t>
      </w:r>
    </w:p>
    <w:p w:rsidR="004B6846" w:rsidRDefault="004B6846" w:rsidP="00CC0EB7">
      <w:pPr>
        <w:ind w:right="-369"/>
      </w:pPr>
      <w:r>
        <w:t>The movements disclosed in the cash flow statement are consistent with the above</w:t>
      </w:r>
      <w:r>
        <w:noBreakHyphen/>
        <w:t xml:space="preserve">mentioned drivers associated with the net result, the impact of the Government’s infrastructure program, and </w:t>
      </w:r>
      <w:r w:rsidRPr="00C75752">
        <w:t xml:space="preserve">the </w:t>
      </w:r>
      <w:r>
        <w:t>upfront proce</w:t>
      </w:r>
      <w:r w:rsidRPr="00C75752">
        <w:t>eds from the commercialisation of the land titles and registry functions of Land Use Victoria</w:t>
      </w:r>
      <w:r>
        <w:t>.</w:t>
      </w:r>
    </w:p>
    <w:p w:rsidR="004B6846" w:rsidRDefault="004B6846" w:rsidP="00CC0EB7">
      <w:pPr>
        <w:pStyle w:val="Heading20"/>
      </w:pPr>
      <w:r>
        <w:t>Infrastructure investment</w:t>
      </w:r>
    </w:p>
    <w:p w:rsidR="004B6846" w:rsidRDefault="004B6846" w:rsidP="00CC0EB7">
      <w:r>
        <w:t>The State continues to deliver its infrastructure program to support growing community needs and ongoing productivity improvement.</w:t>
      </w:r>
    </w:p>
    <w:p w:rsidR="004B6846" w:rsidRDefault="004B6846" w:rsidP="00CC0EB7">
      <w:r>
        <w:t>For the three months to September 2018, net investment in infrastructure totalled $2.2</w:t>
      </w:r>
      <w:r w:rsidRPr="00E831CC">
        <w:t> billion</w:t>
      </w:r>
      <w:r>
        <w:t>, compared to $1.9</w:t>
      </w:r>
      <w:r w:rsidRPr="00E831CC">
        <w:t> billion</w:t>
      </w:r>
      <w:r>
        <w:t xml:space="preserve"> over the corresponding period in 2017. </w:t>
      </w:r>
    </w:p>
    <w:p w:rsidR="004B6846" w:rsidRPr="00E831CC" w:rsidRDefault="004B6846" w:rsidP="00CC0EB7">
      <w:pPr>
        <w:keepLines w:val="0"/>
      </w:pPr>
      <w:r>
        <w:br w:type="page"/>
      </w:r>
    </w:p>
    <w:p w:rsidR="004B6846" w:rsidRDefault="004B6846" w:rsidP="00CB74DA">
      <w:pPr>
        <w:pStyle w:val="Heading1-AppendixE"/>
      </w:pPr>
      <w:r>
        <w:lastRenderedPageBreak/>
        <w:t>CONSOLIDATED COMPREHENSIVE OPERATING STATEMENT</w:t>
      </w:r>
    </w:p>
    <w:p w:rsidR="004B6846" w:rsidRPr="00F54471" w:rsidRDefault="004B6846" w:rsidP="00CC0EB7">
      <w:pPr>
        <w:pStyle w:val="TableHeading"/>
        <w:rPr>
          <w:bCs/>
          <w:lang w:val="en-US"/>
        </w:rPr>
      </w:pPr>
      <w:r>
        <w:t>For the period ended 30 September</w:t>
      </w:r>
      <w:r>
        <w:tab/>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4479"/>
        <w:gridCol w:w="155"/>
        <w:gridCol w:w="582"/>
        <w:gridCol w:w="850"/>
        <w:gridCol w:w="850"/>
      </w:tblGrid>
      <w:tr w:rsidR="004B6846" w:rsidRPr="00F5447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F54471" w:rsidRDefault="004B6846" w:rsidP="00CC0EB7">
            <w:pPr>
              <w:autoSpaceDE w:val="0"/>
              <w:autoSpaceDN w:val="0"/>
              <w:adjustRightInd w:val="0"/>
              <w:jc w:val="right"/>
              <w:rPr>
                <w:rFonts w:eastAsiaTheme="minorEastAsia" w:cstheme="majorHAnsi"/>
                <w:iCs/>
                <w:color w:val="FFFFFF"/>
                <w:szCs w:val="18"/>
                <w:lang w:eastAsia="en-AU"/>
              </w:rPr>
            </w:pPr>
            <w:r w:rsidRPr="00F54471">
              <w:rPr>
                <w:rFonts w:eastAsiaTheme="minorEastAsia" w:cstheme="majorHAnsi"/>
                <w:iCs/>
                <w:color w:val="FFFFFF"/>
                <w:szCs w:val="18"/>
                <w:lang w:eastAsia="en-AU"/>
              </w:rPr>
              <w:t>2017-18</w:t>
            </w:r>
          </w:p>
        </w:tc>
        <w:tc>
          <w:tcPr>
            <w:tcW w:w="4479" w:type="dxa"/>
            <w:tcBorders>
              <w:top w:val="nil"/>
              <w:left w:val="nil"/>
              <w:bottom w:val="nil"/>
              <w:right w:val="nil"/>
            </w:tcBorders>
            <w:shd w:val="solid" w:color="000000" w:fill="auto"/>
          </w:tcPr>
          <w:p w:rsidR="004B6846" w:rsidRPr="00F5447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F54471">
              <w:rPr>
                <w:rFonts w:eastAsiaTheme="minorEastAsia" w:cstheme="majorHAnsi"/>
                <w:iCs/>
                <w:color w:val="FFFFFF"/>
                <w:lang w:eastAsia="en-AU"/>
              </w:rPr>
              <w:t xml:space="preserve"> </w:t>
            </w:r>
          </w:p>
        </w:tc>
        <w:tc>
          <w:tcPr>
            <w:tcW w:w="737" w:type="dxa"/>
            <w:gridSpan w:val="2"/>
            <w:tcBorders>
              <w:top w:val="nil"/>
              <w:left w:val="nil"/>
              <w:bottom w:val="nil"/>
              <w:right w:val="nil"/>
            </w:tcBorders>
            <w:shd w:val="solid" w:color="000000" w:fill="auto"/>
          </w:tcPr>
          <w:p w:rsidR="004B6846" w:rsidRPr="00F54471"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F54471">
              <w:rPr>
                <w:rFonts w:eastAsiaTheme="minorEastAsia" w:cstheme="majorHAnsi"/>
                <w:iCs/>
                <w:color w:val="FFFFFF"/>
                <w:lang w:eastAsia="en-AU"/>
              </w:rPr>
              <w:t xml:space="preserve"> </w:t>
            </w:r>
          </w:p>
        </w:tc>
        <w:tc>
          <w:tcPr>
            <w:tcW w:w="1700" w:type="dxa"/>
            <w:gridSpan w:val="2"/>
            <w:tcBorders>
              <w:top w:val="nil"/>
              <w:left w:val="nil"/>
              <w:bottom w:val="nil"/>
              <w:right w:val="nil"/>
            </w:tcBorders>
            <w:shd w:val="solid" w:color="000000" w:fill="auto"/>
          </w:tcPr>
          <w:p w:rsidR="004B6846" w:rsidRPr="00F54471"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F54471">
              <w:rPr>
                <w:rFonts w:eastAsiaTheme="minorEastAsia" w:cstheme="majorHAnsi"/>
                <w:iCs/>
                <w:color w:val="FFFFFF"/>
                <w:szCs w:val="18"/>
                <w:lang w:eastAsia="en-AU"/>
              </w:rPr>
              <w:t xml:space="preserve">2018-19 </w:t>
            </w:r>
          </w:p>
        </w:tc>
      </w:tr>
      <w:tr w:rsidR="004B6846" w:rsidRPr="00F5447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F54471" w:rsidRDefault="004B6846" w:rsidP="00CC0EB7">
            <w:pPr>
              <w:keepLines w:val="0"/>
              <w:autoSpaceDE w:val="0"/>
              <w:autoSpaceDN w:val="0"/>
              <w:adjustRightInd w:val="0"/>
              <w:jc w:val="right"/>
              <w:rPr>
                <w:rFonts w:eastAsiaTheme="minorEastAsia" w:cstheme="majorHAnsi"/>
                <w:iCs/>
                <w:color w:val="FFFFFF"/>
                <w:szCs w:val="18"/>
                <w:lang w:eastAsia="en-AU"/>
              </w:rPr>
            </w:pPr>
            <w:r w:rsidRPr="00F54471">
              <w:rPr>
                <w:rFonts w:eastAsiaTheme="minorEastAsia" w:cstheme="majorHAnsi"/>
                <w:iCs/>
                <w:color w:val="FFFFFF"/>
                <w:szCs w:val="18"/>
                <w:lang w:eastAsia="en-AU"/>
              </w:rPr>
              <w:t xml:space="preserve">actual </w:t>
            </w:r>
          </w:p>
        </w:tc>
        <w:tc>
          <w:tcPr>
            <w:tcW w:w="4479" w:type="dxa"/>
            <w:tcBorders>
              <w:top w:val="nil"/>
              <w:left w:val="nil"/>
              <w:bottom w:val="nil"/>
              <w:right w:val="nil"/>
            </w:tcBorders>
            <w:shd w:val="solid" w:color="000000" w:fill="auto"/>
          </w:tcPr>
          <w:p w:rsidR="004B6846" w:rsidRPr="00F5447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F54471">
              <w:rPr>
                <w:rFonts w:eastAsiaTheme="minorEastAsia" w:cstheme="majorHAnsi"/>
                <w:iCs/>
                <w:color w:val="FFFFFF"/>
                <w:lang w:eastAsia="en-AU"/>
              </w:rPr>
              <w:t xml:space="preserve"> </w:t>
            </w:r>
          </w:p>
        </w:tc>
        <w:tc>
          <w:tcPr>
            <w:tcW w:w="737" w:type="dxa"/>
            <w:gridSpan w:val="2"/>
            <w:tcBorders>
              <w:top w:val="nil"/>
              <w:left w:val="nil"/>
              <w:bottom w:val="nil"/>
              <w:right w:val="nil"/>
            </w:tcBorders>
            <w:shd w:val="solid" w:color="000000" w:fill="auto"/>
          </w:tcPr>
          <w:p w:rsidR="004B6846" w:rsidRPr="00F54471"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F54471">
              <w:rPr>
                <w:rFonts w:eastAsiaTheme="minorEastAsia" w:cstheme="majorHAnsi"/>
                <w:iCs/>
                <w:color w:val="FFFFFF"/>
                <w:szCs w:val="18"/>
                <w:lang w:eastAsia="en-AU"/>
              </w:rPr>
              <w:t xml:space="preserve"> </w:t>
            </w:r>
          </w:p>
        </w:tc>
        <w:tc>
          <w:tcPr>
            <w:tcW w:w="850" w:type="dxa"/>
            <w:tcBorders>
              <w:top w:val="nil"/>
              <w:left w:val="nil"/>
              <w:bottom w:val="nil"/>
              <w:right w:val="nil"/>
            </w:tcBorders>
            <w:shd w:val="solid" w:color="000000" w:fill="auto"/>
          </w:tcPr>
          <w:p w:rsidR="004B6846" w:rsidRPr="00F5447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F54471">
              <w:rPr>
                <w:rFonts w:eastAsiaTheme="minorEastAsia" w:cstheme="majorHAnsi"/>
                <w:iCs/>
                <w:color w:val="FFFFFF"/>
                <w:szCs w:val="18"/>
                <w:lang w:eastAsia="en-AU"/>
              </w:rPr>
              <w:t xml:space="preserve">actual </w:t>
            </w:r>
          </w:p>
        </w:tc>
        <w:tc>
          <w:tcPr>
            <w:tcW w:w="850" w:type="dxa"/>
            <w:tcBorders>
              <w:top w:val="nil"/>
              <w:left w:val="nil"/>
              <w:bottom w:val="nil"/>
              <w:right w:val="nil"/>
            </w:tcBorders>
            <w:shd w:val="solid" w:color="000000" w:fill="auto"/>
          </w:tcPr>
          <w:p w:rsidR="004B6846" w:rsidRPr="00F5447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F54471">
              <w:rPr>
                <w:rFonts w:eastAsiaTheme="minorEastAsia" w:cstheme="majorHAnsi"/>
                <w:iCs/>
                <w:color w:val="FFFFFF"/>
                <w:szCs w:val="18"/>
                <w:lang w:eastAsia="en-AU"/>
              </w:rPr>
              <w:t>revised</w:t>
            </w:r>
          </w:p>
        </w:tc>
      </w:tr>
      <w:tr w:rsidR="004B6846" w:rsidRPr="00F5447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F54471" w:rsidRDefault="004B6846" w:rsidP="00CC0EB7">
            <w:pPr>
              <w:keepLines w:val="0"/>
              <w:autoSpaceDE w:val="0"/>
              <w:autoSpaceDN w:val="0"/>
              <w:adjustRightInd w:val="0"/>
              <w:jc w:val="right"/>
              <w:rPr>
                <w:rFonts w:eastAsiaTheme="minorEastAsia" w:cstheme="majorHAnsi"/>
                <w:iCs/>
                <w:color w:val="FFFFFF"/>
                <w:szCs w:val="18"/>
                <w:lang w:eastAsia="en-AU"/>
              </w:rPr>
            </w:pPr>
            <w:r w:rsidRPr="00F54471">
              <w:rPr>
                <w:rFonts w:eastAsiaTheme="minorEastAsia" w:cstheme="majorHAnsi"/>
                <w:iCs/>
                <w:color w:val="FFFFFF"/>
                <w:szCs w:val="18"/>
                <w:lang w:eastAsia="en-AU"/>
              </w:rPr>
              <w:t>30 Sep</w:t>
            </w:r>
          </w:p>
        </w:tc>
        <w:tc>
          <w:tcPr>
            <w:tcW w:w="4479" w:type="dxa"/>
            <w:tcBorders>
              <w:top w:val="nil"/>
              <w:left w:val="nil"/>
              <w:bottom w:val="nil"/>
              <w:right w:val="nil"/>
            </w:tcBorders>
            <w:shd w:val="solid" w:color="000000" w:fill="auto"/>
          </w:tcPr>
          <w:p w:rsidR="004B6846" w:rsidRPr="00F5447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F54471">
              <w:rPr>
                <w:rFonts w:eastAsiaTheme="minorEastAsia" w:cstheme="majorHAnsi"/>
                <w:iCs/>
                <w:color w:val="FFFFFF"/>
                <w:lang w:eastAsia="en-AU"/>
              </w:rPr>
              <w:t xml:space="preserve"> </w:t>
            </w:r>
          </w:p>
        </w:tc>
        <w:tc>
          <w:tcPr>
            <w:tcW w:w="737" w:type="dxa"/>
            <w:gridSpan w:val="2"/>
            <w:tcBorders>
              <w:top w:val="nil"/>
              <w:left w:val="nil"/>
              <w:bottom w:val="nil"/>
              <w:right w:val="nil"/>
            </w:tcBorders>
            <w:shd w:val="solid" w:color="000000" w:fill="auto"/>
          </w:tcPr>
          <w:p w:rsidR="004B6846" w:rsidRPr="00F54471"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F54471">
              <w:rPr>
                <w:rFonts w:eastAsiaTheme="minorEastAsia" w:cstheme="majorHAnsi"/>
                <w:iCs/>
                <w:color w:val="FFFFFF"/>
                <w:szCs w:val="18"/>
                <w:lang w:eastAsia="en-AU"/>
              </w:rPr>
              <w:t xml:space="preserve"> Notes</w:t>
            </w:r>
          </w:p>
        </w:tc>
        <w:tc>
          <w:tcPr>
            <w:tcW w:w="850" w:type="dxa"/>
            <w:tcBorders>
              <w:top w:val="nil"/>
              <w:left w:val="nil"/>
              <w:bottom w:val="nil"/>
              <w:right w:val="nil"/>
            </w:tcBorders>
            <w:shd w:val="solid" w:color="000000" w:fill="auto"/>
          </w:tcPr>
          <w:p w:rsidR="004B6846" w:rsidRPr="00F5447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F54471">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F5447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F54471">
              <w:rPr>
                <w:rFonts w:eastAsiaTheme="minorEastAsia" w:cstheme="majorHAnsi"/>
                <w:iCs/>
                <w:color w:val="FFFFFF"/>
                <w:szCs w:val="18"/>
                <w:lang w:eastAsia="en-AU"/>
              </w:rPr>
              <w:t>budget</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jc w:val="right"/>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Revenue from transactions</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F54471">
              <w:rPr>
                <w:rFonts w:eastAsiaTheme="minorEastAsia" w:cstheme="majorHAnsi"/>
                <w:bCs/>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sidRPr="00F54471">
              <w:rPr>
                <w:rFonts w:eastAsiaTheme="minorEastAsia" w:cstheme="majorHAnsi"/>
                <w:color w:val="000000"/>
                <w:szCs w:val="18"/>
                <w:lang w:eastAsia="en-AU"/>
              </w:rPr>
              <w:t>5 722</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Taxation revenue</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E.2.1</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5 896</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24 092</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Pr>
                <w:rFonts w:eastAsiaTheme="minorEastAsia" w:cstheme="majorHAnsi"/>
                <w:color w:val="000000"/>
                <w:szCs w:val="18"/>
                <w:lang w:eastAsia="en-AU"/>
              </w:rPr>
              <w:t>210</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Interest revenue</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F5447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210</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818</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Pr>
                <w:rFonts w:eastAsiaTheme="minorEastAsia" w:cstheme="majorHAnsi"/>
                <w:color w:val="000000"/>
                <w:szCs w:val="18"/>
                <w:lang w:eastAsia="en-AU"/>
              </w:rPr>
              <w:t>57</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Dividends, income tax equivalent and rate equivalent revenue</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E.2.2</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82</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1 103</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sidRPr="00F54471">
              <w:rPr>
                <w:rFonts w:eastAsiaTheme="minorEastAsia" w:cstheme="majorHAnsi"/>
                <w:color w:val="000000"/>
                <w:szCs w:val="18"/>
                <w:lang w:eastAsia="en-AU"/>
              </w:rPr>
              <w:t>1 766</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Sales of goods and services</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E.2.3</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1 905</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7 594</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sidRPr="00F54471">
              <w:rPr>
                <w:rFonts w:eastAsiaTheme="minorEastAsia" w:cstheme="majorHAnsi"/>
                <w:color w:val="000000"/>
                <w:szCs w:val="18"/>
                <w:lang w:eastAsia="en-AU"/>
              </w:rPr>
              <w:t>6 899</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Grant revenue</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E.2.4</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7 923</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33 515</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6" w:space="0" w:color="000000"/>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Pr>
                <w:rFonts w:eastAsiaTheme="minorEastAsia" w:cstheme="majorHAnsi"/>
                <w:color w:val="000000"/>
                <w:szCs w:val="18"/>
                <w:lang w:eastAsia="en-AU"/>
              </w:rPr>
              <w:t>544</w:t>
            </w:r>
          </w:p>
        </w:tc>
        <w:tc>
          <w:tcPr>
            <w:tcW w:w="4479" w:type="dxa"/>
            <w:tcBorders>
              <w:top w:val="nil"/>
              <w:left w:val="nil"/>
              <w:bottom w:val="single" w:sz="6" w:space="0" w:color="000000"/>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Other revenue</w:t>
            </w:r>
          </w:p>
        </w:tc>
        <w:tc>
          <w:tcPr>
            <w:tcW w:w="737" w:type="dxa"/>
            <w:gridSpan w:val="2"/>
            <w:tcBorders>
              <w:top w:val="nil"/>
              <w:left w:val="nil"/>
              <w:bottom w:val="single" w:sz="6" w:space="0" w:color="000000"/>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E.2.5</w:t>
            </w:r>
          </w:p>
        </w:tc>
        <w:tc>
          <w:tcPr>
            <w:tcW w:w="850" w:type="dxa"/>
            <w:tcBorders>
              <w:top w:val="nil"/>
              <w:left w:val="nil"/>
              <w:bottom w:val="single" w:sz="6" w:space="0" w:color="000000"/>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573</w:t>
            </w:r>
          </w:p>
        </w:tc>
        <w:tc>
          <w:tcPr>
            <w:tcW w:w="850" w:type="dxa"/>
            <w:tcBorders>
              <w:top w:val="nil"/>
              <w:left w:val="nil"/>
              <w:bottom w:val="single" w:sz="6" w:space="0" w:color="000000"/>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2 636</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jc w:val="right"/>
              <w:rPr>
                <w:rFonts w:eastAsiaTheme="minorEastAsia" w:cstheme="majorHAnsi"/>
                <w:b/>
                <w:bCs/>
                <w:color w:val="000000"/>
                <w:szCs w:val="18"/>
                <w:lang w:eastAsia="en-AU"/>
              </w:rPr>
            </w:pPr>
            <w:r w:rsidRPr="00F54471">
              <w:rPr>
                <w:rFonts w:eastAsiaTheme="minorEastAsia" w:cstheme="majorHAnsi"/>
                <w:b/>
                <w:bCs/>
                <w:color w:val="000000"/>
                <w:szCs w:val="18"/>
                <w:lang w:eastAsia="en-AU"/>
              </w:rPr>
              <w:t>15 198</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Total revenue from transactions</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F54471">
              <w:rPr>
                <w:rFonts w:eastAsiaTheme="minorEastAsia" w:cstheme="majorHAnsi"/>
                <w:bCs/>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16 589</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69 757</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jc w:val="right"/>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Expenses from transactions</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F54471">
              <w:rPr>
                <w:rFonts w:eastAsiaTheme="minorEastAsia" w:cstheme="majorHAnsi"/>
                <w:bCs/>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sidRPr="00F54471">
              <w:rPr>
                <w:rFonts w:eastAsiaTheme="minorEastAsia" w:cstheme="majorHAnsi"/>
                <w:color w:val="000000"/>
                <w:szCs w:val="18"/>
                <w:lang w:eastAsia="en-AU"/>
              </w:rPr>
              <w:t>5 581</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Employee expenses</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F5447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6 081</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24 986</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Pr>
                <w:rFonts w:eastAsiaTheme="minorEastAsia" w:cstheme="majorHAnsi"/>
                <w:color w:val="000000"/>
                <w:szCs w:val="18"/>
                <w:lang w:eastAsia="en-AU"/>
              </w:rPr>
              <w:t>192</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Net superannuation interest expense</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E.3.3</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167</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688</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Pr>
                <w:rFonts w:eastAsiaTheme="minorEastAsia" w:cstheme="majorHAnsi"/>
                <w:color w:val="000000"/>
                <w:szCs w:val="18"/>
                <w:lang w:eastAsia="en-AU"/>
              </w:rPr>
              <w:t>598</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Other superannuation</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E.3.3</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671</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2 750</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Pr>
                <w:rFonts w:eastAsiaTheme="minorEastAsia" w:cstheme="majorHAnsi"/>
                <w:color w:val="000000"/>
                <w:szCs w:val="18"/>
                <w:lang w:eastAsia="en-AU"/>
              </w:rPr>
              <w:t>655</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Depreciation</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E.4.2</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680</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2 921</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Pr>
                <w:rFonts w:eastAsiaTheme="minorEastAsia" w:cstheme="majorHAnsi"/>
                <w:color w:val="000000"/>
                <w:szCs w:val="18"/>
                <w:lang w:eastAsia="en-AU"/>
              </w:rPr>
              <w:t>454</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Interest expense</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F5447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493</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2 090</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sidRPr="00F54471">
              <w:rPr>
                <w:rFonts w:eastAsiaTheme="minorEastAsia" w:cstheme="majorHAnsi"/>
                <w:color w:val="000000"/>
                <w:szCs w:val="18"/>
                <w:lang w:eastAsia="en-AU"/>
              </w:rPr>
              <w:t>2 559</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Grant expense</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F5447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2 853</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12 785</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sidRPr="00F54471">
              <w:rPr>
                <w:rFonts w:eastAsiaTheme="minorEastAsia" w:cstheme="majorHAnsi"/>
                <w:color w:val="000000"/>
                <w:szCs w:val="18"/>
                <w:lang w:eastAsia="en-AU"/>
              </w:rPr>
              <w:t>4 604</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Other operating expenses</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F5447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4 812</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21 296</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nil"/>
              <w:right w:val="nil"/>
            </w:tcBorders>
          </w:tcPr>
          <w:p w:rsidR="004B6846" w:rsidRPr="00F54471" w:rsidRDefault="004B6846" w:rsidP="00CC0EB7">
            <w:pPr>
              <w:keepLines w:val="0"/>
              <w:autoSpaceDE w:val="0"/>
              <w:autoSpaceDN w:val="0"/>
              <w:adjustRightInd w:val="0"/>
              <w:jc w:val="right"/>
              <w:rPr>
                <w:rFonts w:eastAsiaTheme="minorEastAsia" w:cstheme="majorHAnsi"/>
                <w:b/>
                <w:bCs/>
                <w:color w:val="000000"/>
                <w:szCs w:val="18"/>
                <w:lang w:eastAsia="en-AU"/>
              </w:rPr>
            </w:pPr>
            <w:r w:rsidRPr="00F54471">
              <w:rPr>
                <w:rFonts w:eastAsiaTheme="minorEastAsia" w:cstheme="majorHAnsi"/>
                <w:b/>
                <w:bCs/>
                <w:color w:val="000000"/>
                <w:szCs w:val="18"/>
                <w:lang w:eastAsia="en-AU"/>
              </w:rPr>
              <w:t>14 643</w:t>
            </w:r>
          </w:p>
        </w:tc>
        <w:tc>
          <w:tcPr>
            <w:tcW w:w="4479" w:type="dxa"/>
            <w:tcBorders>
              <w:top w:val="single" w:sz="6" w:space="0" w:color="000000"/>
              <w:left w:val="nil"/>
              <w:bottom w:val="nil"/>
              <w:right w:val="nil"/>
            </w:tcBorders>
          </w:tcPr>
          <w:p w:rsidR="004B6846" w:rsidRPr="00F5447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Total expenses from transactions</w:t>
            </w:r>
          </w:p>
        </w:tc>
        <w:tc>
          <w:tcPr>
            <w:tcW w:w="737" w:type="dxa"/>
            <w:gridSpan w:val="2"/>
            <w:tcBorders>
              <w:top w:val="single" w:sz="6" w:space="0" w:color="000000"/>
              <w:left w:val="nil"/>
              <w:bottom w:val="nil"/>
              <w:right w:val="nil"/>
            </w:tcBorders>
          </w:tcPr>
          <w:p w:rsidR="004B6846" w:rsidRPr="00F5447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F54471">
              <w:rPr>
                <w:rFonts w:eastAsiaTheme="minorEastAsia" w:cstheme="majorHAnsi"/>
                <w:bCs/>
                <w:color w:val="000000"/>
                <w:szCs w:val="18"/>
                <w:lang w:eastAsia="en-AU"/>
              </w:rPr>
              <w:t>E.3.4</w:t>
            </w:r>
          </w:p>
        </w:tc>
        <w:tc>
          <w:tcPr>
            <w:tcW w:w="850" w:type="dxa"/>
            <w:tcBorders>
              <w:top w:val="single" w:sz="6" w:space="0" w:color="000000"/>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15 757</w:t>
            </w:r>
          </w:p>
        </w:tc>
        <w:tc>
          <w:tcPr>
            <w:tcW w:w="850" w:type="dxa"/>
            <w:tcBorders>
              <w:top w:val="single" w:sz="6" w:space="0" w:color="000000"/>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67 517</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single" w:sz="12" w:space="0" w:color="000000"/>
              <w:right w:val="nil"/>
            </w:tcBorders>
          </w:tcPr>
          <w:p w:rsidR="004B6846" w:rsidRPr="00F54471" w:rsidRDefault="004B6846" w:rsidP="00CC0EB7">
            <w:pPr>
              <w:keepLines w:val="0"/>
              <w:autoSpaceDE w:val="0"/>
              <w:autoSpaceDN w:val="0"/>
              <w:adjustRightInd w:val="0"/>
              <w:jc w:val="right"/>
              <w:rPr>
                <w:rFonts w:eastAsiaTheme="minorEastAsia" w:cstheme="majorHAnsi"/>
                <w:b/>
                <w:bCs/>
                <w:color w:val="000000"/>
                <w:szCs w:val="18"/>
                <w:lang w:eastAsia="en-AU"/>
              </w:rPr>
            </w:pPr>
            <w:r>
              <w:rPr>
                <w:rFonts w:eastAsiaTheme="minorEastAsia" w:cstheme="majorHAnsi"/>
                <w:b/>
                <w:bCs/>
                <w:color w:val="000000"/>
                <w:szCs w:val="18"/>
                <w:lang w:eastAsia="en-AU"/>
              </w:rPr>
              <w:t>555</w:t>
            </w:r>
          </w:p>
        </w:tc>
        <w:tc>
          <w:tcPr>
            <w:tcW w:w="4479" w:type="dxa"/>
            <w:tcBorders>
              <w:top w:val="single" w:sz="6" w:space="0" w:color="000000"/>
              <w:left w:val="nil"/>
              <w:bottom w:val="single" w:sz="12" w:space="0" w:color="000000"/>
              <w:right w:val="nil"/>
            </w:tcBorders>
          </w:tcPr>
          <w:p w:rsidR="004B6846" w:rsidRPr="00F5447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Net result from transactions – net operating balance</w:t>
            </w:r>
          </w:p>
        </w:tc>
        <w:tc>
          <w:tcPr>
            <w:tcW w:w="737" w:type="dxa"/>
            <w:gridSpan w:val="2"/>
            <w:tcBorders>
              <w:top w:val="single" w:sz="6" w:space="0" w:color="000000"/>
              <w:left w:val="nil"/>
              <w:bottom w:val="single" w:sz="12" w:space="0" w:color="000000"/>
              <w:right w:val="nil"/>
            </w:tcBorders>
          </w:tcPr>
          <w:p w:rsidR="004B6846" w:rsidRPr="00F5447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F54471">
              <w:rPr>
                <w:rFonts w:eastAsiaTheme="minorEastAsia" w:cstheme="majorHAnsi"/>
                <w:bCs/>
                <w:color w:val="000000"/>
                <w:lang w:eastAsia="en-AU"/>
              </w:rPr>
              <w:t xml:space="preserve"> </w:t>
            </w:r>
          </w:p>
        </w:tc>
        <w:tc>
          <w:tcPr>
            <w:tcW w:w="850" w:type="dxa"/>
            <w:tcBorders>
              <w:top w:val="single" w:sz="6" w:space="0" w:color="000000"/>
              <w:left w:val="nil"/>
              <w:bottom w:val="single" w:sz="12" w:space="0" w:color="000000"/>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832</w:t>
            </w:r>
          </w:p>
        </w:tc>
        <w:tc>
          <w:tcPr>
            <w:tcW w:w="850" w:type="dxa"/>
            <w:tcBorders>
              <w:top w:val="single" w:sz="6" w:space="0" w:color="000000"/>
              <w:left w:val="nil"/>
              <w:bottom w:val="single" w:sz="12" w:space="0" w:color="000000"/>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2 241</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jc w:val="right"/>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Other economic flows included in net result</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F54471">
              <w:rPr>
                <w:rFonts w:eastAsiaTheme="minorEastAsia" w:cstheme="majorHAnsi"/>
                <w:bCs/>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Pr>
                <w:rFonts w:eastAsiaTheme="minorEastAsia" w:cstheme="majorHAnsi"/>
                <w:color w:val="000000"/>
                <w:szCs w:val="18"/>
                <w:lang w:eastAsia="en-AU"/>
              </w:rPr>
              <w:t>(1)</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Net gain/(loss) on disposal of non-financial assets</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F5447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90</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Pr>
                <w:rFonts w:eastAsiaTheme="minorEastAsia" w:cstheme="majorHAnsi"/>
                <w:color w:val="000000"/>
                <w:szCs w:val="18"/>
                <w:lang w:eastAsia="en-AU"/>
              </w:rPr>
              <w:t>(2)</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Net gain/(loss) on financial assets or liabilities at fair value</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F5447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24</w:t>
            </w:r>
          </w:p>
        </w:tc>
      </w:tr>
      <w:tr w:rsidR="004B6846" w:rsidRPr="00F54471" w:rsidTr="00684CDB">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Pr>
                <w:rFonts w:eastAsiaTheme="minorEastAsia" w:cstheme="majorHAnsi"/>
                <w:color w:val="000000"/>
                <w:szCs w:val="18"/>
                <w:lang w:eastAsia="en-AU"/>
              </w:rPr>
              <w:t>..</w:t>
            </w:r>
          </w:p>
        </w:tc>
        <w:tc>
          <w:tcPr>
            <w:tcW w:w="4634"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Share of net profit/(loss) from associates/joint venture entities</w:t>
            </w:r>
          </w:p>
        </w:tc>
        <w:tc>
          <w:tcPr>
            <w:tcW w:w="582"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F5447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Pr>
                <w:rFonts w:eastAsiaTheme="minorEastAsia" w:cstheme="majorHAnsi"/>
                <w:color w:val="000000"/>
                <w:szCs w:val="18"/>
                <w:lang w:eastAsia="en-AU"/>
              </w:rPr>
              <w:t>(56)</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Other gains/(losses) from other economic flows</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E.7.1</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(116)</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(347)</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b/>
                <w:bCs/>
                <w:color w:val="000000"/>
                <w:szCs w:val="18"/>
                <w:lang w:eastAsia="en-AU"/>
              </w:rPr>
            </w:pPr>
            <w:r>
              <w:rPr>
                <w:rFonts w:eastAsiaTheme="minorEastAsia" w:cstheme="majorHAnsi"/>
                <w:b/>
                <w:bCs/>
                <w:color w:val="000000"/>
                <w:szCs w:val="18"/>
                <w:lang w:eastAsia="en-AU"/>
              </w:rPr>
              <w:t>(58)</w:t>
            </w:r>
          </w:p>
        </w:tc>
        <w:tc>
          <w:tcPr>
            <w:tcW w:w="4479" w:type="dxa"/>
            <w:tcBorders>
              <w:top w:val="single" w:sz="6" w:space="0" w:color="000000"/>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Total other economic flows included in net result</w:t>
            </w:r>
          </w:p>
        </w:tc>
        <w:tc>
          <w:tcPr>
            <w:tcW w:w="737" w:type="dxa"/>
            <w:gridSpan w:val="2"/>
            <w:tcBorders>
              <w:top w:val="single" w:sz="6" w:space="0" w:color="000000"/>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F54471">
              <w:rPr>
                <w:rFonts w:eastAsiaTheme="minorEastAsia" w:cstheme="majorHAnsi"/>
                <w:bCs/>
                <w:color w:val="000000"/>
                <w:lang w:eastAsia="en-AU"/>
              </w:rPr>
              <w:t xml:space="preserve"> </w:t>
            </w:r>
          </w:p>
        </w:tc>
        <w:tc>
          <w:tcPr>
            <w:tcW w:w="850" w:type="dxa"/>
            <w:tcBorders>
              <w:top w:val="single" w:sz="6" w:space="0" w:color="000000"/>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(115)</w:t>
            </w:r>
          </w:p>
        </w:tc>
        <w:tc>
          <w:tcPr>
            <w:tcW w:w="850" w:type="dxa"/>
            <w:tcBorders>
              <w:top w:val="single" w:sz="6" w:space="0" w:color="000000"/>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(233)</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single" w:sz="12" w:space="0" w:color="000000"/>
              <w:right w:val="nil"/>
            </w:tcBorders>
          </w:tcPr>
          <w:p w:rsidR="004B6846" w:rsidRPr="00F54471" w:rsidRDefault="004B6846" w:rsidP="00CC0EB7">
            <w:pPr>
              <w:keepLines w:val="0"/>
              <w:autoSpaceDE w:val="0"/>
              <w:autoSpaceDN w:val="0"/>
              <w:adjustRightInd w:val="0"/>
              <w:jc w:val="right"/>
              <w:rPr>
                <w:rFonts w:eastAsiaTheme="minorEastAsia" w:cstheme="majorHAnsi"/>
                <w:b/>
                <w:bCs/>
                <w:color w:val="000000"/>
                <w:szCs w:val="18"/>
                <w:lang w:eastAsia="en-AU"/>
              </w:rPr>
            </w:pPr>
            <w:r>
              <w:rPr>
                <w:rFonts w:eastAsiaTheme="minorEastAsia" w:cstheme="majorHAnsi"/>
                <w:b/>
                <w:bCs/>
                <w:color w:val="000000"/>
                <w:szCs w:val="18"/>
                <w:lang w:eastAsia="en-AU"/>
              </w:rPr>
              <w:t>497</w:t>
            </w:r>
          </w:p>
        </w:tc>
        <w:tc>
          <w:tcPr>
            <w:tcW w:w="4479" w:type="dxa"/>
            <w:tcBorders>
              <w:top w:val="single" w:sz="6" w:space="0" w:color="000000"/>
              <w:left w:val="nil"/>
              <w:bottom w:val="single" w:sz="12" w:space="0" w:color="000000"/>
              <w:right w:val="nil"/>
            </w:tcBorders>
          </w:tcPr>
          <w:p w:rsidR="004B6846" w:rsidRPr="00F5447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Net result</w:t>
            </w:r>
          </w:p>
        </w:tc>
        <w:tc>
          <w:tcPr>
            <w:tcW w:w="737" w:type="dxa"/>
            <w:gridSpan w:val="2"/>
            <w:tcBorders>
              <w:top w:val="single" w:sz="6" w:space="0" w:color="000000"/>
              <w:left w:val="nil"/>
              <w:bottom w:val="single" w:sz="12" w:space="0" w:color="000000"/>
              <w:right w:val="nil"/>
            </w:tcBorders>
          </w:tcPr>
          <w:p w:rsidR="004B6846" w:rsidRPr="00F5447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F54471">
              <w:rPr>
                <w:rFonts w:eastAsiaTheme="minorEastAsia" w:cstheme="majorHAnsi"/>
                <w:bCs/>
                <w:color w:val="000000"/>
                <w:lang w:eastAsia="en-AU"/>
              </w:rPr>
              <w:t xml:space="preserve"> </w:t>
            </w:r>
          </w:p>
        </w:tc>
        <w:tc>
          <w:tcPr>
            <w:tcW w:w="850" w:type="dxa"/>
            <w:tcBorders>
              <w:top w:val="single" w:sz="6" w:space="0" w:color="000000"/>
              <w:left w:val="nil"/>
              <w:bottom w:val="single" w:sz="12" w:space="0" w:color="000000"/>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718</w:t>
            </w:r>
          </w:p>
        </w:tc>
        <w:tc>
          <w:tcPr>
            <w:tcW w:w="850" w:type="dxa"/>
            <w:tcBorders>
              <w:top w:val="single" w:sz="6" w:space="0" w:color="000000"/>
              <w:left w:val="nil"/>
              <w:bottom w:val="single" w:sz="12" w:space="0" w:color="000000"/>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2 008</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jc w:val="right"/>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Other economic flows – other comprehensive income</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F54471">
              <w:rPr>
                <w:rFonts w:eastAsiaTheme="minorEastAsia" w:cstheme="majorHAnsi"/>
                <w:bCs/>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jc w:val="right"/>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Items that will not be reclassified to net result</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F54471">
              <w:rPr>
                <w:rFonts w:eastAsiaTheme="minorEastAsia" w:cstheme="majorHAnsi"/>
                <w:bCs/>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Pr>
                <w:rFonts w:eastAsiaTheme="minorEastAsia" w:cstheme="majorHAnsi"/>
                <w:color w:val="000000"/>
                <w:szCs w:val="18"/>
                <w:lang w:eastAsia="en-AU"/>
              </w:rPr>
              <w:t>(22)</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Changes in non-financial assets revaluation surplus</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F5447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16</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699</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sidRPr="00F54471">
              <w:rPr>
                <w:rFonts w:eastAsiaTheme="minorEastAsia" w:cstheme="majorHAnsi"/>
                <w:color w:val="000000"/>
                <w:szCs w:val="18"/>
                <w:lang w:eastAsia="en-AU"/>
              </w:rPr>
              <w:t>1 259</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Remeasurement of superannuation defined benefits plans</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F5447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1 213</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1 996</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Pr>
                <w:rFonts w:eastAsiaTheme="minorEastAsia" w:cstheme="majorHAnsi"/>
                <w:color w:val="000000"/>
                <w:szCs w:val="18"/>
                <w:lang w:eastAsia="en-AU"/>
              </w:rPr>
              <w:t>(65)</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Other movements in equity</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F5447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14</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(13)</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Items that may be reclassified subsequently to net result</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F54471">
              <w:rPr>
                <w:rFonts w:eastAsiaTheme="minorEastAsia" w:cstheme="majorHAnsi"/>
                <w:bCs/>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Pr>
                <w:rFonts w:eastAsiaTheme="minorEastAsia" w:cstheme="majorHAnsi"/>
                <w:color w:val="000000"/>
                <w:szCs w:val="18"/>
                <w:lang w:eastAsia="en-AU"/>
              </w:rPr>
              <w:t>(6)</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Net gain/(loss) on financial assets at fair value</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F5447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(12)</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sidRPr="00F54471">
              <w:rPr>
                <w:rFonts w:eastAsiaTheme="minorEastAsia" w:cstheme="majorHAnsi"/>
                <w:color w:val="000000"/>
                <w:szCs w:val="18"/>
                <w:lang w:eastAsia="en-AU"/>
              </w:rPr>
              <w:t>..</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Net gain/(loss) on equity investments in other sector entities at proportional share of the carrying amount of net assets</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F5447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2 021</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nil"/>
              <w:right w:val="nil"/>
            </w:tcBorders>
          </w:tcPr>
          <w:p w:rsidR="004B6846" w:rsidRPr="00F54471" w:rsidRDefault="004B6846" w:rsidP="00CC0EB7">
            <w:pPr>
              <w:keepLines w:val="0"/>
              <w:autoSpaceDE w:val="0"/>
              <w:autoSpaceDN w:val="0"/>
              <w:adjustRightInd w:val="0"/>
              <w:jc w:val="right"/>
              <w:rPr>
                <w:rFonts w:eastAsiaTheme="minorEastAsia" w:cstheme="majorHAnsi"/>
                <w:b/>
                <w:bCs/>
                <w:color w:val="000000"/>
                <w:szCs w:val="18"/>
                <w:lang w:eastAsia="en-AU"/>
              </w:rPr>
            </w:pPr>
            <w:r w:rsidRPr="00F54471">
              <w:rPr>
                <w:rFonts w:eastAsiaTheme="minorEastAsia" w:cstheme="majorHAnsi"/>
                <w:b/>
                <w:bCs/>
                <w:color w:val="000000"/>
                <w:szCs w:val="18"/>
                <w:lang w:eastAsia="en-AU"/>
              </w:rPr>
              <w:t>1 165</w:t>
            </w:r>
          </w:p>
        </w:tc>
        <w:tc>
          <w:tcPr>
            <w:tcW w:w="4479" w:type="dxa"/>
            <w:tcBorders>
              <w:top w:val="single" w:sz="6" w:space="0" w:color="000000"/>
              <w:left w:val="nil"/>
              <w:bottom w:val="nil"/>
              <w:right w:val="nil"/>
            </w:tcBorders>
          </w:tcPr>
          <w:p w:rsidR="004B6846" w:rsidRPr="00F5447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Total other economic flows – other comprehensive income</w:t>
            </w:r>
          </w:p>
        </w:tc>
        <w:tc>
          <w:tcPr>
            <w:tcW w:w="737" w:type="dxa"/>
            <w:gridSpan w:val="2"/>
            <w:tcBorders>
              <w:top w:val="single" w:sz="6" w:space="0" w:color="000000"/>
              <w:left w:val="nil"/>
              <w:bottom w:val="nil"/>
              <w:right w:val="nil"/>
            </w:tcBorders>
          </w:tcPr>
          <w:p w:rsidR="004B6846" w:rsidRPr="00F5447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F54471">
              <w:rPr>
                <w:rFonts w:eastAsiaTheme="minorEastAsia" w:cstheme="majorHAnsi"/>
                <w:bCs/>
                <w:color w:val="000000"/>
                <w:lang w:eastAsia="en-AU"/>
              </w:rPr>
              <w:t xml:space="preserve"> </w:t>
            </w:r>
          </w:p>
        </w:tc>
        <w:tc>
          <w:tcPr>
            <w:tcW w:w="850" w:type="dxa"/>
            <w:tcBorders>
              <w:top w:val="single" w:sz="6" w:space="0" w:color="000000"/>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1 230</w:t>
            </w:r>
          </w:p>
        </w:tc>
        <w:tc>
          <w:tcPr>
            <w:tcW w:w="850" w:type="dxa"/>
            <w:tcBorders>
              <w:top w:val="single" w:sz="6" w:space="0" w:color="000000"/>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4 705</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single" w:sz="12" w:space="0" w:color="000000"/>
              <w:right w:val="nil"/>
            </w:tcBorders>
          </w:tcPr>
          <w:p w:rsidR="004B6846" w:rsidRPr="00F54471" w:rsidRDefault="004B6846" w:rsidP="00CC0EB7">
            <w:pPr>
              <w:keepLines w:val="0"/>
              <w:autoSpaceDE w:val="0"/>
              <w:autoSpaceDN w:val="0"/>
              <w:adjustRightInd w:val="0"/>
              <w:jc w:val="right"/>
              <w:rPr>
                <w:rFonts w:eastAsiaTheme="minorEastAsia" w:cstheme="majorHAnsi"/>
                <w:b/>
                <w:bCs/>
                <w:color w:val="000000"/>
                <w:szCs w:val="18"/>
                <w:lang w:eastAsia="en-AU"/>
              </w:rPr>
            </w:pPr>
            <w:r w:rsidRPr="00F54471">
              <w:rPr>
                <w:rFonts w:eastAsiaTheme="minorEastAsia" w:cstheme="majorHAnsi"/>
                <w:b/>
                <w:bCs/>
                <w:color w:val="000000"/>
                <w:szCs w:val="18"/>
                <w:lang w:eastAsia="en-AU"/>
              </w:rPr>
              <w:t>1 662</w:t>
            </w:r>
          </w:p>
        </w:tc>
        <w:tc>
          <w:tcPr>
            <w:tcW w:w="4479" w:type="dxa"/>
            <w:tcBorders>
              <w:top w:val="single" w:sz="6" w:space="0" w:color="000000"/>
              <w:left w:val="nil"/>
              <w:bottom w:val="single" w:sz="12" w:space="0" w:color="000000"/>
              <w:right w:val="nil"/>
            </w:tcBorders>
          </w:tcPr>
          <w:p w:rsidR="004B6846" w:rsidRPr="00F5447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Comprehensive result – total change in net worth</w:t>
            </w:r>
          </w:p>
        </w:tc>
        <w:tc>
          <w:tcPr>
            <w:tcW w:w="737" w:type="dxa"/>
            <w:gridSpan w:val="2"/>
            <w:tcBorders>
              <w:top w:val="single" w:sz="6" w:space="0" w:color="000000"/>
              <w:left w:val="nil"/>
              <w:bottom w:val="single" w:sz="12" w:space="0" w:color="000000"/>
              <w:right w:val="nil"/>
            </w:tcBorders>
          </w:tcPr>
          <w:p w:rsidR="004B6846" w:rsidRPr="00F5447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F54471">
              <w:rPr>
                <w:rFonts w:eastAsiaTheme="minorEastAsia" w:cstheme="majorHAnsi"/>
                <w:bCs/>
                <w:color w:val="000000"/>
                <w:lang w:eastAsia="en-AU"/>
              </w:rPr>
              <w:t xml:space="preserve"> </w:t>
            </w:r>
          </w:p>
        </w:tc>
        <w:tc>
          <w:tcPr>
            <w:tcW w:w="850" w:type="dxa"/>
            <w:tcBorders>
              <w:top w:val="single" w:sz="6" w:space="0" w:color="000000"/>
              <w:left w:val="nil"/>
              <w:bottom w:val="single" w:sz="12" w:space="0" w:color="000000"/>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1 948</w:t>
            </w:r>
          </w:p>
        </w:tc>
        <w:tc>
          <w:tcPr>
            <w:tcW w:w="850" w:type="dxa"/>
            <w:tcBorders>
              <w:top w:val="single" w:sz="6" w:space="0" w:color="000000"/>
              <w:left w:val="nil"/>
              <w:bottom w:val="single" w:sz="12" w:space="0" w:color="000000"/>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6 713</w:t>
            </w:r>
          </w:p>
        </w:tc>
      </w:tr>
      <w:tr w:rsidR="004B6846" w:rsidRPr="00F54471" w:rsidTr="00CC0EB7">
        <w:trPr>
          <w:trHeight w:hRule="exact" w:val="120"/>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jc w:val="right"/>
              <w:rPr>
                <w:rFonts w:eastAsiaTheme="minorEastAsia" w:cstheme="majorHAnsi"/>
                <w:color w:val="000000"/>
                <w:lang w:eastAsia="en-AU"/>
              </w:rPr>
            </w:pPr>
            <w:r w:rsidRPr="00F54471">
              <w:rPr>
                <w:rFonts w:eastAsiaTheme="minorEastAsia" w:cstheme="majorHAnsi"/>
                <w:color w:val="000000"/>
                <w:lang w:eastAsia="en-AU"/>
              </w:rPr>
              <w:t xml:space="preserve"> </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F54471">
              <w:rPr>
                <w:rFonts w:eastAsiaTheme="minorEastAsia" w:cstheme="majorHAnsi"/>
                <w:color w:val="000000"/>
                <w:lang w:eastAsia="en-AU"/>
              </w:rPr>
              <w:t xml:space="preserve"> </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F5447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F5447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F54471">
              <w:rPr>
                <w:rFonts w:eastAsiaTheme="minorEastAsia" w:cstheme="majorHAnsi"/>
                <w:color w:val="000000"/>
                <w:lang w:eastAsia="en-AU"/>
              </w:rPr>
              <w:t xml:space="preserve"> </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jc w:val="right"/>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KEY FISCAL AGGREGRATES</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F54471">
              <w:rPr>
                <w:rFonts w:eastAsiaTheme="minorEastAsia" w:cstheme="majorHAnsi"/>
                <w:bCs/>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F54471">
              <w:rPr>
                <w:rFonts w:eastAsiaTheme="minorEastAsia" w:cstheme="majorHAnsi"/>
                <w:b/>
                <w:bCs/>
                <w:color w:val="000000"/>
                <w:lang w:eastAsia="en-AU"/>
              </w:rPr>
              <w:t xml:space="preserve"> </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jc w:val="right"/>
              <w:rPr>
                <w:rFonts w:eastAsiaTheme="minorEastAsia" w:cstheme="majorHAnsi"/>
                <w:b/>
                <w:bCs/>
                <w:color w:val="000000"/>
                <w:szCs w:val="18"/>
                <w:lang w:eastAsia="en-AU"/>
              </w:rPr>
            </w:pPr>
            <w:r>
              <w:rPr>
                <w:rFonts w:eastAsiaTheme="minorEastAsia" w:cstheme="majorHAnsi"/>
                <w:b/>
                <w:bCs/>
                <w:color w:val="000000"/>
                <w:szCs w:val="18"/>
                <w:lang w:eastAsia="en-AU"/>
              </w:rPr>
              <w:t>555</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Net operating balance</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F54471">
              <w:rPr>
                <w:rFonts w:eastAsiaTheme="minorEastAsia" w:cstheme="majorHAnsi"/>
                <w:bCs/>
                <w:color w:val="000000"/>
                <w:lang w:eastAsia="en-AU"/>
              </w:rPr>
              <w:t xml:space="preserve"> </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832</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F54471">
              <w:rPr>
                <w:rFonts w:eastAsiaTheme="minorEastAsia" w:cstheme="majorHAnsi"/>
                <w:b/>
                <w:bCs/>
                <w:color w:val="000000"/>
                <w:szCs w:val="18"/>
                <w:lang w:eastAsia="en-AU"/>
              </w:rPr>
              <w:t>2 241</w:t>
            </w:r>
          </w:p>
        </w:tc>
      </w:tr>
      <w:tr w:rsidR="004B6846" w:rsidRPr="00F5447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jc w:val="right"/>
              <w:rPr>
                <w:rFonts w:eastAsiaTheme="minorEastAsia" w:cstheme="majorHAnsi"/>
                <w:color w:val="000000"/>
                <w:szCs w:val="18"/>
                <w:lang w:eastAsia="en-AU"/>
              </w:rPr>
            </w:pPr>
            <w:r>
              <w:rPr>
                <w:rFonts w:eastAsiaTheme="minorEastAsia" w:cstheme="majorHAnsi"/>
                <w:color w:val="000000"/>
                <w:szCs w:val="18"/>
                <w:lang w:eastAsia="en-AU"/>
              </w:rPr>
              <w:t>283</w:t>
            </w:r>
          </w:p>
        </w:tc>
        <w:tc>
          <w:tcPr>
            <w:tcW w:w="4479" w:type="dxa"/>
            <w:tcBorders>
              <w:top w:val="nil"/>
              <w:left w:val="nil"/>
              <w:bottom w:val="nil"/>
              <w:right w:val="nil"/>
            </w:tcBorders>
          </w:tcPr>
          <w:p w:rsidR="004B6846" w:rsidRPr="00F54471" w:rsidRDefault="004B6846" w:rsidP="00CC0EB7">
            <w:pPr>
              <w:keepLines w:val="0"/>
              <w:autoSpaceDE w:val="0"/>
              <w:autoSpaceDN w:val="0"/>
              <w:adjustRightInd w:val="0"/>
              <w:spacing w:before="10" w:after="1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Less: Net acquisition of non-financial assets from transactions</w:t>
            </w:r>
          </w:p>
        </w:tc>
        <w:tc>
          <w:tcPr>
            <w:tcW w:w="737" w:type="dxa"/>
            <w:gridSpan w:val="2"/>
            <w:tcBorders>
              <w:top w:val="nil"/>
              <w:left w:val="nil"/>
              <w:bottom w:val="nil"/>
              <w:right w:val="nil"/>
            </w:tcBorders>
          </w:tcPr>
          <w:p w:rsidR="004B6846" w:rsidRPr="00F54471" w:rsidRDefault="004B6846" w:rsidP="00CC0EB7">
            <w:pPr>
              <w:keepLines w:val="0"/>
              <w:autoSpaceDE w:val="0"/>
              <w:autoSpaceDN w:val="0"/>
              <w:adjustRightInd w:val="0"/>
              <w:spacing w:before="10" w:after="1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F54471">
              <w:rPr>
                <w:rFonts w:eastAsiaTheme="minorEastAsia" w:cstheme="majorHAnsi"/>
                <w:color w:val="000000"/>
                <w:lang w:eastAsia="en-AU"/>
              </w:rPr>
              <w:t>E.3.6</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690</w:t>
            </w:r>
          </w:p>
        </w:tc>
        <w:tc>
          <w:tcPr>
            <w:tcW w:w="850" w:type="dxa"/>
            <w:tcBorders>
              <w:top w:val="nil"/>
              <w:left w:val="nil"/>
              <w:bottom w:val="nil"/>
              <w:right w:val="nil"/>
            </w:tcBorders>
          </w:tcPr>
          <w:p w:rsidR="004B6846" w:rsidRPr="00F54471" w:rsidRDefault="004B6846" w:rsidP="00CC0EB7">
            <w:pPr>
              <w:keepLines w:val="0"/>
              <w:autoSpaceDE w:val="0"/>
              <w:autoSpaceDN w:val="0"/>
              <w:adjustRightInd w:val="0"/>
              <w:spacing w:before="10" w:after="1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F54471">
              <w:rPr>
                <w:rFonts w:eastAsiaTheme="minorEastAsia" w:cstheme="majorHAnsi"/>
                <w:color w:val="000000"/>
                <w:szCs w:val="18"/>
                <w:lang w:eastAsia="en-AU"/>
              </w:rPr>
              <w:t>2 027</w:t>
            </w:r>
          </w:p>
        </w:tc>
      </w:tr>
      <w:tr w:rsidR="004B6846" w:rsidRPr="00F5447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F54471" w:rsidRDefault="004B6846" w:rsidP="00CC0EB7">
            <w:pPr>
              <w:keepLines w:val="0"/>
              <w:autoSpaceDE w:val="0"/>
              <w:autoSpaceDN w:val="0"/>
              <w:adjustRightInd w:val="0"/>
              <w:jc w:val="right"/>
              <w:rPr>
                <w:rFonts w:eastAsiaTheme="minorEastAsia" w:cstheme="majorHAnsi"/>
                <w:bCs/>
                <w:color w:val="000000"/>
                <w:szCs w:val="18"/>
                <w:lang w:eastAsia="en-AU"/>
              </w:rPr>
            </w:pPr>
            <w:r>
              <w:rPr>
                <w:rFonts w:eastAsiaTheme="minorEastAsia" w:cstheme="majorHAnsi"/>
                <w:bCs/>
                <w:color w:val="000000"/>
                <w:szCs w:val="18"/>
                <w:lang w:eastAsia="en-AU"/>
              </w:rPr>
              <w:t>272</w:t>
            </w:r>
          </w:p>
        </w:tc>
        <w:tc>
          <w:tcPr>
            <w:tcW w:w="4479" w:type="dxa"/>
            <w:tcBorders>
              <w:top w:val="single" w:sz="6" w:space="0" w:color="000000"/>
              <w:bottom w:val="single" w:sz="12" w:space="0" w:color="000000"/>
            </w:tcBorders>
          </w:tcPr>
          <w:p w:rsidR="004B6846" w:rsidRPr="00F54471"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F54471">
              <w:rPr>
                <w:rFonts w:eastAsiaTheme="minorEastAsia" w:cstheme="majorHAnsi"/>
                <w:bCs/>
                <w:color w:val="000000"/>
                <w:szCs w:val="18"/>
                <w:lang w:eastAsia="en-AU"/>
              </w:rPr>
              <w:t>Net lending/(borrowing)</w:t>
            </w:r>
          </w:p>
        </w:tc>
        <w:tc>
          <w:tcPr>
            <w:tcW w:w="737" w:type="dxa"/>
            <w:gridSpan w:val="2"/>
            <w:tcBorders>
              <w:top w:val="single" w:sz="6" w:space="0" w:color="000000"/>
              <w:bottom w:val="single" w:sz="12" w:space="0" w:color="000000"/>
            </w:tcBorders>
          </w:tcPr>
          <w:p w:rsidR="004B6846" w:rsidRPr="00F54471" w:rsidRDefault="004B6846" w:rsidP="00CC0EB7">
            <w:pPr>
              <w:keepLines w:val="0"/>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lang w:eastAsia="en-AU"/>
              </w:rPr>
            </w:pPr>
            <w:r w:rsidRPr="00F54471">
              <w:rPr>
                <w:rFonts w:eastAsiaTheme="minorEastAsia" w:cstheme="majorHAnsi"/>
                <w:b w:val="0"/>
                <w:bCs/>
                <w:color w:val="000000"/>
                <w:lang w:eastAsia="en-AU"/>
              </w:rPr>
              <w:t xml:space="preserve"> </w:t>
            </w:r>
          </w:p>
        </w:tc>
        <w:tc>
          <w:tcPr>
            <w:tcW w:w="850" w:type="dxa"/>
            <w:tcBorders>
              <w:top w:val="single" w:sz="6" w:space="0" w:color="000000"/>
              <w:bottom w:val="single" w:sz="12" w:space="0" w:color="000000"/>
            </w:tcBorders>
          </w:tcPr>
          <w:p w:rsidR="004B6846" w:rsidRPr="00F5447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142</w:t>
            </w:r>
          </w:p>
        </w:tc>
        <w:tc>
          <w:tcPr>
            <w:tcW w:w="850" w:type="dxa"/>
            <w:tcBorders>
              <w:top w:val="single" w:sz="6" w:space="0" w:color="000000"/>
              <w:bottom w:val="single" w:sz="12" w:space="0" w:color="000000"/>
            </w:tcBorders>
          </w:tcPr>
          <w:p w:rsidR="004B6846" w:rsidRPr="00F5447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214</w:t>
            </w:r>
          </w:p>
        </w:tc>
      </w:tr>
    </w:tbl>
    <w:p w:rsidR="004B6846" w:rsidRDefault="004B6846" w:rsidP="00CC0EB7">
      <w:pPr>
        <w:pStyle w:val="Source"/>
      </w:pPr>
      <w:r>
        <w:t>Source: Department of Treasury and Finance</w:t>
      </w:r>
    </w:p>
    <w:p w:rsidR="004B6846" w:rsidRDefault="004B6846" w:rsidP="00CB74DA">
      <w:pPr>
        <w:pStyle w:val="Heading1-AppendixE"/>
      </w:pPr>
      <w:r>
        <w:lastRenderedPageBreak/>
        <w:t>CONSOLIDATED BALANCE SHEET</w:t>
      </w:r>
    </w:p>
    <w:p w:rsidR="004B6846" w:rsidRPr="00531141" w:rsidRDefault="004B6846" w:rsidP="00CC0EB7">
      <w:pPr>
        <w:pStyle w:val="TableHeading"/>
        <w:rPr>
          <w:bCs/>
          <w:lang w:val="en-US"/>
        </w:rPr>
      </w:pPr>
      <w:r>
        <w:t>As at 30 September</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850"/>
        <w:gridCol w:w="3628"/>
        <w:gridCol w:w="297"/>
        <w:gridCol w:w="440"/>
        <w:gridCol w:w="850"/>
        <w:gridCol w:w="850"/>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 xml:space="preserve">2017-18 </w:t>
            </w:r>
          </w:p>
        </w:tc>
        <w:tc>
          <w:tcPr>
            <w:tcW w:w="3628"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737" w:type="dxa"/>
            <w:gridSpan w:val="2"/>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 xml:space="preserve">2018-19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3628"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737" w:type="dxa"/>
            <w:gridSpan w:val="2"/>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opening</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revised</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3628"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737" w:type="dxa"/>
            <w:gridSpan w:val="2"/>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Notes</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1 Jul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Assets</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531141">
              <w:rPr>
                <w:rFonts w:eastAsiaTheme="minorEastAsia" w:cstheme="majorHAnsi"/>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Financial assets</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531141">
              <w:rPr>
                <w:rFonts w:eastAsiaTheme="minorEastAsia" w:cstheme="majorHAnsi"/>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4 146</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Cash and deposits</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Pr>
                <w:rFonts w:eastAsiaTheme="minorEastAsia" w:cstheme="majorHAnsi"/>
                <w:color w:val="000000"/>
                <w:lang w:eastAsia="en-AU"/>
              </w:rPr>
              <w:t>E.</w:t>
            </w:r>
            <w:r w:rsidRPr="00531141">
              <w:rPr>
                <w:rFonts w:eastAsiaTheme="minorEastAsia" w:cstheme="majorHAnsi"/>
                <w:color w:val="000000"/>
                <w:lang w:eastAsia="en-AU"/>
              </w:rPr>
              <w:t>7.2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6 257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5 940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4 180</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12 179</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Advances paid</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10 019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9 189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8 524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6 281</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Receivables</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E.5.1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6 208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6 400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6 400</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3 895</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Investments, loans and placements</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3 928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3 940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4 204</w:t>
            </w:r>
          </w:p>
        </w:tc>
      </w:tr>
      <w:tr w:rsidR="004B6846" w:rsidRPr="00531141" w:rsidTr="00684CDB">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48</w:t>
            </w:r>
          </w:p>
        </w:tc>
        <w:tc>
          <w:tcPr>
            <w:tcW w:w="3925" w:type="dxa"/>
            <w:gridSpan w:val="2"/>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Investments accounted for using the equity method</w:t>
            </w:r>
          </w:p>
        </w:tc>
        <w:tc>
          <w:tcPr>
            <w:tcW w:w="440" w:type="dxa"/>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53</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93 484</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Investments in other sector entities</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101 253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102 157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108 405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120 033</w:t>
            </w:r>
          </w:p>
        </w:tc>
        <w:tc>
          <w:tcPr>
            <w:tcW w:w="3628"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Total financial assets</w:t>
            </w:r>
          </w:p>
        </w:tc>
        <w:tc>
          <w:tcPr>
            <w:tcW w:w="737" w:type="dxa"/>
            <w:gridSpan w:val="2"/>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531141">
              <w:rPr>
                <w:rFonts w:eastAsiaTheme="minorEastAsia" w:cstheme="majorHAnsi"/>
                <w:bCs/>
                <w:color w:val="000000"/>
                <w:lang w:eastAsia="en-AU"/>
              </w:rPr>
              <w:t xml:space="preserve"> </w:t>
            </w:r>
          </w:p>
        </w:tc>
        <w:tc>
          <w:tcPr>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127 717</w:t>
            </w:r>
          </w:p>
        </w:tc>
        <w:tc>
          <w:tcPr>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127 679</w:t>
            </w:r>
          </w:p>
        </w:tc>
        <w:tc>
          <w:tcPr>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131 766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Non-financial assets</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531141">
              <w:rPr>
                <w:rFonts w:eastAsiaTheme="minorEastAsia" w:cstheme="majorHAnsi"/>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173</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Inventories</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175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171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187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405</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Non-financial assets held for sale</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389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391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391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122 018</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Land, buildings, infrastructure, plant and equipment</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E.4.1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134 141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134 414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136 721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1 944</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Other non-financial assets</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E.4.7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1 872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2 411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2 130</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124 539</w:t>
            </w:r>
          </w:p>
        </w:tc>
        <w:tc>
          <w:tcPr>
            <w:tcW w:w="3628"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Total non-financial assets</w:t>
            </w:r>
          </w:p>
        </w:tc>
        <w:tc>
          <w:tcPr>
            <w:tcW w:w="737" w:type="dxa"/>
            <w:gridSpan w:val="2"/>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531141">
              <w:rPr>
                <w:rFonts w:eastAsiaTheme="minorEastAsia" w:cstheme="majorHAnsi"/>
                <w:bCs/>
                <w:color w:val="000000"/>
                <w:lang w:eastAsia="en-AU"/>
              </w:rPr>
              <w:t xml:space="preserve"> </w:t>
            </w:r>
          </w:p>
        </w:tc>
        <w:tc>
          <w:tcPr>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136 577</w:t>
            </w:r>
          </w:p>
        </w:tc>
        <w:tc>
          <w:tcPr>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137 386</w:t>
            </w:r>
          </w:p>
        </w:tc>
        <w:tc>
          <w:tcPr>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139 428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244 573</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Total assets</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E.4.8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264 294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265 065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271 194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Liabilities</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531141">
              <w:rPr>
                <w:rFonts w:eastAsiaTheme="minorEastAsia" w:cstheme="majorHAnsi"/>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8 403</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 xml:space="preserve">Deposits held and advances received </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6 700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5 772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4 900</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5 722</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Payables</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E.5.2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6 713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9 143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9 438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29 485</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Borrowings</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33 506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31 974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34 522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6 329</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Employee benefits</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E.3.2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7 020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6 893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7 319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23 903</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Superannuation</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25 205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24 257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23 268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1 043</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Other provisions</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1 034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962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919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74 884</w:t>
            </w:r>
          </w:p>
        </w:tc>
        <w:tc>
          <w:tcPr>
            <w:tcW w:w="3628"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Total liabilities</w:t>
            </w:r>
          </w:p>
        </w:tc>
        <w:tc>
          <w:tcPr>
            <w:tcW w:w="737" w:type="dxa"/>
            <w:gridSpan w:val="2"/>
            <w:tcBorders>
              <w:top w:val="single" w:sz="6" w:space="0" w:color="000000"/>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531141">
              <w:rPr>
                <w:rFonts w:eastAsiaTheme="minorEastAsia" w:cstheme="majorHAnsi"/>
                <w:bCs/>
                <w:color w:val="000000"/>
                <w:lang w:eastAsia="en-AU"/>
              </w:rPr>
              <w:t xml:space="preserve"> </w:t>
            </w:r>
          </w:p>
        </w:tc>
        <w:tc>
          <w:tcPr>
            <w:tcW w:w="850"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80 178</w:t>
            </w:r>
          </w:p>
        </w:tc>
        <w:tc>
          <w:tcPr>
            <w:tcW w:w="850"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79 001</w:t>
            </w:r>
          </w:p>
        </w:tc>
        <w:tc>
          <w:tcPr>
            <w:tcW w:w="850"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80 365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169 689</w:t>
            </w:r>
          </w:p>
        </w:tc>
        <w:tc>
          <w:tcPr>
            <w:tcW w:w="3628"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Net assets</w:t>
            </w:r>
          </w:p>
        </w:tc>
        <w:tc>
          <w:tcPr>
            <w:tcW w:w="737" w:type="dxa"/>
            <w:gridSpan w:val="2"/>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531141">
              <w:rPr>
                <w:rFonts w:eastAsiaTheme="minorEastAsia" w:cstheme="majorHAnsi"/>
                <w:bCs/>
                <w:color w:val="000000"/>
                <w:lang w:eastAsia="en-AU"/>
              </w:rPr>
              <w:t xml:space="preserve"> </w:t>
            </w:r>
          </w:p>
        </w:tc>
        <w:tc>
          <w:tcPr>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184 116</w:t>
            </w:r>
          </w:p>
        </w:tc>
        <w:tc>
          <w:tcPr>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186 064</w:t>
            </w:r>
          </w:p>
        </w:tc>
        <w:tc>
          <w:tcPr>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190 829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53 145</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Accumulated surplus/(deficit)</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52 574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54 496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56 577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116 544</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Reserves</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131 543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131 569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134 252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169 689</w:t>
            </w:r>
          </w:p>
        </w:tc>
        <w:tc>
          <w:tcPr>
            <w:tcW w:w="3628"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Net worth</w:t>
            </w:r>
          </w:p>
        </w:tc>
        <w:tc>
          <w:tcPr>
            <w:tcW w:w="737" w:type="dxa"/>
            <w:gridSpan w:val="2"/>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531141">
              <w:rPr>
                <w:rFonts w:eastAsiaTheme="minorEastAsia" w:cstheme="majorHAnsi"/>
                <w:bCs/>
                <w:color w:val="000000"/>
                <w:lang w:eastAsia="en-AU"/>
              </w:rPr>
              <w:t xml:space="preserve"> </w:t>
            </w:r>
          </w:p>
        </w:tc>
        <w:tc>
          <w:tcPr>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184 116</w:t>
            </w:r>
          </w:p>
        </w:tc>
        <w:tc>
          <w:tcPr>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186 064</w:t>
            </w:r>
          </w:p>
        </w:tc>
        <w:tc>
          <w:tcPr>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190 829</w:t>
            </w:r>
          </w:p>
        </w:tc>
      </w:tr>
      <w:tr w:rsidR="004B6846" w:rsidRPr="00531141" w:rsidTr="00CC0EB7">
        <w:trPr>
          <w:trHeight w:hRule="exact" w:val="120"/>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b/>
                <w:bCs/>
                <w:color w:val="000000"/>
                <w:szCs w:val="16"/>
                <w:lang w:eastAsia="en-AU"/>
              </w:rPr>
              <w:t>FISCAL AGGREGATES</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531141">
              <w:rPr>
                <w:rFonts w:eastAsiaTheme="minorEastAsia" w:cstheme="majorHAnsi"/>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45 150</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Net financial worth</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47 540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48 678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51 401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48 335</w:t>
            </w:r>
          </w:p>
        </w:tc>
        <w:tc>
          <w:tcPr>
            <w:tcW w:w="3628"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Net financial liabilities</w:t>
            </w:r>
          </w:p>
        </w:tc>
        <w:tc>
          <w:tcPr>
            <w:tcW w:w="737" w:type="dxa"/>
            <w:gridSpan w:val="2"/>
            <w:tcBorders>
              <w:top w:val="nil"/>
              <w:left w:val="nil"/>
              <w:bottom w:val="nil"/>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53 713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53 479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57 004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12" w:space="0" w:color="000000"/>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17 667</w:t>
            </w:r>
          </w:p>
        </w:tc>
        <w:tc>
          <w:tcPr>
            <w:tcW w:w="3628" w:type="dxa"/>
            <w:tcBorders>
              <w:top w:val="nil"/>
              <w:left w:val="nil"/>
              <w:bottom w:val="single" w:sz="12" w:space="0" w:color="000000"/>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Net debt</w:t>
            </w:r>
          </w:p>
        </w:tc>
        <w:tc>
          <w:tcPr>
            <w:tcW w:w="737" w:type="dxa"/>
            <w:gridSpan w:val="2"/>
            <w:tcBorders>
              <w:top w:val="nil"/>
              <w:left w:val="nil"/>
              <w:bottom w:val="single" w:sz="12" w:space="0" w:color="000000"/>
              <w:right w:val="nil"/>
            </w:tcBorders>
          </w:tcPr>
          <w:p w:rsidR="004B6846" w:rsidRPr="00531141" w:rsidRDefault="004B6846" w:rsidP="00CC0EB7">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
                <w:color w:val="000000"/>
                <w:lang w:eastAsia="en-AU"/>
              </w:rPr>
            </w:pPr>
            <w:r w:rsidRPr="00531141">
              <w:rPr>
                <w:rFonts w:eastAsiaTheme="minorEastAsia" w:cstheme="majorHAnsi"/>
                <w:b/>
                <w:color w:val="000000"/>
                <w:lang w:eastAsia="en-AU"/>
              </w:rPr>
              <w:t xml:space="preserve"> </w:t>
            </w:r>
          </w:p>
        </w:tc>
        <w:tc>
          <w:tcPr>
            <w:tcW w:w="850" w:type="dxa"/>
            <w:tcBorders>
              <w:top w:val="nil"/>
              <w:left w:val="nil"/>
              <w:bottom w:val="single" w:sz="12"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20 003</w:t>
            </w:r>
          </w:p>
        </w:tc>
        <w:tc>
          <w:tcPr>
            <w:tcW w:w="850" w:type="dxa"/>
            <w:tcBorders>
              <w:top w:val="nil"/>
              <w:left w:val="nil"/>
              <w:bottom w:val="single" w:sz="12"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18 677</w:t>
            </w:r>
          </w:p>
        </w:tc>
        <w:tc>
          <w:tcPr>
            <w:tcW w:w="850" w:type="dxa"/>
            <w:tcBorders>
              <w:top w:val="nil"/>
              <w:left w:val="nil"/>
              <w:bottom w:val="single" w:sz="12"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22 513</w:t>
            </w:r>
          </w:p>
        </w:tc>
      </w:tr>
    </w:tbl>
    <w:p w:rsidR="004B6846" w:rsidRDefault="004B6846" w:rsidP="00CC0EB7">
      <w:pPr>
        <w:pStyle w:val="Source"/>
      </w:pPr>
      <w:r w:rsidRPr="00D87D22">
        <w:t>Source: Department of Treasury and Finance</w:t>
      </w:r>
    </w:p>
    <w:p w:rsidR="004B6846" w:rsidRPr="00926603" w:rsidRDefault="004B6846" w:rsidP="00CC0EB7">
      <w:pPr>
        <w:pStyle w:val="Note"/>
      </w:pPr>
    </w:p>
    <w:p w:rsidR="004B6846" w:rsidRDefault="004B6846" w:rsidP="00CC0EB7"/>
    <w:p w:rsidR="004B6846" w:rsidRDefault="004B6846" w:rsidP="00CC0EB7"/>
    <w:p w:rsidR="004B6846" w:rsidRDefault="004B6846">
      <w:pPr>
        <w:keepLines w:val="0"/>
      </w:pPr>
      <w:r>
        <w:br w:type="page"/>
      </w:r>
    </w:p>
    <w:p w:rsidR="004B6846" w:rsidRDefault="004B6846" w:rsidP="00CB74DA">
      <w:pPr>
        <w:pStyle w:val="Heading1-AppendixE"/>
      </w:pPr>
      <w:r>
        <w:lastRenderedPageBreak/>
        <w:t xml:space="preserve">CONSOLIDATED CASH FLOW STATEMENT </w:t>
      </w:r>
    </w:p>
    <w:p w:rsidR="004B6846" w:rsidRPr="005D3A12" w:rsidRDefault="004B6846" w:rsidP="00CC0EB7">
      <w:pPr>
        <w:pStyle w:val="TableHeading"/>
        <w:rPr>
          <w:bCs/>
          <w:lang w:val="en-US"/>
        </w:rPr>
      </w:pPr>
      <w:r>
        <w:t>For the period ended 30 September</w:t>
      </w:r>
      <w:r>
        <w:tab/>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4479"/>
        <w:gridCol w:w="737"/>
        <w:gridCol w:w="850"/>
        <w:gridCol w:w="850"/>
      </w:tblGrid>
      <w:tr w:rsidR="004B6846" w:rsidRPr="000431AD"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0431AD" w:rsidRDefault="004B6846" w:rsidP="00CC0EB7">
            <w:pPr>
              <w:autoSpaceDE w:val="0"/>
              <w:autoSpaceDN w:val="0"/>
              <w:adjustRightInd w:val="0"/>
              <w:spacing w:after="0"/>
              <w:jc w:val="right"/>
              <w:rPr>
                <w:rFonts w:eastAsiaTheme="minorEastAsia" w:cstheme="majorHAnsi"/>
                <w:iCs/>
                <w:color w:val="FFFFFF"/>
                <w:sz w:val="16"/>
                <w:szCs w:val="16"/>
                <w:lang w:eastAsia="en-AU"/>
              </w:rPr>
            </w:pPr>
            <w:r w:rsidRPr="000431AD">
              <w:rPr>
                <w:rFonts w:eastAsiaTheme="minorEastAsia" w:cstheme="majorHAnsi"/>
                <w:iCs/>
                <w:color w:val="FFFFFF"/>
                <w:sz w:val="16"/>
                <w:szCs w:val="16"/>
                <w:lang w:eastAsia="en-AU"/>
              </w:rPr>
              <w:t>2017-18</w:t>
            </w:r>
          </w:p>
        </w:tc>
        <w:tc>
          <w:tcPr>
            <w:tcW w:w="4479" w:type="dxa"/>
            <w:tcBorders>
              <w:top w:val="nil"/>
              <w:left w:val="nil"/>
              <w:bottom w:val="nil"/>
              <w:right w:val="nil"/>
            </w:tcBorders>
            <w:shd w:val="solid" w:color="000000" w:fill="auto"/>
          </w:tcPr>
          <w:p w:rsidR="004B6846" w:rsidRPr="000431AD" w:rsidRDefault="004B6846" w:rsidP="00CC0EB7">
            <w:pPr>
              <w:keepLines w:val="0"/>
              <w:autoSpaceDE w:val="0"/>
              <w:autoSpaceDN w:val="0"/>
              <w:adjustRightInd w:val="0"/>
              <w:spacing w:after="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0431AD">
              <w:rPr>
                <w:rFonts w:eastAsiaTheme="minorEastAsia" w:cstheme="majorHAnsi"/>
                <w:iCs/>
                <w:color w:val="FFFFFF"/>
                <w:sz w:val="16"/>
                <w:szCs w:val="16"/>
                <w:lang w:eastAsia="en-AU"/>
              </w:rPr>
              <w:t xml:space="preserve"> </w:t>
            </w:r>
          </w:p>
        </w:tc>
        <w:tc>
          <w:tcPr>
            <w:tcW w:w="737" w:type="dxa"/>
            <w:tcBorders>
              <w:top w:val="nil"/>
              <w:left w:val="nil"/>
              <w:bottom w:val="nil"/>
              <w:right w:val="nil"/>
            </w:tcBorders>
            <w:shd w:val="solid" w:color="000000" w:fill="auto"/>
          </w:tcPr>
          <w:p w:rsidR="004B6846" w:rsidRPr="000431AD" w:rsidRDefault="004B6846" w:rsidP="00CC0EB7">
            <w:pPr>
              <w:keepLines w:val="0"/>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0431AD">
              <w:rPr>
                <w:rFonts w:eastAsiaTheme="minorEastAsia" w:cstheme="majorHAnsi"/>
                <w:iCs/>
                <w:color w:val="FFFFFF"/>
                <w:sz w:val="16"/>
                <w:szCs w:val="16"/>
                <w:lang w:eastAsia="en-AU"/>
              </w:rPr>
              <w:t xml:space="preserve"> </w:t>
            </w:r>
          </w:p>
        </w:tc>
        <w:tc>
          <w:tcPr>
            <w:tcW w:w="1700" w:type="dxa"/>
            <w:gridSpan w:val="2"/>
            <w:tcBorders>
              <w:top w:val="nil"/>
              <w:left w:val="nil"/>
              <w:bottom w:val="nil"/>
              <w:right w:val="nil"/>
            </w:tcBorders>
            <w:shd w:val="solid" w:color="000000" w:fill="auto"/>
          </w:tcPr>
          <w:p w:rsidR="004B6846" w:rsidRPr="000431AD" w:rsidRDefault="004B6846" w:rsidP="00CC0EB7">
            <w:pPr>
              <w:keepLines w:val="0"/>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0431AD">
              <w:rPr>
                <w:rFonts w:eastAsiaTheme="minorEastAsia" w:cstheme="majorHAnsi"/>
                <w:iCs/>
                <w:color w:val="FFFFFF"/>
                <w:sz w:val="16"/>
                <w:szCs w:val="16"/>
                <w:lang w:eastAsia="en-AU"/>
              </w:rPr>
              <w:t>2018-19</w:t>
            </w:r>
          </w:p>
        </w:tc>
      </w:tr>
      <w:tr w:rsidR="004B6846" w:rsidRPr="000431AD"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0431AD" w:rsidRDefault="004B6846" w:rsidP="00CC0EB7">
            <w:pPr>
              <w:keepLines w:val="0"/>
              <w:autoSpaceDE w:val="0"/>
              <w:autoSpaceDN w:val="0"/>
              <w:adjustRightInd w:val="0"/>
              <w:spacing w:after="0"/>
              <w:jc w:val="right"/>
              <w:rPr>
                <w:rFonts w:eastAsiaTheme="minorEastAsia" w:cstheme="majorHAnsi"/>
                <w:iCs/>
                <w:color w:val="FFFFFF"/>
                <w:sz w:val="16"/>
                <w:szCs w:val="16"/>
                <w:lang w:eastAsia="en-AU"/>
              </w:rPr>
            </w:pPr>
            <w:r w:rsidRPr="000431AD">
              <w:rPr>
                <w:rFonts w:eastAsiaTheme="minorEastAsia" w:cstheme="majorHAnsi"/>
                <w:iCs/>
                <w:color w:val="FFFFFF"/>
                <w:sz w:val="16"/>
                <w:szCs w:val="16"/>
                <w:lang w:eastAsia="en-AU"/>
              </w:rPr>
              <w:t>actual</w:t>
            </w:r>
          </w:p>
        </w:tc>
        <w:tc>
          <w:tcPr>
            <w:tcW w:w="4479" w:type="dxa"/>
            <w:tcBorders>
              <w:top w:val="nil"/>
              <w:left w:val="nil"/>
              <w:bottom w:val="nil"/>
              <w:right w:val="nil"/>
            </w:tcBorders>
            <w:shd w:val="solid" w:color="000000" w:fill="auto"/>
          </w:tcPr>
          <w:p w:rsidR="004B6846" w:rsidRPr="000431AD" w:rsidRDefault="004B6846" w:rsidP="00CC0EB7">
            <w:pPr>
              <w:keepLines w:val="0"/>
              <w:autoSpaceDE w:val="0"/>
              <w:autoSpaceDN w:val="0"/>
              <w:adjustRightInd w:val="0"/>
              <w:spacing w:after="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0431AD">
              <w:rPr>
                <w:rFonts w:eastAsiaTheme="minorEastAsia" w:cstheme="majorHAnsi"/>
                <w:iCs/>
                <w:color w:val="FFFFFF"/>
                <w:sz w:val="16"/>
                <w:szCs w:val="16"/>
                <w:lang w:eastAsia="en-AU"/>
              </w:rPr>
              <w:t xml:space="preserve"> </w:t>
            </w:r>
          </w:p>
        </w:tc>
        <w:tc>
          <w:tcPr>
            <w:tcW w:w="737" w:type="dxa"/>
            <w:tcBorders>
              <w:top w:val="nil"/>
              <w:left w:val="nil"/>
              <w:bottom w:val="nil"/>
              <w:right w:val="nil"/>
            </w:tcBorders>
            <w:shd w:val="solid" w:color="000000" w:fill="auto"/>
          </w:tcPr>
          <w:p w:rsidR="004B6846" w:rsidRPr="000431AD" w:rsidRDefault="004B6846" w:rsidP="00CC0EB7">
            <w:pPr>
              <w:keepLines w:val="0"/>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0431AD">
              <w:rPr>
                <w:rFonts w:eastAsiaTheme="minorEastAsia" w:cstheme="majorHAnsi"/>
                <w:iCs/>
                <w:color w:val="FFFFFF"/>
                <w:sz w:val="16"/>
                <w:szCs w:val="16"/>
                <w:lang w:eastAsia="en-AU"/>
              </w:rPr>
              <w:t xml:space="preserve"> </w:t>
            </w:r>
          </w:p>
        </w:tc>
        <w:tc>
          <w:tcPr>
            <w:tcW w:w="850" w:type="dxa"/>
            <w:tcBorders>
              <w:top w:val="nil"/>
              <w:left w:val="nil"/>
              <w:bottom w:val="nil"/>
              <w:right w:val="nil"/>
            </w:tcBorders>
            <w:shd w:val="solid" w:color="000000" w:fill="auto"/>
          </w:tcPr>
          <w:p w:rsidR="004B6846" w:rsidRPr="000431AD" w:rsidRDefault="004B6846"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0431AD">
              <w:rPr>
                <w:rFonts w:eastAsiaTheme="minorEastAsia" w:cstheme="majorHAnsi"/>
                <w:iCs/>
                <w:color w:val="FFFFFF"/>
                <w:sz w:val="16"/>
                <w:szCs w:val="16"/>
                <w:lang w:eastAsia="en-AU"/>
              </w:rPr>
              <w:t>actual</w:t>
            </w:r>
          </w:p>
        </w:tc>
        <w:tc>
          <w:tcPr>
            <w:tcW w:w="850" w:type="dxa"/>
            <w:tcBorders>
              <w:top w:val="nil"/>
              <w:left w:val="nil"/>
              <w:bottom w:val="nil"/>
              <w:right w:val="nil"/>
            </w:tcBorders>
            <w:shd w:val="solid" w:color="000000" w:fill="auto"/>
          </w:tcPr>
          <w:p w:rsidR="004B6846" w:rsidRPr="000431AD" w:rsidRDefault="004B6846"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0431AD">
              <w:rPr>
                <w:rFonts w:eastAsiaTheme="minorEastAsia" w:cstheme="majorHAnsi"/>
                <w:iCs/>
                <w:color w:val="FFFFFF"/>
                <w:sz w:val="16"/>
                <w:szCs w:val="16"/>
                <w:lang w:eastAsia="en-AU"/>
              </w:rPr>
              <w:t>revised</w:t>
            </w:r>
          </w:p>
        </w:tc>
      </w:tr>
      <w:tr w:rsidR="004B6846" w:rsidRPr="000431AD"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0431AD" w:rsidRDefault="004B6846" w:rsidP="00CC0EB7">
            <w:pPr>
              <w:keepLines w:val="0"/>
              <w:autoSpaceDE w:val="0"/>
              <w:autoSpaceDN w:val="0"/>
              <w:adjustRightInd w:val="0"/>
              <w:spacing w:after="0"/>
              <w:jc w:val="right"/>
              <w:rPr>
                <w:rFonts w:eastAsiaTheme="minorEastAsia" w:cstheme="majorHAnsi"/>
                <w:iCs/>
                <w:color w:val="FFFFFF"/>
                <w:sz w:val="16"/>
                <w:szCs w:val="16"/>
                <w:lang w:eastAsia="en-AU"/>
              </w:rPr>
            </w:pPr>
            <w:r w:rsidRPr="000431AD">
              <w:rPr>
                <w:rFonts w:eastAsiaTheme="minorEastAsia" w:cstheme="majorHAnsi"/>
                <w:iCs/>
                <w:color w:val="FFFFFF"/>
                <w:sz w:val="16"/>
                <w:szCs w:val="16"/>
                <w:lang w:eastAsia="en-AU"/>
              </w:rPr>
              <w:t>30 Sep</w:t>
            </w:r>
          </w:p>
        </w:tc>
        <w:tc>
          <w:tcPr>
            <w:tcW w:w="4479" w:type="dxa"/>
            <w:tcBorders>
              <w:top w:val="nil"/>
              <w:left w:val="nil"/>
              <w:bottom w:val="nil"/>
              <w:right w:val="nil"/>
            </w:tcBorders>
            <w:shd w:val="solid" w:color="000000" w:fill="auto"/>
          </w:tcPr>
          <w:p w:rsidR="004B6846" w:rsidRPr="000431AD" w:rsidRDefault="004B6846" w:rsidP="00CC0EB7">
            <w:pPr>
              <w:keepLines w:val="0"/>
              <w:autoSpaceDE w:val="0"/>
              <w:autoSpaceDN w:val="0"/>
              <w:adjustRightInd w:val="0"/>
              <w:spacing w:after="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0431AD">
              <w:rPr>
                <w:rFonts w:eastAsiaTheme="minorEastAsia" w:cstheme="majorHAnsi"/>
                <w:iCs/>
                <w:color w:val="FFFFFF"/>
                <w:sz w:val="16"/>
                <w:szCs w:val="16"/>
                <w:lang w:eastAsia="en-AU"/>
              </w:rPr>
              <w:t xml:space="preserve"> </w:t>
            </w:r>
          </w:p>
        </w:tc>
        <w:tc>
          <w:tcPr>
            <w:tcW w:w="737" w:type="dxa"/>
            <w:tcBorders>
              <w:top w:val="nil"/>
              <w:left w:val="nil"/>
              <w:bottom w:val="nil"/>
              <w:right w:val="nil"/>
            </w:tcBorders>
            <w:shd w:val="solid" w:color="000000" w:fill="auto"/>
          </w:tcPr>
          <w:p w:rsidR="004B6846" w:rsidRPr="000431AD" w:rsidRDefault="004B6846" w:rsidP="00CC0EB7">
            <w:pPr>
              <w:keepLines w:val="0"/>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0431AD">
              <w:rPr>
                <w:rFonts w:eastAsiaTheme="minorEastAsia" w:cstheme="majorHAnsi"/>
                <w:iCs/>
                <w:color w:val="FFFFFF"/>
                <w:sz w:val="16"/>
                <w:szCs w:val="16"/>
                <w:lang w:eastAsia="en-AU"/>
              </w:rPr>
              <w:t xml:space="preserve"> Notes</w:t>
            </w:r>
          </w:p>
        </w:tc>
        <w:tc>
          <w:tcPr>
            <w:tcW w:w="850" w:type="dxa"/>
            <w:tcBorders>
              <w:top w:val="nil"/>
              <w:left w:val="nil"/>
              <w:bottom w:val="nil"/>
              <w:right w:val="nil"/>
            </w:tcBorders>
            <w:shd w:val="solid" w:color="000000" w:fill="auto"/>
          </w:tcPr>
          <w:p w:rsidR="004B6846" w:rsidRPr="000431AD" w:rsidRDefault="004B6846"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0431AD">
              <w:rPr>
                <w:rFonts w:eastAsiaTheme="minorEastAsia" w:cstheme="majorHAnsi"/>
                <w:iCs/>
                <w:color w:val="FFFFFF"/>
                <w:sz w:val="16"/>
                <w:szCs w:val="16"/>
                <w:lang w:eastAsia="en-AU"/>
              </w:rPr>
              <w:t>30 Sep</w:t>
            </w:r>
          </w:p>
        </w:tc>
        <w:tc>
          <w:tcPr>
            <w:tcW w:w="850" w:type="dxa"/>
            <w:tcBorders>
              <w:top w:val="nil"/>
              <w:left w:val="nil"/>
              <w:bottom w:val="nil"/>
              <w:right w:val="nil"/>
            </w:tcBorders>
            <w:shd w:val="solid" w:color="000000" w:fill="auto"/>
          </w:tcPr>
          <w:p w:rsidR="004B6846" w:rsidRPr="000431AD" w:rsidRDefault="004B6846"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0431AD">
              <w:rPr>
                <w:rFonts w:eastAsiaTheme="minorEastAsia" w:cstheme="majorHAnsi"/>
                <w:iCs/>
                <w:color w:val="FFFFFF"/>
                <w:sz w:val="16"/>
                <w:szCs w:val="16"/>
                <w:lang w:eastAsia="en-AU"/>
              </w:rPr>
              <w:t>budget</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Cash flows from operating activities</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Receipts </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5 491</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Taxes received</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5 994</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23 919</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6 902</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Grants</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7 927</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33 515</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1 984</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Sales of goods and services </w:t>
            </w:r>
            <w:r w:rsidRPr="000431AD">
              <w:rPr>
                <w:rFonts w:eastAsiaTheme="minorEastAsia" w:cstheme="majorHAnsi"/>
                <w:color w:val="000000"/>
                <w:sz w:val="16"/>
                <w:szCs w:val="16"/>
                <w:vertAlign w:val="superscript"/>
                <w:lang w:eastAsia="en-AU"/>
              </w:rPr>
              <w:t>(a)(b)</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4 984</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11 095</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210</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Interest received </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209</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818</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57</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Dividends, income tax equivalent and rate equivalent receipts</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82</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1 041</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469</w:t>
            </w:r>
          </w:p>
        </w:tc>
        <w:tc>
          <w:tcPr>
            <w:tcW w:w="4479"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Other receipts</w:t>
            </w:r>
          </w:p>
        </w:tc>
        <w:tc>
          <w:tcPr>
            <w:tcW w:w="737"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491</w:t>
            </w:r>
          </w:p>
        </w:tc>
        <w:tc>
          <w:tcPr>
            <w:tcW w:w="850"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2 164</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15 114</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Total receipts</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19 686</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72 552</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Payments</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(5 748)</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Payments for employees</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(6 211)</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(24 690)</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(529)</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Superannuation</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(572)</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(3 379)</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(476)</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Interest paid</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(514)</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(2 053)</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(2 947)</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Grants and subsidies</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(2 908)</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(13 246)</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(5 179)</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Goods and services </w:t>
            </w:r>
            <w:r w:rsidRPr="000431AD">
              <w:rPr>
                <w:rFonts w:eastAsiaTheme="minorEastAsia" w:cstheme="majorHAnsi"/>
                <w:color w:val="000000"/>
                <w:sz w:val="16"/>
                <w:szCs w:val="16"/>
                <w:vertAlign w:val="superscript"/>
                <w:lang w:eastAsia="en-AU"/>
              </w:rPr>
              <w:t>(a)</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(5 694)</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(21 256)</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(207)</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Other payments</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(211)</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(775)</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single" w:sz="6" w:space="0" w:color="000000"/>
              <w:right w:val="nil"/>
            </w:tcBorders>
          </w:tcPr>
          <w:p w:rsidR="004B6846" w:rsidRPr="000431AD" w:rsidRDefault="004B6846" w:rsidP="00CC0EB7">
            <w:pPr>
              <w:keepLines w:val="0"/>
              <w:autoSpaceDE w:val="0"/>
              <w:autoSpaceDN w:val="0"/>
              <w:adjustRightInd w:val="0"/>
              <w:spacing w:after="0"/>
              <w:jc w:val="right"/>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(15 086)</w:t>
            </w:r>
          </w:p>
        </w:tc>
        <w:tc>
          <w:tcPr>
            <w:tcW w:w="4479" w:type="dxa"/>
            <w:tcBorders>
              <w:top w:val="single" w:sz="6" w:space="0" w:color="000000"/>
              <w:left w:val="nil"/>
              <w:bottom w:val="single" w:sz="6" w:space="0" w:color="000000"/>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Total payments</w:t>
            </w:r>
          </w:p>
        </w:tc>
        <w:tc>
          <w:tcPr>
            <w:tcW w:w="737" w:type="dxa"/>
            <w:tcBorders>
              <w:top w:val="single" w:sz="6" w:space="0" w:color="000000"/>
              <w:left w:val="nil"/>
              <w:bottom w:val="single" w:sz="6" w:space="0" w:color="000000"/>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 xml:space="preserve"> </w:t>
            </w:r>
          </w:p>
        </w:tc>
        <w:tc>
          <w:tcPr>
            <w:tcW w:w="850" w:type="dxa"/>
            <w:tcBorders>
              <w:top w:val="single" w:sz="6" w:space="0" w:color="000000"/>
              <w:left w:val="nil"/>
              <w:bottom w:val="single" w:sz="6" w:space="0" w:color="000000"/>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(16 110)</w:t>
            </w:r>
          </w:p>
        </w:tc>
        <w:tc>
          <w:tcPr>
            <w:tcW w:w="850" w:type="dxa"/>
            <w:tcBorders>
              <w:top w:val="single" w:sz="6" w:space="0" w:color="000000"/>
              <w:left w:val="nil"/>
              <w:bottom w:val="single" w:sz="6" w:space="0" w:color="000000"/>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(65 398)</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28</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Net cash flows from operating activities</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E.7.3</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3 577</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7 155</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Cash flows from investing activities</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Cash flows from investments in non-financial assets</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(1 881)</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Purchases of non-financial assets</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E.3.5</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(2 139)</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(9 361)</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45</w:t>
            </w:r>
          </w:p>
        </w:tc>
        <w:tc>
          <w:tcPr>
            <w:tcW w:w="4479"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Sales of non-financial assets</w:t>
            </w:r>
          </w:p>
        </w:tc>
        <w:tc>
          <w:tcPr>
            <w:tcW w:w="737"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45</w:t>
            </w:r>
          </w:p>
        </w:tc>
        <w:tc>
          <w:tcPr>
            <w:tcW w:w="850"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365</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(1 835)</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Net cash flows from investments in non-financial assets</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(2 095)</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(8 996)</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672</w:t>
            </w:r>
          </w:p>
        </w:tc>
        <w:tc>
          <w:tcPr>
            <w:tcW w:w="4479"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Net cash flows from investments in finan</w:t>
            </w:r>
            <w:r>
              <w:rPr>
                <w:rFonts w:eastAsiaTheme="minorEastAsia" w:cstheme="majorHAnsi"/>
                <w:color w:val="000000"/>
                <w:sz w:val="16"/>
                <w:szCs w:val="16"/>
                <w:lang w:eastAsia="en-AU"/>
              </w:rPr>
              <w:t>cial assets for policy purposes</w:t>
            </w:r>
          </w:p>
        </w:tc>
        <w:tc>
          <w:tcPr>
            <w:tcW w:w="737"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729</w:t>
            </w:r>
          </w:p>
        </w:tc>
        <w:tc>
          <w:tcPr>
            <w:tcW w:w="850"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1 263</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(1 163)</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Sub-total</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(1 365)</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(7 733)</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(232)</w:t>
            </w:r>
          </w:p>
        </w:tc>
        <w:tc>
          <w:tcPr>
            <w:tcW w:w="4479"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Net cash flows from investments in financial assets for liquidity management purposes</w:t>
            </w:r>
          </w:p>
        </w:tc>
        <w:tc>
          <w:tcPr>
            <w:tcW w:w="737"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(35)</w:t>
            </w:r>
          </w:p>
        </w:tc>
        <w:tc>
          <w:tcPr>
            <w:tcW w:w="850" w:type="dxa"/>
            <w:tcBorders>
              <w:top w:val="nil"/>
              <w:left w:val="nil"/>
              <w:bottom w:val="single" w:sz="6" w:space="0" w:color="000000"/>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(257)</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(1 395)</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Net cash flows from investing activities</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(1 400)</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(7 990)</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Cash flows from financing activities</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(707)</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Advances received (net)</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(834)</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(1 795)</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669</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Net borrowings</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(1 566)</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559</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22</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Deposits received (net)</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(94)</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(5)</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single" w:sz="6" w:space="0" w:color="000000"/>
              <w:right w:val="nil"/>
            </w:tcBorders>
          </w:tcPr>
          <w:p w:rsidR="004B6846" w:rsidRPr="000431AD" w:rsidRDefault="004B6846" w:rsidP="00CC0EB7">
            <w:pPr>
              <w:keepLines w:val="0"/>
              <w:autoSpaceDE w:val="0"/>
              <w:autoSpaceDN w:val="0"/>
              <w:adjustRightInd w:val="0"/>
              <w:spacing w:after="0"/>
              <w:jc w:val="right"/>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(16)</w:t>
            </w:r>
          </w:p>
        </w:tc>
        <w:tc>
          <w:tcPr>
            <w:tcW w:w="4479" w:type="dxa"/>
            <w:tcBorders>
              <w:top w:val="single" w:sz="6" w:space="0" w:color="000000"/>
              <w:left w:val="nil"/>
              <w:bottom w:val="single" w:sz="6" w:space="0" w:color="000000"/>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Net cash flows from financing activities</w:t>
            </w:r>
          </w:p>
        </w:tc>
        <w:tc>
          <w:tcPr>
            <w:tcW w:w="737" w:type="dxa"/>
            <w:tcBorders>
              <w:top w:val="single" w:sz="6" w:space="0" w:color="000000"/>
              <w:left w:val="nil"/>
              <w:bottom w:val="single" w:sz="6" w:space="0" w:color="000000"/>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 xml:space="preserve"> </w:t>
            </w:r>
          </w:p>
        </w:tc>
        <w:tc>
          <w:tcPr>
            <w:tcW w:w="850" w:type="dxa"/>
            <w:tcBorders>
              <w:top w:val="single" w:sz="6" w:space="0" w:color="000000"/>
              <w:left w:val="nil"/>
              <w:bottom w:val="single" w:sz="6" w:space="0" w:color="000000"/>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(2 494)</w:t>
            </w:r>
          </w:p>
        </w:tc>
        <w:tc>
          <w:tcPr>
            <w:tcW w:w="850" w:type="dxa"/>
            <w:tcBorders>
              <w:top w:val="single" w:sz="6" w:space="0" w:color="000000"/>
              <w:left w:val="nil"/>
              <w:bottom w:val="single" w:sz="6" w:space="0" w:color="000000"/>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(1 242)</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(1 384)</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Net increase/(decrease) in cash and cash equivalents </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(317)</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(2 077)</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5 530</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Cash and cash equivalents at beginning of reporting period</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6 257</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6 257</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single" w:sz="12" w:space="0" w:color="000000"/>
              <w:right w:val="nil"/>
            </w:tcBorders>
          </w:tcPr>
          <w:p w:rsidR="004B6846" w:rsidRPr="000431AD" w:rsidRDefault="004B6846" w:rsidP="00CC0EB7">
            <w:pPr>
              <w:keepLines w:val="0"/>
              <w:autoSpaceDE w:val="0"/>
              <w:autoSpaceDN w:val="0"/>
              <w:adjustRightInd w:val="0"/>
              <w:spacing w:after="0"/>
              <w:jc w:val="right"/>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4 146</w:t>
            </w:r>
          </w:p>
        </w:tc>
        <w:tc>
          <w:tcPr>
            <w:tcW w:w="4479" w:type="dxa"/>
            <w:tcBorders>
              <w:top w:val="single" w:sz="6" w:space="0" w:color="000000"/>
              <w:left w:val="nil"/>
              <w:bottom w:val="single" w:sz="12" w:space="0" w:color="000000"/>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Cash and cash equivalents at end of the reporting period</w:t>
            </w:r>
          </w:p>
        </w:tc>
        <w:tc>
          <w:tcPr>
            <w:tcW w:w="737" w:type="dxa"/>
            <w:tcBorders>
              <w:top w:val="single" w:sz="6" w:space="0" w:color="000000"/>
              <w:left w:val="nil"/>
              <w:bottom w:val="single" w:sz="12" w:space="0" w:color="000000"/>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E.7.2</w:t>
            </w:r>
          </w:p>
        </w:tc>
        <w:tc>
          <w:tcPr>
            <w:tcW w:w="850" w:type="dxa"/>
            <w:tcBorders>
              <w:top w:val="single" w:sz="6" w:space="0" w:color="000000"/>
              <w:left w:val="nil"/>
              <w:bottom w:val="single" w:sz="12" w:space="0" w:color="000000"/>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5 940</w:t>
            </w:r>
          </w:p>
        </w:tc>
        <w:tc>
          <w:tcPr>
            <w:tcW w:w="850" w:type="dxa"/>
            <w:tcBorders>
              <w:top w:val="single" w:sz="6" w:space="0" w:color="000000"/>
              <w:left w:val="nil"/>
              <w:bottom w:val="single" w:sz="12" w:space="0" w:color="000000"/>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4 180</w:t>
            </w:r>
          </w:p>
        </w:tc>
      </w:tr>
      <w:tr w:rsidR="004B6846" w:rsidRPr="000431AD" w:rsidTr="00CC0EB7">
        <w:trPr>
          <w:trHeight w:hRule="exact" w:val="120"/>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FISCAL AGGREGATES</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0431AD">
              <w:rPr>
                <w:rFonts w:eastAsiaTheme="minorEastAsia" w:cstheme="majorHAnsi"/>
                <w:b/>
                <w:bCs/>
                <w:color w:val="000000"/>
                <w:sz w:val="16"/>
                <w:szCs w:val="16"/>
                <w:lang w:eastAsia="en-AU"/>
              </w:rPr>
              <w:t xml:space="preserve"> </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28</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Net cash flows from operating activities</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3 577</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7 155</w:t>
            </w:r>
          </w:p>
        </w:tc>
      </w:tr>
      <w:tr w:rsidR="004B6846" w:rsidRPr="000431AD"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0431AD" w:rsidRDefault="004B6846" w:rsidP="00CC0EB7">
            <w:pPr>
              <w:keepLines w:val="0"/>
              <w:autoSpaceDE w:val="0"/>
              <w:autoSpaceDN w:val="0"/>
              <w:adjustRightInd w:val="0"/>
              <w:spacing w:after="0"/>
              <w:jc w:val="right"/>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(1 835)</w:t>
            </w:r>
          </w:p>
        </w:tc>
        <w:tc>
          <w:tcPr>
            <w:tcW w:w="4479" w:type="dxa"/>
            <w:tcBorders>
              <w:top w:val="nil"/>
              <w:left w:val="nil"/>
              <w:bottom w:val="nil"/>
              <w:right w:val="nil"/>
            </w:tcBorders>
          </w:tcPr>
          <w:p w:rsidR="004B6846" w:rsidRPr="000431AD" w:rsidRDefault="004B6846" w:rsidP="00CC0EB7">
            <w:pPr>
              <w:keepLines w:val="0"/>
              <w:autoSpaceDE w:val="0"/>
              <w:autoSpaceDN w:val="0"/>
              <w:adjustRightInd w:val="0"/>
              <w:spacing w:after="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Net cash flows from investments in non-financial assets</w:t>
            </w:r>
          </w:p>
        </w:tc>
        <w:tc>
          <w:tcPr>
            <w:tcW w:w="737" w:type="dxa"/>
            <w:tcBorders>
              <w:top w:val="nil"/>
              <w:left w:val="nil"/>
              <w:bottom w:val="nil"/>
              <w:right w:val="nil"/>
            </w:tcBorders>
          </w:tcPr>
          <w:p w:rsidR="004B6846" w:rsidRPr="000431AD" w:rsidRDefault="004B6846" w:rsidP="00CC0EB7">
            <w:pPr>
              <w:keepLines w:val="0"/>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(2 095)</w:t>
            </w:r>
          </w:p>
        </w:tc>
        <w:tc>
          <w:tcPr>
            <w:tcW w:w="850" w:type="dxa"/>
            <w:tcBorders>
              <w:top w:val="nil"/>
              <w:left w:val="nil"/>
              <w:bottom w:val="nil"/>
              <w:right w:val="nil"/>
            </w:tcBorders>
          </w:tcPr>
          <w:p w:rsidR="004B6846" w:rsidRPr="000431AD"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0431AD">
              <w:rPr>
                <w:rFonts w:eastAsiaTheme="minorEastAsia" w:cstheme="majorHAnsi"/>
                <w:color w:val="000000"/>
                <w:sz w:val="16"/>
                <w:szCs w:val="16"/>
                <w:lang w:eastAsia="en-AU"/>
              </w:rPr>
              <w:t>(8 996)</w:t>
            </w:r>
          </w:p>
        </w:tc>
      </w:tr>
      <w:tr w:rsidR="004B6846" w:rsidRPr="000431AD"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0431AD" w:rsidRDefault="004B6846" w:rsidP="00CC0EB7">
            <w:pPr>
              <w:keepLines w:val="0"/>
              <w:autoSpaceDE w:val="0"/>
              <w:autoSpaceDN w:val="0"/>
              <w:adjustRightInd w:val="0"/>
              <w:spacing w:after="0"/>
              <w:jc w:val="right"/>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(1 808)</w:t>
            </w:r>
          </w:p>
        </w:tc>
        <w:tc>
          <w:tcPr>
            <w:tcW w:w="4479" w:type="dxa"/>
            <w:tcBorders>
              <w:top w:val="single" w:sz="6" w:space="0" w:color="000000"/>
              <w:bottom w:val="single" w:sz="12" w:space="0" w:color="000000"/>
            </w:tcBorders>
          </w:tcPr>
          <w:p w:rsidR="004B6846" w:rsidRPr="000431AD" w:rsidRDefault="004B6846" w:rsidP="00CC0EB7">
            <w:pPr>
              <w:keepLines w:val="0"/>
              <w:autoSpaceDE w:val="0"/>
              <w:autoSpaceDN w:val="0"/>
              <w:adjustRightInd w:val="0"/>
              <w:spacing w:after="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Cash surplus/(deficit)</w:t>
            </w:r>
          </w:p>
        </w:tc>
        <w:tc>
          <w:tcPr>
            <w:tcW w:w="737" w:type="dxa"/>
            <w:tcBorders>
              <w:top w:val="single" w:sz="6" w:space="0" w:color="000000"/>
              <w:bottom w:val="single" w:sz="12" w:space="0" w:color="000000"/>
            </w:tcBorders>
          </w:tcPr>
          <w:p w:rsidR="004B6846" w:rsidRPr="000431AD" w:rsidRDefault="004B6846" w:rsidP="00CC0EB7">
            <w:pPr>
              <w:keepLines w:val="0"/>
              <w:autoSpaceDE w:val="0"/>
              <w:autoSpaceDN w:val="0"/>
              <w:adjustRightInd w:val="0"/>
              <w:spacing w:after="0"/>
              <w:jc w:val="center"/>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 w:val="16"/>
                <w:szCs w:val="16"/>
                <w:lang w:eastAsia="en-AU"/>
              </w:rPr>
            </w:pPr>
            <w:r w:rsidRPr="000431AD">
              <w:rPr>
                <w:rFonts w:eastAsiaTheme="minorEastAsia" w:cstheme="majorHAnsi"/>
                <w:b w:val="0"/>
                <w:bCs/>
                <w:color w:val="000000"/>
                <w:sz w:val="16"/>
                <w:szCs w:val="16"/>
                <w:lang w:eastAsia="en-AU"/>
              </w:rPr>
              <w:t xml:space="preserve"> </w:t>
            </w:r>
          </w:p>
        </w:tc>
        <w:tc>
          <w:tcPr>
            <w:tcW w:w="850" w:type="dxa"/>
            <w:tcBorders>
              <w:top w:val="single" w:sz="6" w:space="0" w:color="000000"/>
              <w:bottom w:val="single" w:sz="12" w:space="0" w:color="000000"/>
            </w:tcBorders>
          </w:tcPr>
          <w:p w:rsidR="004B6846" w:rsidRPr="000431AD"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1 482</w:t>
            </w:r>
          </w:p>
        </w:tc>
        <w:tc>
          <w:tcPr>
            <w:tcW w:w="850" w:type="dxa"/>
            <w:tcBorders>
              <w:top w:val="single" w:sz="6" w:space="0" w:color="000000"/>
              <w:bottom w:val="single" w:sz="12" w:space="0" w:color="000000"/>
            </w:tcBorders>
          </w:tcPr>
          <w:p w:rsidR="004B6846" w:rsidRPr="000431AD"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0431AD">
              <w:rPr>
                <w:rFonts w:eastAsiaTheme="minorEastAsia" w:cstheme="majorHAnsi"/>
                <w:bCs/>
                <w:color w:val="000000"/>
                <w:sz w:val="16"/>
                <w:szCs w:val="16"/>
                <w:lang w:eastAsia="en-AU"/>
              </w:rPr>
              <w:t>(1 841)</w:t>
            </w:r>
          </w:p>
        </w:tc>
      </w:tr>
    </w:tbl>
    <w:p w:rsidR="004B6846" w:rsidRDefault="004B6846" w:rsidP="00CC0EB7">
      <w:pPr>
        <w:pStyle w:val="Source"/>
      </w:pPr>
      <w:r w:rsidRPr="00D87D22">
        <w:t>Source: Department of Treasury and Finance</w:t>
      </w:r>
    </w:p>
    <w:p w:rsidR="004B6846" w:rsidRDefault="004B6846" w:rsidP="00CC0EB7">
      <w:pPr>
        <w:pStyle w:val="Note"/>
      </w:pPr>
      <w:r>
        <w:t>Notes:</w:t>
      </w:r>
    </w:p>
    <w:p w:rsidR="004B6846" w:rsidRDefault="004B6846" w:rsidP="00CC0EB7">
      <w:pPr>
        <w:pStyle w:val="Note"/>
      </w:pPr>
      <w:r>
        <w:t>(a)</w:t>
      </w:r>
      <w:r>
        <w:tab/>
        <w:t>These items include goods and services tax.</w:t>
      </w:r>
    </w:p>
    <w:p w:rsidR="004B6846" w:rsidRPr="00F14492" w:rsidRDefault="004B6846" w:rsidP="00CC0EB7">
      <w:pPr>
        <w:pStyle w:val="Note"/>
        <w:shd w:val="clear" w:color="auto" w:fill="FFFFFF" w:themeFill="background1"/>
      </w:pPr>
      <w:r>
        <w:t>(b)</w:t>
      </w:r>
      <w:r>
        <w:tab/>
        <w:t xml:space="preserve">The September 2018 balance includes </w:t>
      </w:r>
      <w:r w:rsidRPr="00C75752">
        <w:t xml:space="preserve">the </w:t>
      </w:r>
      <w:r>
        <w:t>upfront proce</w:t>
      </w:r>
      <w:r w:rsidRPr="00C75752">
        <w:t xml:space="preserve">eds from the commercialisation of the land titles and registry functions of </w:t>
      </w:r>
      <w:r>
        <w:br/>
      </w:r>
      <w:r w:rsidRPr="00C75752">
        <w:t>Land Use Victoria</w:t>
      </w:r>
      <w:r>
        <w:t>.</w:t>
      </w:r>
    </w:p>
    <w:p w:rsidR="004B6846" w:rsidRDefault="004B6846" w:rsidP="00CB74DA">
      <w:pPr>
        <w:pStyle w:val="Heading1-AppendixE"/>
      </w:pPr>
      <w:r>
        <w:lastRenderedPageBreak/>
        <w:t xml:space="preserve">CONSOLIDATED STATEMENT OF CHANGES IN EQUITY </w:t>
      </w:r>
    </w:p>
    <w:p w:rsidR="004B6846" w:rsidRPr="00CC0270" w:rsidRDefault="004B6846" w:rsidP="00CC0EB7">
      <w:pPr>
        <w:pStyle w:val="TableHeading"/>
        <w:rPr>
          <w:bCs/>
          <w:lang w:val="en-US"/>
        </w:rPr>
      </w:pPr>
      <w:r>
        <w:t>For the period ended 30 September</w:t>
      </w:r>
      <w:r>
        <w:tab/>
        <w:t xml:space="preserve">($ million) </w:t>
      </w:r>
    </w:p>
    <w:tbl>
      <w:tblPr>
        <w:tblStyle w:val="DTFTable"/>
        <w:tblW w:w="7768" w:type="dxa"/>
        <w:tblInd w:w="45" w:type="dxa"/>
        <w:tblLayout w:type="fixed"/>
        <w:tblCellMar>
          <w:left w:w="45" w:type="dxa"/>
          <w:right w:w="45" w:type="dxa"/>
        </w:tblCellMar>
        <w:tblLook w:val="06E0" w:firstRow="1" w:lastRow="1" w:firstColumn="1" w:lastColumn="0" w:noHBand="1" w:noVBand="1"/>
      </w:tblPr>
      <w:tblGrid>
        <w:gridCol w:w="3827"/>
        <w:gridCol w:w="1996"/>
        <w:gridCol w:w="1945"/>
      </w:tblGrid>
      <w:tr w:rsidR="004B6846" w:rsidRPr="00CC0270"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7" w:type="dxa"/>
            <w:tcBorders>
              <w:top w:val="nil"/>
              <w:left w:val="nil"/>
              <w:bottom w:val="nil"/>
              <w:right w:val="nil"/>
            </w:tcBorders>
            <w:shd w:val="solid" w:color="000000" w:fill="auto"/>
          </w:tcPr>
          <w:p w:rsidR="004B6846" w:rsidRPr="00CC0270" w:rsidRDefault="004B6846" w:rsidP="00CC0EB7">
            <w:pPr>
              <w:autoSpaceDE w:val="0"/>
              <w:autoSpaceDN w:val="0"/>
              <w:adjustRightInd w:val="0"/>
              <w:rPr>
                <w:rFonts w:eastAsiaTheme="minorEastAsia" w:cstheme="majorHAnsi"/>
                <w:iCs/>
                <w:color w:val="FFFFFF"/>
                <w:lang w:eastAsia="en-AU"/>
              </w:rPr>
            </w:pPr>
            <w:r w:rsidRPr="00CC0270">
              <w:rPr>
                <w:rFonts w:eastAsiaTheme="minorEastAsia" w:cstheme="majorHAnsi"/>
                <w:iCs/>
                <w:color w:val="FFFFFF"/>
                <w:lang w:eastAsia="en-AU"/>
              </w:rPr>
              <w:t xml:space="preserve"> </w:t>
            </w:r>
          </w:p>
        </w:tc>
        <w:tc>
          <w:tcPr>
            <w:tcW w:w="1996" w:type="dxa"/>
            <w:tcBorders>
              <w:top w:val="nil"/>
              <w:left w:val="nil"/>
              <w:bottom w:val="nil"/>
              <w:right w:val="nil"/>
            </w:tcBorders>
            <w:shd w:val="solid" w:color="000000" w:fill="auto"/>
          </w:tcPr>
          <w:p w:rsidR="004B6846" w:rsidRPr="00CC0270"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CC0270">
              <w:rPr>
                <w:rFonts w:eastAsiaTheme="minorEastAsia" w:cstheme="majorHAnsi"/>
                <w:iCs/>
                <w:color w:val="FFFFFF"/>
                <w:szCs w:val="16"/>
                <w:lang w:eastAsia="en-AU"/>
              </w:rPr>
              <w:t>Accumulated surplus/(deficit)</w:t>
            </w:r>
          </w:p>
        </w:tc>
        <w:tc>
          <w:tcPr>
            <w:tcW w:w="1945" w:type="dxa"/>
            <w:tcBorders>
              <w:top w:val="nil"/>
              <w:left w:val="nil"/>
              <w:bottom w:val="nil"/>
              <w:right w:val="nil"/>
            </w:tcBorders>
            <w:shd w:val="solid" w:color="000000" w:fill="auto"/>
          </w:tcPr>
          <w:p w:rsidR="004B6846" w:rsidRPr="00CC0270"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CC0270">
              <w:rPr>
                <w:rFonts w:eastAsiaTheme="minorEastAsia" w:cstheme="majorHAnsi"/>
                <w:iCs/>
                <w:color w:val="FFFFFF"/>
                <w:szCs w:val="16"/>
                <w:lang w:eastAsia="en-AU"/>
              </w:rPr>
              <w:t>Non-financial assets revaluation surplus</w:t>
            </w:r>
          </w:p>
        </w:tc>
      </w:tr>
      <w:tr w:rsidR="004B6846" w:rsidRPr="00CC0270" w:rsidTr="00CC0EB7">
        <w:tc>
          <w:tcPr>
            <w:cnfStyle w:val="001000000000" w:firstRow="0" w:lastRow="0" w:firstColumn="1" w:lastColumn="0" w:oddVBand="0" w:evenVBand="0" w:oddHBand="0" w:evenHBand="0" w:firstRowFirstColumn="0" w:firstRowLastColumn="0" w:lastRowFirstColumn="0" w:lastRowLastColumn="0"/>
            <w:tcW w:w="3827" w:type="dxa"/>
            <w:tcBorders>
              <w:top w:val="nil"/>
              <w:left w:val="nil"/>
              <w:bottom w:val="nil"/>
              <w:right w:val="nil"/>
            </w:tcBorders>
          </w:tcPr>
          <w:p w:rsidR="004B6846" w:rsidRPr="00CC0270" w:rsidRDefault="004B6846" w:rsidP="00CC0EB7">
            <w:pPr>
              <w:keepLines w:val="0"/>
              <w:autoSpaceDE w:val="0"/>
              <w:autoSpaceDN w:val="0"/>
              <w:adjustRightInd w:val="0"/>
              <w:rPr>
                <w:rFonts w:eastAsiaTheme="minorEastAsia" w:cstheme="majorHAnsi"/>
                <w:b/>
                <w:bCs/>
                <w:color w:val="000000"/>
                <w:szCs w:val="16"/>
                <w:lang w:eastAsia="en-AU"/>
              </w:rPr>
            </w:pPr>
            <w:r w:rsidRPr="00CC0270">
              <w:rPr>
                <w:rFonts w:eastAsiaTheme="minorEastAsia" w:cstheme="majorHAnsi"/>
                <w:b/>
                <w:bCs/>
                <w:color w:val="000000"/>
                <w:szCs w:val="16"/>
                <w:lang w:eastAsia="en-AU"/>
              </w:rPr>
              <w:t>2018-19</w:t>
            </w:r>
          </w:p>
        </w:tc>
        <w:tc>
          <w:tcPr>
            <w:tcW w:w="1996" w:type="dxa"/>
            <w:tcBorders>
              <w:top w:val="nil"/>
              <w:left w:val="nil"/>
              <w:bottom w:val="nil"/>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CC0270">
              <w:rPr>
                <w:rFonts w:eastAsiaTheme="minorEastAsia" w:cstheme="majorHAnsi"/>
                <w:b/>
                <w:bCs/>
                <w:color w:val="000000"/>
                <w:lang w:eastAsia="en-AU"/>
              </w:rPr>
              <w:t xml:space="preserve"> </w:t>
            </w:r>
          </w:p>
        </w:tc>
        <w:tc>
          <w:tcPr>
            <w:tcW w:w="1945" w:type="dxa"/>
            <w:tcBorders>
              <w:top w:val="nil"/>
              <w:left w:val="nil"/>
              <w:bottom w:val="nil"/>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CC0270">
              <w:rPr>
                <w:rFonts w:eastAsiaTheme="minorEastAsia" w:cstheme="majorHAnsi"/>
                <w:b/>
                <w:bCs/>
                <w:color w:val="000000"/>
                <w:lang w:eastAsia="en-AU"/>
              </w:rPr>
              <w:t xml:space="preserve"> </w:t>
            </w:r>
          </w:p>
        </w:tc>
      </w:tr>
      <w:tr w:rsidR="004B6846" w:rsidRPr="00CC0270" w:rsidTr="00CC0EB7">
        <w:tc>
          <w:tcPr>
            <w:cnfStyle w:val="001000000000" w:firstRow="0" w:lastRow="0" w:firstColumn="1" w:lastColumn="0" w:oddVBand="0" w:evenVBand="0" w:oddHBand="0" w:evenHBand="0" w:firstRowFirstColumn="0" w:firstRowLastColumn="0" w:lastRowFirstColumn="0" w:lastRowLastColumn="0"/>
            <w:tcW w:w="3827" w:type="dxa"/>
            <w:tcBorders>
              <w:top w:val="nil"/>
              <w:left w:val="nil"/>
              <w:bottom w:val="nil"/>
              <w:right w:val="nil"/>
            </w:tcBorders>
          </w:tcPr>
          <w:p w:rsidR="004B6846" w:rsidRPr="00CC0270" w:rsidRDefault="004B6846" w:rsidP="00CC0EB7">
            <w:pPr>
              <w:keepLines w:val="0"/>
              <w:autoSpaceDE w:val="0"/>
              <w:autoSpaceDN w:val="0"/>
              <w:adjustRightInd w:val="0"/>
              <w:rPr>
                <w:rFonts w:eastAsiaTheme="minorEastAsia" w:cstheme="majorHAnsi"/>
                <w:color w:val="000000"/>
                <w:szCs w:val="16"/>
                <w:lang w:eastAsia="en-AU"/>
              </w:rPr>
            </w:pPr>
            <w:r w:rsidRPr="00CC0270">
              <w:rPr>
                <w:rFonts w:eastAsiaTheme="minorEastAsia" w:cstheme="majorHAnsi"/>
                <w:color w:val="000000"/>
                <w:szCs w:val="16"/>
                <w:lang w:eastAsia="en-AU"/>
              </w:rPr>
              <w:t>Balance at 1 July 2018</w:t>
            </w:r>
          </w:p>
        </w:tc>
        <w:tc>
          <w:tcPr>
            <w:tcW w:w="1996" w:type="dxa"/>
            <w:tcBorders>
              <w:top w:val="nil"/>
              <w:left w:val="nil"/>
              <w:bottom w:val="nil"/>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CC0270">
              <w:rPr>
                <w:rFonts w:eastAsiaTheme="minorEastAsia" w:cstheme="majorHAnsi"/>
                <w:color w:val="000000"/>
                <w:szCs w:val="16"/>
                <w:lang w:eastAsia="en-AU"/>
              </w:rPr>
              <w:t>52 574</w:t>
            </w:r>
          </w:p>
        </w:tc>
        <w:tc>
          <w:tcPr>
            <w:tcW w:w="1945" w:type="dxa"/>
            <w:tcBorders>
              <w:top w:val="nil"/>
              <w:left w:val="nil"/>
              <w:bottom w:val="nil"/>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CC0270">
              <w:rPr>
                <w:rFonts w:eastAsiaTheme="minorEastAsia" w:cstheme="majorHAnsi"/>
                <w:color w:val="000000"/>
                <w:szCs w:val="16"/>
                <w:lang w:eastAsia="en-AU"/>
              </w:rPr>
              <w:t>64 084</w:t>
            </w:r>
          </w:p>
        </w:tc>
      </w:tr>
      <w:tr w:rsidR="004B6846" w:rsidRPr="00CC0270" w:rsidTr="00CC0EB7">
        <w:tc>
          <w:tcPr>
            <w:cnfStyle w:val="001000000000" w:firstRow="0" w:lastRow="0" w:firstColumn="1" w:lastColumn="0" w:oddVBand="0" w:evenVBand="0" w:oddHBand="0" w:evenHBand="0" w:firstRowFirstColumn="0" w:firstRowLastColumn="0" w:lastRowFirstColumn="0" w:lastRowLastColumn="0"/>
            <w:tcW w:w="3827" w:type="dxa"/>
            <w:tcBorders>
              <w:top w:val="nil"/>
              <w:left w:val="nil"/>
              <w:bottom w:val="nil"/>
              <w:right w:val="nil"/>
            </w:tcBorders>
          </w:tcPr>
          <w:p w:rsidR="004B6846" w:rsidRPr="00CC0270" w:rsidRDefault="004B6846" w:rsidP="00CC0EB7">
            <w:pPr>
              <w:keepLines w:val="0"/>
              <w:autoSpaceDE w:val="0"/>
              <w:autoSpaceDN w:val="0"/>
              <w:adjustRightInd w:val="0"/>
              <w:rPr>
                <w:rFonts w:eastAsiaTheme="minorEastAsia" w:cstheme="majorHAnsi"/>
                <w:color w:val="000000"/>
                <w:szCs w:val="16"/>
                <w:lang w:eastAsia="en-AU"/>
              </w:rPr>
            </w:pPr>
            <w:r w:rsidRPr="00CC0270">
              <w:rPr>
                <w:rFonts w:eastAsiaTheme="minorEastAsia" w:cstheme="majorHAnsi"/>
                <w:color w:val="000000"/>
                <w:szCs w:val="16"/>
                <w:lang w:eastAsia="en-AU"/>
              </w:rPr>
              <w:t>Net result for the year</w:t>
            </w:r>
          </w:p>
        </w:tc>
        <w:tc>
          <w:tcPr>
            <w:tcW w:w="1996" w:type="dxa"/>
            <w:tcBorders>
              <w:top w:val="nil"/>
              <w:left w:val="nil"/>
              <w:bottom w:val="nil"/>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718</w:t>
            </w:r>
          </w:p>
        </w:tc>
        <w:tc>
          <w:tcPr>
            <w:tcW w:w="1945" w:type="dxa"/>
            <w:tcBorders>
              <w:top w:val="nil"/>
              <w:left w:val="nil"/>
              <w:bottom w:val="nil"/>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CC0270" w:rsidTr="00CC0EB7">
        <w:tc>
          <w:tcPr>
            <w:cnfStyle w:val="001000000000" w:firstRow="0" w:lastRow="0" w:firstColumn="1" w:lastColumn="0" w:oddVBand="0" w:evenVBand="0" w:oddHBand="0" w:evenHBand="0" w:firstRowFirstColumn="0" w:firstRowLastColumn="0" w:lastRowFirstColumn="0" w:lastRowLastColumn="0"/>
            <w:tcW w:w="3827" w:type="dxa"/>
            <w:tcBorders>
              <w:top w:val="nil"/>
              <w:left w:val="nil"/>
              <w:bottom w:val="nil"/>
              <w:right w:val="nil"/>
            </w:tcBorders>
          </w:tcPr>
          <w:p w:rsidR="004B6846" w:rsidRPr="00CC0270" w:rsidRDefault="004B6846" w:rsidP="00CC0EB7">
            <w:pPr>
              <w:keepLines w:val="0"/>
              <w:autoSpaceDE w:val="0"/>
              <w:autoSpaceDN w:val="0"/>
              <w:adjustRightInd w:val="0"/>
              <w:rPr>
                <w:rFonts w:eastAsiaTheme="minorEastAsia" w:cstheme="majorHAnsi"/>
                <w:color w:val="000000"/>
                <w:szCs w:val="16"/>
                <w:lang w:eastAsia="en-AU"/>
              </w:rPr>
            </w:pPr>
            <w:r w:rsidRPr="00CC0270">
              <w:rPr>
                <w:rFonts w:eastAsiaTheme="minorEastAsia" w:cstheme="majorHAnsi"/>
                <w:color w:val="000000"/>
                <w:szCs w:val="16"/>
                <w:lang w:eastAsia="en-AU"/>
              </w:rPr>
              <w:t>Other comprehensive income for the year</w:t>
            </w:r>
          </w:p>
        </w:tc>
        <w:tc>
          <w:tcPr>
            <w:tcW w:w="1996" w:type="dxa"/>
            <w:tcBorders>
              <w:top w:val="nil"/>
              <w:left w:val="nil"/>
              <w:bottom w:val="nil"/>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CC0270">
              <w:rPr>
                <w:rFonts w:eastAsiaTheme="minorEastAsia" w:cstheme="majorHAnsi"/>
                <w:color w:val="000000"/>
                <w:szCs w:val="16"/>
                <w:lang w:eastAsia="en-AU"/>
              </w:rPr>
              <w:t>1 204</w:t>
            </w:r>
          </w:p>
        </w:tc>
        <w:tc>
          <w:tcPr>
            <w:tcW w:w="1945" w:type="dxa"/>
            <w:tcBorders>
              <w:top w:val="nil"/>
              <w:left w:val="nil"/>
              <w:bottom w:val="nil"/>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16</w:t>
            </w:r>
          </w:p>
        </w:tc>
      </w:tr>
      <w:tr w:rsidR="004B6846" w:rsidRPr="00CC0270" w:rsidTr="00CC0EB7">
        <w:tc>
          <w:tcPr>
            <w:cnfStyle w:val="001000000000" w:firstRow="0" w:lastRow="0" w:firstColumn="1" w:lastColumn="0" w:oddVBand="0" w:evenVBand="0" w:oddHBand="0" w:evenHBand="0" w:firstRowFirstColumn="0" w:firstRowLastColumn="0" w:lastRowFirstColumn="0" w:lastRowLastColumn="0"/>
            <w:tcW w:w="3827" w:type="dxa"/>
            <w:tcBorders>
              <w:top w:val="single" w:sz="6" w:space="0" w:color="000000"/>
              <w:left w:val="nil"/>
              <w:bottom w:val="nil"/>
              <w:right w:val="nil"/>
            </w:tcBorders>
          </w:tcPr>
          <w:p w:rsidR="004B6846" w:rsidRPr="00CC0270" w:rsidRDefault="004B6846" w:rsidP="00CC0EB7">
            <w:pPr>
              <w:keepLines w:val="0"/>
              <w:autoSpaceDE w:val="0"/>
              <w:autoSpaceDN w:val="0"/>
              <w:adjustRightInd w:val="0"/>
              <w:rPr>
                <w:rFonts w:eastAsiaTheme="minorEastAsia" w:cstheme="majorHAnsi"/>
                <w:b/>
                <w:bCs/>
                <w:color w:val="000000"/>
                <w:szCs w:val="16"/>
                <w:lang w:eastAsia="en-AU"/>
              </w:rPr>
            </w:pPr>
            <w:r w:rsidRPr="00CC0270">
              <w:rPr>
                <w:rFonts w:eastAsiaTheme="minorEastAsia" w:cstheme="majorHAnsi"/>
                <w:b/>
                <w:bCs/>
                <w:color w:val="000000"/>
                <w:szCs w:val="16"/>
                <w:lang w:eastAsia="en-AU"/>
              </w:rPr>
              <w:t>Total equity as at 30 September 2018</w:t>
            </w:r>
          </w:p>
        </w:tc>
        <w:tc>
          <w:tcPr>
            <w:tcW w:w="1996" w:type="dxa"/>
            <w:tcBorders>
              <w:top w:val="single" w:sz="6" w:space="0" w:color="000000"/>
              <w:left w:val="nil"/>
              <w:bottom w:val="nil"/>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CC0270">
              <w:rPr>
                <w:rFonts w:eastAsiaTheme="minorEastAsia" w:cstheme="majorHAnsi"/>
                <w:b/>
                <w:bCs/>
                <w:color w:val="000000"/>
                <w:szCs w:val="16"/>
                <w:lang w:eastAsia="en-AU"/>
              </w:rPr>
              <w:t>54 496</w:t>
            </w:r>
          </w:p>
        </w:tc>
        <w:tc>
          <w:tcPr>
            <w:tcW w:w="1945" w:type="dxa"/>
            <w:tcBorders>
              <w:top w:val="single" w:sz="6" w:space="0" w:color="000000"/>
              <w:left w:val="nil"/>
              <w:bottom w:val="nil"/>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CC0270">
              <w:rPr>
                <w:rFonts w:eastAsiaTheme="minorEastAsia" w:cstheme="majorHAnsi"/>
                <w:b/>
                <w:bCs/>
                <w:color w:val="000000"/>
                <w:szCs w:val="16"/>
                <w:lang w:eastAsia="en-AU"/>
              </w:rPr>
              <w:t>64 099</w:t>
            </w:r>
          </w:p>
        </w:tc>
      </w:tr>
      <w:tr w:rsidR="004B6846" w:rsidRPr="00CC0270" w:rsidTr="00CC0EB7">
        <w:tc>
          <w:tcPr>
            <w:cnfStyle w:val="001000000000" w:firstRow="0" w:lastRow="0" w:firstColumn="1" w:lastColumn="0" w:oddVBand="0" w:evenVBand="0" w:oddHBand="0" w:evenHBand="0" w:firstRowFirstColumn="0" w:firstRowLastColumn="0" w:lastRowFirstColumn="0" w:lastRowLastColumn="0"/>
            <w:tcW w:w="3827" w:type="dxa"/>
            <w:tcBorders>
              <w:top w:val="single" w:sz="6" w:space="0" w:color="000000"/>
              <w:left w:val="nil"/>
              <w:bottom w:val="single" w:sz="6" w:space="0" w:color="000000"/>
              <w:right w:val="nil"/>
            </w:tcBorders>
          </w:tcPr>
          <w:p w:rsidR="004B6846" w:rsidRPr="00CC0270" w:rsidRDefault="004B6846" w:rsidP="00CC0EB7">
            <w:pPr>
              <w:keepLines w:val="0"/>
              <w:autoSpaceDE w:val="0"/>
              <w:autoSpaceDN w:val="0"/>
              <w:adjustRightInd w:val="0"/>
              <w:rPr>
                <w:rFonts w:eastAsiaTheme="minorEastAsia" w:cstheme="majorHAnsi"/>
                <w:b/>
                <w:bCs/>
                <w:color w:val="000000"/>
                <w:szCs w:val="16"/>
                <w:lang w:eastAsia="en-AU"/>
              </w:rPr>
            </w:pPr>
            <w:r>
              <w:rPr>
                <w:rFonts w:eastAsiaTheme="minorEastAsia" w:cstheme="majorHAnsi"/>
                <w:b/>
                <w:bCs/>
                <w:color w:val="000000"/>
                <w:szCs w:val="16"/>
                <w:lang w:eastAsia="en-AU"/>
              </w:rPr>
              <w:t>Revised b</w:t>
            </w:r>
            <w:r w:rsidRPr="00CC0270">
              <w:rPr>
                <w:rFonts w:eastAsiaTheme="minorEastAsia" w:cstheme="majorHAnsi"/>
                <w:b/>
                <w:bCs/>
                <w:color w:val="000000"/>
                <w:szCs w:val="16"/>
                <w:lang w:eastAsia="en-AU"/>
              </w:rPr>
              <w:t>udget equity as at 30 June 2019</w:t>
            </w:r>
          </w:p>
        </w:tc>
        <w:tc>
          <w:tcPr>
            <w:tcW w:w="1996" w:type="dxa"/>
            <w:tcBorders>
              <w:top w:val="single" w:sz="6" w:space="0" w:color="000000"/>
              <w:left w:val="nil"/>
              <w:bottom w:val="single" w:sz="6" w:space="0" w:color="000000"/>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CC0270">
              <w:rPr>
                <w:rFonts w:eastAsiaTheme="minorEastAsia" w:cstheme="majorHAnsi"/>
                <w:b/>
                <w:bCs/>
                <w:color w:val="000000"/>
                <w:szCs w:val="16"/>
                <w:lang w:eastAsia="en-AU"/>
              </w:rPr>
              <w:t>56 577</w:t>
            </w:r>
          </w:p>
        </w:tc>
        <w:tc>
          <w:tcPr>
            <w:tcW w:w="1945" w:type="dxa"/>
            <w:tcBorders>
              <w:top w:val="single" w:sz="6" w:space="0" w:color="000000"/>
              <w:left w:val="nil"/>
              <w:bottom w:val="single" w:sz="6" w:space="0" w:color="000000"/>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CC0270">
              <w:rPr>
                <w:rFonts w:eastAsiaTheme="minorEastAsia" w:cstheme="majorHAnsi"/>
                <w:b/>
                <w:bCs/>
                <w:color w:val="000000"/>
                <w:szCs w:val="16"/>
                <w:lang w:eastAsia="en-AU"/>
              </w:rPr>
              <w:t>64 783</w:t>
            </w:r>
          </w:p>
        </w:tc>
      </w:tr>
      <w:tr w:rsidR="004B6846" w:rsidRPr="00CC0270" w:rsidTr="00CC0EB7">
        <w:tc>
          <w:tcPr>
            <w:cnfStyle w:val="001000000000" w:firstRow="0" w:lastRow="0" w:firstColumn="1" w:lastColumn="0" w:oddVBand="0" w:evenVBand="0" w:oddHBand="0" w:evenHBand="0" w:firstRowFirstColumn="0" w:firstRowLastColumn="0" w:lastRowFirstColumn="0" w:lastRowLastColumn="0"/>
            <w:tcW w:w="3827" w:type="dxa"/>
            <w:tcBorders>
              <w:top w:val="nil"/>
              <w:left w:val="nil"/>
              <w:bottom w:val="nil"/>
              <w:right w:val="nil"/>
            </w:tcBorders>
          </w:tcPr>
          <w:p w:rsidR="004B6846" w:rsidRPr="00CC0270" w:rsidRDefault="004B6846" w:rsidP="00CC0EB7">
            <w:pPr>
              <w:keepLines w:val="0"/>
              <w:autoSpaceDE w:val="0"/>
              <w:autoSpaceDN w:val="0"/>
              <w:adjustRightInd w:val="0"/>
              <w:rPr>
                <w:rFonts w:eastAsiaTheme="minorEastAsia" w:cstheme="majorHAnsi"/>
                <w:b/>
                <w:bCs/>
                <w:color w:val="000000"/>
                <w:szCs w:val="16"/>
                <w:lang w:eastAsia="en-AU"/>
              </w:rPr>
            </w:pPr>
            <w:r w:rsidRPr="00CC0270">
              <w:rPr>
                <w:rFonts w:eastAsiaTheme="minorEastAsia" w:cstheme="majorHAnsi"/>
                <w:b/>
                <w:bCs/>
                <w:color w:val="000000"/>
                <w:szCs w:val="16"/>
                <w:lang w:eastAsia="en-AU"/>
              </w:rPr>
              <w:t>2017-18</w:t>
            </w:r>
          </w:p>
        </w:tc>
        <w:tc>
          <w:tcPr>
            <w:tcW w:w="1996" w:type="dxa"/>
            <w:tcBorders>
              <w:top w:val="nil"/>
              <w:left w:val="nil"/>
              <w:bottom w:val="nil"/>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CC0270">
              <w:rPr>
                <w:rFonts w:eastAsiaTheme="minorEastAsia" w:cstheme="majorHAnsi"/>
                <w:b/>
                <w:bCs/>
                <w:color w:val="000000"/>
                <w:lang w:eastAsia="en-AU"/>
              </w:rPr>
              <w:t xml:space="preserve"> </w:t>
            </w:r>
          </w:p>
        </w:tc>
        <w:tc>
          <w:tcPr>
            <w:tcW w:w="1945" w:type="dxa"/>
            <w:tcBorders>
              <w:top w:val="nil"/>
              <w:left w:val="nil"/>
              <w:bottom w:val="nil"/>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CC0270">
              <w:rPr>
                <w:rFonts w:eastAsiaTheme="minorEastAsia" w:cstheme="majorHAnsi"/>
                <w:b/>
                <w:bCs/>
                <w:color w:val="000000"/>
                <w:lang w:eastAsia="en-AU"/>
              </w:rPr>
              <w:t xml:space="preserve"> </w:t>
            </w:r>
          </w:p>
        </w:tc>
      </w:tr>
      <w:tr w:rsidR="004B6846" w:rsidRPr="00CC0270" w:rsidTr="00CC0EB7">
        <w:tc>
          <w:tcPr>
            <w:cnfStyle w:val="001000000000" w:firstRow="0" w:lastRow="0" w:firstColumn="1" w:lastColumn="0" w:oddVBand="0" w:evenVBand="0" w:oddHBand="0" w:evenHBand="0" w:firstRowFirstColumn="0" w:firstRowLastColumn="0" w:lastRowFirstColumn="0" w:lastRowLastColumn="0"/>
            <w:tcW w:w="3827" w:type="dxa"/>
            <w:tcBorders>
              <w:top w:val="nil"/>
              <w:left w:val="nil"/>
              <w:bottom w:val="nil"/>
              <w:right w:val="nil"/>
            </w:tcBorders>
          </w:tcPr>
          <w:p w:rsidR="004B6846" w:rsidRPr="00CC0270" w:rsidRDefault="004B6846" w:rsidP="00CC0EB7">
            <w:pPr>
              <w:keepLines w:val="0"/>
              <w:autoSpaceDE w:val="0"/>
              <w:autoSpaceDN w:val="0"/>
              <w:adjustRightInd w:val="0"/>
              <w:rPr>
                <w:rFonts w:eastAsiaTheme="minorEastAsia" w:cstheme="majorHAnsi"/>
                <w:color w:val="000000"/>
                <w:szCs w:val="16"/>
                <w:lang w:eastAsia="en-AU"/>
              </w:rPr>
            </w:pPr>
            <w:r w:rsidRPr="00CC0270">
              <w:rPr>
                <w:rFonts w:eastAsiaTheme="minorEastAsia" w:cstheme="majorHAnsi"/>
                <w:color w:val="000000"/>
                <w:szCs w:val="16"/>
                <w:lang w:eastAsia="en-AU"/>
              </w:rPr>
              <w:t xml:space="preserve">Balance at 1 July 2017 </w:t>
            </w:r>
            <w:r w:rsidRPr="00CC0270">
              <w:rPr>
                <w:rFonts w:eastAsiaTheme="minorEastAsia" w:cstheme="majorHAnsi"/>
                <w:color w:val="000000"/>
                <w:szCs w:val="16"/>
                <w:vertAlign w:val="superscript"/>
                <w:lang w:eastAsia="en-AU"/>
              </w:rPr>
              <w:t>(a)</w:t>
            </w:r>
          </w:p>
        </w:tc>
        <w:tc>
          <w:tcPr>
            <w:tcW w:w="1996" w:type="dxa"/>
            <w:tcBorders>
              <w:top w:val="nil"/>
              <w:left w:val="nil"/>
              <w:bottom w:val="nil"/>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CC0270">
              <w:rPr>
                <w:rFonts w:eastAsiaTheme="minorEastAsia" w:cstheme="majorHAnsi"/>
                <w:color w:val="000000"/>
                <w:szCs w:val="16"/>
                <w:lang w:eastAsia="en-AU"/>
              </w:rPr>
              <w:t>51 464</w:t>
            </w:r>
          </w:p>
        </w:tc>
        <w:tc>
          <w:tcPr>
            <w:tcW w:w="1945" w:type="dxa"/>
            <w:tcBorders>
              <w:top w:val="nil"/>
              <w:left w:val="nil"/>
              <w:bottom w:val="nil"/>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CC0270">
              <w:rPr>
                <w:rFonts w:eastAsiaTheme="minorEastAsia" w:cstheme="majorHAnsi"/>
                <w:color w:val="000000"/>
                <w:szCs w:val="16"/>
                <w:lang w:eastAsia="en-AU"/>
              </w:rPr>
              <w:t>55 320</w:t>
            </w:r>
          </w:p>
        </w:tc>
      </w:tr>
      <w:tr w:rsidR="004B6846" w:rsidRPr="00CC0270" w:rsidTr="00CC0EB7">
        <w:tc>
          <w:tcPr>
            <w:cnfStyle w:val="001000000000" w:firstRow="0" w:lastRow="0" w:firstColumn="1" w:lastColumn="0" w:oddVBand="0" w:evenVBand="0" w:oddHBand="0" w:evenHBand="0" w:firstRowFirstColumn="0" w:firstRowLastColumn="0" w:lastRowFirstColumn="0" w:lastRowLastColumn="0"/>
            <w:tcW w:w="3827" w:type="dxa"/>
            <w:tcBorders>
              <w:top w:val="nil"/>
              <w:left w:val="nil"/>
              <w:bottom w:val="nil"/>
              <w:right w:val="nil"/>
            </w:tcBorders>
          </w:tcPr>
          <w:p w:rsidR="004B6846" w:rsidRPr="00CC0270" w:rsidRDefault="004B6846" w:rsidP="00CC0EB7">
            <w:pPr>
              <w:keepLines w:val="0"/>
              <w:autoSpaceDE w:val="0"/>
              <w:autoSpaceDN w:val="0"/>
              <w:adjustRightInd w:val="0"/>
              <w:rPr>
                <w:rFonts w:eastAsiaTheme="minorEastAsia" w:cstheme="majorHAnsi"/>
                <w:color w:val="000000"/>
                <w:szCs w:val="16"/>
                <w:lang w:eastAsia="en-AU"/>
              </w:rPr>
            </w:pPr>
            <w:r w:rsidRPr="00CC0270">
              <w:rPr>
                <w:rFonts w:eastAsiaTheme="minorEastAsia" w:cstheme="majorHAnsi"/>
                <w:color w:val="000000"/>
                <w:szCs w:val="16"/>
                <w:lang w:eastAsia="en-AU"/>
              </w:rPr>
              <w:t>Net result for the year</w:t>
            </w:r>
          </w:p>
        </w:tc>
        <w:tc>
          <w:tcPr>
            <w:tcW w:w="1996" w:type="dxa"/>
            <w:tcBorders>
              <w:top w:val="nil"/>
              <w:left w:val="nil"/>
              <w:bottom w:val="nil"/>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497</w:t>
            </w:r>
          </w:p>
        </w:tc>
        <w:tc>
          <w:tcPr>
            <w:tcW w:w="1945" w:type="dxa"/>
            <w:tcBorders>
              <w:top w:val="nil"/>
              <w:left w:val="nil"/>
              <w:bottom w:val="nil"/>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r>
      <w:tr w:rsidR="004B6846" w:rsidRPr="00CC0270" w:rsidTr="00CC0EB7">
        <w:tc>
          <w:tcPr>
            <w:cnfStyle w:val="001000000000" w:firstRow="0" w:lastRow="0" w:firstColumn="1" w:lastColumn="0" w:oddVBand="0" w:evenVBand="0" w:oddHBand="0" w:evenHBand="0" w:firstRowFirstColumn="0" w:firstRowLastColumn="0" w:lastRowFirstColumn="0" w:lastRowLastColumn="0"/>
            <w:tcW w:w="3827" w:type="dxa"/>
            <w:tcBorders>
              <w:top w:val="nil"/>
              <w:left w:val="nil"/>
              <w:bottom w:val="nil"/>
              <w:right w:val="nil"/>
            </w:tcBorders>
          </w:tcPr>
          <w:p w:rsidR="004B6846" w:rsidRPr="00CC0270" w:rsidRDefault="004B6846" w:rsidP="00CC0EB7">
            <w:pPr>
              <w:keepLines w:val="0"/>
              <w:autoSpaceDE w:val="0"/>
              <w:autoSpaceDN w:val="0"/>
              <w:adjustRightInd w:val="0"/>
              <w:rPr>
                <w:rFonts w:eastAsiaTheme="minorEastAsia" w:cstheme="majorHAnsi"/>
                <w:color w:val="000000"/>
                <w:szCs w:val="16"/>
                <w:lang w:eastAsia="en-AU"/>
              </w:rPr>
            </w:pPr>
            <w:r w:rsidRPr="00CC0270">
              <w:rPr>
                <w:rFonts w:eastAsiaTheme="minorEastAsia" w:cstheme="majorHAnsi"/>
                <w:color w:val="000000"/>
                <w:szCs w:val="16"/>
                <w:lang w:eastAsia="en-AU"/>
              </w:rPr>
              <w:t>Other comprehensive income for the year</w:t>
            </w:r>
          </w:p>
        </w:tc>
        <w:tc>
          <w:tcPr>
            <w:tcW w:w="1996" w:type="dxa"/>
            <w:tcBorders>
              <w:top w:val="nil"/>
              <w:left w:val="nil"/>
              <w:bottom w:val="nil"/>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CC0270">
              <w:rPr>
                <w:rFonts w:eastAsiaTheme="minorEastAsia" w:cstheme="majorHAnsi"/>
                <w:color w:val="000000"/>
                <w:szCs w:val="16"/>
                <w:lang w:eastAsia="en-AU"/>
              </w:rPr>
              <w:t>1 184</w:t>
            </w:r>
          </w:p>
        </w:tc>
        <w:tc>
          <w:tcPr>
            <w:tcW w:w="1945" w:type="dxa"/>
            <w:tcBorders>
              <w:top w:val="nil"/>
              <w:left w:val="nil"/>
              <w:bottom w:val="nil"/>
              <w:right w:val="nil"/>
            </w:tcBorders>
          </w:tcPr>
          <w:p w:rsidR="004B6846" w:rsidRPr="00CC0270"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(22)</w:t>
            </w:r>
          </w:p>
        </w:tc>
      </w:tr>
      <w:tr w:rsidR="004B6846" w:rsidRPr="00CC0270"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Borders>
              <w:top w:val="single" w:sz="6" w:space="0" w:color="000000"/>
              <w:bottom w:val="single" w:sz="12" w:space="0" w:color="000000"/>
            </w:tcBorders>
          </w:tcPr>
          <w:p w:rsidR="004B6846" w:rsidRPr="00CC0270" w:rsidRDefault="004B6846" w:rsidP="00CC0EB7">
            <w:pPr>
              <w:keepLines w:val="0"/>
              <w:autoSpaceDE w:val="0"/>
              <w:autoSpaceDN w:val="0"/>
              <w:adjustRightInd w:val="0"/>
              <w:rPr>
                <w:rFonts w:eastAsiaTheme="minorEastAsia" w:cstheme="majorHAnsi"/>
                <w:bCs/>
                <w:color w:val="000000"/>
                <w:szCs w:val="16"/>
                <w:lang w:eastAsia="en-AU"/>
              </w:rPr>
            </w:pPr>
            <w:r w:rsidRPr="00CC0270">
              <w:rPr>
                <w:rFonts w:eastAsiaTheme="minorEastAsia" w:cstheme="majorHAnsi"/>
                <w:bCs/>
                <w:color w:val="000000"/>
                <w:szCs w:val="16"/>
                <w:lang w:eastAsia="en-AU"/>
              </w:rPr>
              <w:t xml:space="preserve">Total equity as at 30 September 2017 </w:t>
            </w:r>
            <w:r w:rsidRPr="00CC0270">
              <w:rPr>
                <w:rFonts w:eastAsiaTheme="minorEastAsia" w:cstheme="majorHAnsi"/>
                <w:bCs/>
                <w:color w:val="000000"/>
                <w:szCs w:val="16"/>
                <w:vertAlign w:val="superscript"/>
                <w:lang w:eastAsia="en-AU"/>
              </w:rPr>
              <w:t>(a)</w:t>
            </w:r>
          </w:p>
        </w:tc>
        <w:tc>
          <w:tcPr>
            <w:tcW w:w="1996" w:type="dxa"/>
            <w:tcBorders>
              <w:top w:val="single" w:sz="6" w:space="0" w:color="000000"/>
              <w:bottom w:val="single" w:sz="12" w:space="0" w:color="000000"/>
            </w:tcBorders>
          </w:tcPr>
          <w:p w:rsidR="004B6846" w:rsidRPr="00CC0270"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CC0270">
              <w:rPr>
                <w:rFonts w:eastAsiaTheme="minorEastAsia" w:cstheme="majorHAnsi"/>
                <w:bCs/>
                <w:color w:val="000000"/>
                <w:szCs w:val="16"/>
                <w:lang w:eastAsia="en-AU"/>
              </w:rPr>
              <w:t>53 145</w:t>
            </w:r>
          </w:p>
        </w:tc>
        <w:tc>
          <w:tcPr>
            <w:tcW w:w="1945" w:type="dxa"/>
            <w:tcBorders>
              <w:top w:val="single" w:sz="6" w:space="0" w:color="000000"/>
              <w:bottom w:val="single" w:sz="12" w:space="0" w:color="000000"/>
            </w:tcBorders>
          </w:tcPr>
          <w:p w:rsidR="004B6846" w:rsidRPr="00CC0270"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CC0270">
              <w:rPr>
                <w:rFonts w:eastAsiaTheme="minorEastAsia" w:cstheme="majorHAnsi"/>
                <w:bCs/>
                <w:color w:val="000000"/>
                <w:szCs w:val="16"/>
                <w:lang w:eastAsia="en-AU"/>
              </w:rPr>
              <w:t>55 298</w:t>
            </w:r>
          </w:p>
        </w:tc>
      </w:tr>
    </w:tbl>
    <w:p w:rsidR="004B6846" w:rsidRDefault="004B6846" w:rsidP="00CC0EB7">
      <w:pPr>
        <w:pStyle w:val="Source"/>
      </w:pPr>
      <w:r w:rsidRPr="00D87D22">
        <w:t>Source: Department of Treasury and Finance</w:t>
      </w:r>
    </w:p>
    <w:p w:rsidR="004B6846" w:rsidRDefault="004B6846" w:rsidP="00CC0EB7">
      <w:pPr>
        <w:pStyle w:val="Note"/>
      </w:pPr>
      <w:r>
        <w:t>Note:</w:t>
      </w:r>
    </w:p>
    <w:p w:rsidR="004B6846" w:rsidRDefault="004B6846" w:rsidP="00CC0EB7">
      <w:pPr>
        <w:pStyle w:val="Note"/>
      </w:pPr>
      <w:r>
        <w:t>(a)</w:t>
      </w:r>
      <w:r>
        <w:tab/>
        <w:t>The September 2017 comparative figures have been restated to reflect the reclassification of $425 million from the non-financial assets revaluation surplus to other reserves relating to accumulated revenue dedicated to the purchase of assets in the National Gallery of Victoria.</w:t>
      </w:r>
    </w:p>
    <w:p w:rsidR="004B6846" w:rsidRDefault="004B6846" w:rsidP="00CC0EB7"/>
    <w:p w:rsidR="004B6846" w:rsidRDefault="004B6846" w:rsidP="00CC0EB7"/>
    <w:p w:rsidR="004B6846" w:rsidRPr="001E3500" w:rsidRDefault="004B6846" w:rsidP="00CC0EB7">
      <w:pPr>
        <w:pStyle w:val="Heading10"/>
        <w:pageBreakBefore/>
        <w:spacing w:before="0"/>
      </w:pPr>
    </w:p>
    <w:p w:rsidR="004B6846" w:rsidRPr="0070708B" w:rsidRDefault="004B6846" w:rsidP="00CC0EB7">
      <w:pPr>
        <w:pStyle w:val="TableHeading"/>
        <w:rPr>
          <w:lang w:val="en-US"/>
        </w:rPr>
      </w:pPr>
    </w:p>
    <w:tbl>
      <w:tblPr>
        <w:tblStyle w:val="DTFTable"/>
        <w:tblW w:w="7704" w:type="dxa"/>
        <w:tblInd w:w="45" w:type="dxa"/>
        <w:tblLayout w:type="fixed"/>
        <w:tblCellMar>
          <w:left w:w="45" w:type="dxa"/>
          <w:right w:w="45" w:type="dxa"/>
        </w:tblCellMar>
        <w:tblLook w:val="06E0" w:firstRow="1" w:lastRow="1" w:firstColumn="1" w:lastColumn="0" w:noHBand="1" w:noVBand="1"/>
      </w:tblPr>
      <w:tblGrid>
        <w:gridCol w:w="2568"/>
        <w:gridCol w:w="2568"/>
        <w:gridCol w:w="2568"/>
      </w:tblGrid>
      <w:tr w:rsidR="004B6846" w:rsidRPr="0070708B"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68" w:type="dxa"/>
            <w:tcBorders>
              <w:top w:val="nil"/>
              <w:left w:val="nil"/>
              <w:bottom w:val="nil"/>
              <w:right w:val="nil"/>
            </w:tcBorders>
            <w:shd w:val="solid" w:color="000000" w:fill="auto"/>
          </w:tcPr>
          <w:p w:rsidR="004B6846" w:rsidRPr="0070708B" w:rsidRDefault="004B6846" w:rsidP="00CC0EB7">
            <w:pPr>
              <w:keepLines w:val="0"/>
              <w:autoSpaceDE w:val="0"/>
              <w:autoSpaceDN w:val="0"/>
              <w:adjustRightInd w:val="0"/>
              <w:jc w:val="right"/>
              <w:rPr>
                <w:rFonts w:eastAsiaTheme="minorEastAsia" w:cstheme="majorHAnsi"/>
                <w:iCs/>
                <w:color w:val="FFFFFF"/>
                <w:szCs w:val="16"/>
                <w:lang w:eastAsia="en-AU"/>
              </w:rPr>
            </w:pPr>
            <w:r w:rsidRPr="0070708B">
              <w:rPr>
                <w:rFonts w:eastAsiaTheme="minorEastAsia" w:cstheme="majorHAnsi"/>
                <w:iCs/>
                <w:color w:val="FFFFFF"/>
                <w:szCs w:val="16"/>
                <w:lang w:eastAsia="en-AU"/>
              </w:rPr>
              <w:t xml:space="preserve">Investment in other sector </w:t>
            </w:r>
            <w:r>
              <w:rPr>
                <w:rFonts w:eastAsiaTheme="minorEastAsia" w:cstheme="majorHAnsi"/>
                <w:iCs/>
                <w:color w:val="FFFFFF"/>
                <w:szCs w:val="16"/>
                <w:lang w:eastAsia="en-AU"/>
              </w:rPr>
              <w:br/>
            </w:r>
            <w:r w:rsidRPr="0070708B">
              <w:rPr>
                <w:rFonts w:eastAsiaTheme="minorEastAsia" w:cstheme="majorHAnsi"/>
                <w:iCs/>
                <w:color w:val="FFFFFF"/>
                <w:szCs w:val="16"/>
                <w:lang w:eastAsia="en-AU"/>
              </w:rPr>
              <w:t>entities revaluation surplus</w:t>
            </w:r>
          </w:p>
        </w:tc>
        <w:tc>
          <w:tcPr>
            <w:tcW w:w="2568" w:type="dxa"/>
            <w:tcBorders>
              <w:top w:val="nil"/>
              <w:left w:val="nil"/>
              <w:bottom w:val="nil"/>
              <w:right w:val="nil"/>
            </w:tcBorders>
            <w:shd w:val="solid" w:color="000000" w:fill="auto"/>
          </w:tcPr>
          <w:p w:rsidR="004B6846" w:rsidRPr="0070708B"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0708B">
              <w:rPr>
                <w:rFonts w:eastAsiaTheme="minorEastAsia" w:cstheme="majorHAnsi"/>
                <w:iCs/>
                <w:color w:val="FFFFFF"/>
                <w:szCs w:val="16"/>
                <w:lang w:eastAsia="en-AU"/>
              </w:rPr>
              <w:t>Other reserves</w:t>
            </w:r>
          </w:p>
        </w:tc>
        <w:tc>
          <w:tcPr>
            <w:tcW w:w="2568" w:type="dxa"/>
            <w:tcBorders>
              <w:top w:val="nil"/>
              <w:left w:val="nil"/>
              <w:bottom w:val="nil"/>
              <w:right w:val="nil"/>
            </w:tcBorders>
            <w:shd w:val="solid" w:color="000000" w:fill="auto"/>
          </w:tcPr>
          <w:p w:rsidR="004B6846" w:rsidRPr="0070708B"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70708B">
              <w:rPr>
                <w:rFonts w:eastAsiaTheme="minorEastAsia" w:cstheme="majorHAnsi"/>
                <w:iCs/>
                <w:color w:val="FFFFFF"/>
                <w:szCs w:val="16"/>
                <w:lang w:eastAsia="en-AU"/>
              </w:rPr>
              <w:t>Total</w:t>
            </w:r>
          </w:p>
        </w:tc>
      </w:tr>
      <w:tr w:rsidR="004B6846" w:rsidRPr="0070708B" w:rsidTr="00CC0EB7">
        <w:trPr>
          <w:cantSplit w:val="0"/>
        </w:trPr>
        <w:tc>
          <w:tcPr>
            <w:cnfStyle w:val="001000000000" w:firstRow="0" w:lastRow="0" w:firstColumn="1" w:lastColumn="0" w:oddVBand="0" w:evenVBand="0" w:oddHBand="0" w:evenHBand="0" w:firstRowFirstColumn="0" w:firstRowLastColumn="0" w:lastRowFirstColumn="0" w:lastRowLastColumn="0"/>
            <w:tcW w:w="2568" w:type="dxa"/>
            <w:tcBorders>
              <w:top w:val="nil"/>
              <w:left w:val="nil"/>
              <w:bottom w:val="nil"/>
              <w:right w:val="nil"/>
            </w:tcBorders>
          </w:tcPr>
          <w:p w:rsidR="004B6846" w:rsidRPr="0070708B" w:rsidRDefault="004B6846" w:rsidP="00CC0EB7">
            <w:pPr>
              <w:keepLines w:val="0"/>
              <w:autoSpaceDE w:val="0"/>
              <w:autoSpaceDN w:val="0"/>
              <w:adjustRightInd w:val="0"/>
              <w:jc w:val="right"/>
              <w:rPr>
                <w:rFonts w:eastAsiaTheme="minorEastAsia" w:cstheme="majorHAnsi"/>
                <w:b/>
                <w:bCs/>
                <w:color w:val="000000"/>
                <w:lang w:eastAsia="en-AU"/>
              </w:rPr>
            </w:pPr>
            <w:r w:rsidRPr="0070708B">
              <w:rPr>
                <w:rFonts w:eastAsiaTheme="minorEastAsia" w:cstheme="majorHAnsi"/>
                <w:b/>
                <w:bCs/>
                <w:color w:val="000000"/>
                <w:lang w:eastAsia="en-AU"/>
              </w:rPr>
              <w:t xml:space="preserve"> </w:t>
            </w:r>
          </w:p>
        </w:tc>
        <w:tc>
          <w:tcPr>
            <w:tcW w:w="2568" w:type="dxa"/>
            <w:tcBorders>
              <w:top w:val="nil"/>
              <w:left w:val="nil"/>
              <w:bottom w:val="nil"/>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70708B">
              <w:rPr>
                <w:rFonts w:eastAsiaTheme="minorEastAsia" w:cstheme="majorHAnsi"/>
                <w:b/>
                <w:bCs/>
                <w:color w:val="000000"/>
                <w:lang w:eastAsia="en-AU"/>
              </w:rPr>
              <w:t xml:space="preserve"> </w:t>
            </w:r>
          </w:p>
        </w:tc>
        <w:tc>
          <w:tcPr>
            <w:tcW w:w="2568" w:type="dxa"/>
            <w:tcBorders>
              <w:top w:val="nil"/>
              <w:left w:val="nil"/>
              <w:bottom w:val="nil"/>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70708B">
              <w:rPr>
                <w:rFonts w:eastAsiaTheme="minorEastAsia" w:cstheme="majorHAnsi"/>
                <w:b/>
                <w:bCs/>
                <w:color w:val="000000"/>
                <w:lang w:eastAsia="en-AU"/>
              </w:rPr>
              <w:t xml:space="preserve"> </w:t>
            </w:r>
          </w:p>
        </w:tc>
      </w:tr>
      <w:tr w:rsidR="004B6846" w:rsidRPr="0070708B" w:rsidTr="00CC0EB7">
        <w:trPr>
          <w:cantSplit w:val="0"/>
        </w:trPr>
        <w:tc>
          <w:tcPr>
            <w:cnfStyle w:val="001000000000" w:firstRow="0" w:lastRow="0" w:firstColumn="1" w:lastColumn="0" w:oddVBand="0" w:evenVBand="0" w:oddHBand="0" w:evenHBand="0" w:firstRowFirstColumn="0" w:firstRowLastColumn="0" w:lastRowFirstColumn="0" w:lastRowLastColumn="0"/>
            <w:tcW w:w="2568" w:type="dxa"/>
            <w:tcBorders>
              <w:top w:val="nil"/>
              <w:left w:val="nil"/>
              <w:bottom w:val="nil"/>
              <w:right w:val="nil"/>
            </w:tcBorders>
          </w:tcPr>
          <w:p w:rsidR="004B6846" w:rsidRPr="0070708B" w:rsidRDefault="004B6846" w:rsidP="00CC0EB7">
            <w:pPr>
              <w:keepLines w:val="0"/>
              <w:autoSpaceDE w:val="0"/>
              <w:autoSpaceDN w:val="0"/>
              <w:adjustRightInd w:val="0"/>
              <w:jc w:val="right"/>
              <w:rPr>
                <w:rFonts w:eastAsiaTheme="minorEastAsia" w:cstheme="majorHAnsi"/>
                <w:color w:val="000000"/>
                <w:szCs w:val="16"/>
                <w:lang w:eastAsia="en-AU"/>
              </w:rPr>
            </w:pPr>
            <w:r w:rsidRPr="0070708B">
              <w:rPr>
                <w:rFonts w:eastAsiaTheme="minorEastAsia" w:cstheme="majorHAnsi"/>
                <w:color w:val="000000"/>
                <w:szCs w:val="16"/>
                <w:lang w:eastAsia="en-AU"/>
              </w:rPr>
              <w:t>66 351</w:t>
            </w:r>
          </w:p>
        </w:tc>
        <w:tc>
          <w:tcPr>
            <w:tcW w:w="2568" w:type="dxa"/>
            <w:tcBorders>
              <w:top w:val="nil"/>
              <w:left w:val="nil"/>
              <w:bottom w:val="nil"/>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0708B">
              <w:rPr>
                <w:rFonts w:eastAsiaTheme="minorEastAsia" w:cstheme="majorHAnsi"/>
                <w:color w:val="000000"/>
                <w:szCs w:val="16"/>
                <w:lang w:eastAsia="en-AU"/>
              </w:rPr>
              <w:t>1 108</w:t>
            </w:r>
          </w:p>
        </w:tc>
        <w:tc>
          <w:tcPr>
            <w:tcW w:w="2568" w:type="dxa"/>
            <w:tcBorders>
              <w:top w:val="nil"/>
              <w:left w:val="nil"/>
              <w:bottom w:val="nil"/>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0708B">
              <w:rPr>
                <w:rFonts w:eastAsiaTheme="minorEastAsia" w:cstheme="majorHAnsi"/>
                <w:color w:val="000000"/>
                <w:szCs w:val="16"/>
                <w:lang w:eastAsia="en-AU"/>
              </w:rPr>
              <w:t>184 116</w:t>
            </w:r>
          </w:p>
        </w:tc>
      </w:tr>
      <w:tr w:rsidR="004B6846" w:rsidRPr="0070708B" w:rsidTr="00CC0EB7">
        <w:trPr>
          <w:cantSplit w:val="0"/>
        </w:trPr>
        <w:tc>
          <w:tcPr>
            <w:cnfStyle w:val="001000000000" w:firstRow="0" w:lastRow="0" w:firstColumn="1" w:lastColumn="0" w:oddVBand="0" w:evenVBand="0" w:oddHBand="0" w:evenHBand="0" w:firstRowFirstColumn="0" w:firstRowLastColumn="0" w:lastRowFirstColumn="0" w:lastRowLastColumn="0"/>
            <w:tcW w:w="2568" w:type="dxa"/>
            <w:tcBorders>
              <w:top w:val="nil"/>
              <w:left w:val="nil"/>
              <w:bottom w:val="nil"/>
              <w:right w:val="nil"/>
            </w:tcBorders>
          </w:tcPr>
          <w:p w:rsidR="004B6846" w:rsidRPr="0070708B"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68" w:type="dxa"/>
            <w:tcBorders>
              <w:top w:val="nil"/>
              <w:left w:val="nil"/>
              <w:bottom w:val="nil"/>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68" w:type="dxa"/>
            <w:tcBorders>
              <w:top w:val="nil"/>
              <w:left w:val="nil"/>
              <w:bottom w:val="nil"/>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718</w:t>
            </w:r>
          </w:p>
        </w:tc>
      </w:tr>
      <w:tr w:rsidR="004B6846" w:rsidRPr="0070708B" w:rsidTr="00CC0EB7">
        <w:trPr>
          <w:cantSplit w:val="0"/>
        </w:trPr>
        <w:tc>
          <w:tcPr>
            <w:cnfStyle w:val="001000000000" w:firstRow="0" w:lastRow="0" w:firstColumn="1" w:lastColumn="0" w:oddVBand="0" w:evenVBand="0" w:oddHBand="0" w:evenHBand="0" w:firstRowFirstColumn="0" w:firstRowLastColumn="0" w:lastRowFirstColumn="0" w:lastRowLastColumn="0"/>
            <w:tcW w:w="2568" w:type="dxa"/>
            <w:tcBorders>
              <w:top w:val="nil"/>
              <w:left w:val="nil"/>
              <w:bottom w:val="nil"/>
              <w:right w:val="nil"/>
            </w:tcBorders>
          </w:tcPr>
          <w:p w:rsidR="004B6846" w:rsidRPr="0070708B"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68" w:type="dxa"/>
            <w:tcBorders>
              <w:top w:val="nil"/>
              <w:left w:val="nil"/>
              <w:bottom w:val="nil"/>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11</w:t>
            </w:r>
          </w:p>
        </w:tc>
        <w:tc>
          <w:tcPr>
            <w:tcW w:w="2568" w:type="dxa"/>
            <w:tcBorders>
              <w:top w:val="nil"/>
              <w:left w:val="nil"/>
              <w:bottom w:val="nil"/>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0708B">
              <w:rPr>
                <w:rFonts w:eastAsiaTheme="minorEastAsia" w:cstheme="majorHAnsi"/>
                <w:color w:val="000000"/>
                <w:szCs w:val="16"/>
                <w:lang w:eastAsia="en-AU"/>
              </w:rPr>
              <w:t>1 230</w:t>
            </w:r>
          </w:p>
        </w:tc>
      </w:tr>
      <w:tr w:rsidR="004B6846" w:rsidRPr="0070708B" w:rsidTr="00CC0EB7">
        <w:trPr>
          <w:cantSplit w:val="0"/>
        </w:trPr>
        <w:tc>
          <w:tcPr>
            <w:cnfStyle w:val="001000000000" w:firstRow="0" w:lastRow="0" w:firstColumn="1" w:lastColumn="0" w:oddVBand="0" w:evenVBand="0" w:oddHBand="0" w:evenHBand="0" w:firstRowFirstColumn="0" w:firstRowLastColumn="0" w:lastRowFirstColumn="0" w:lastRowLastColumn="0"/>
            <w:tcW w:w="2568" w:type="dxa"/>
            <w:tcBorders>
              <w:top w:val="single" w:sz="6" w:space="0" w:color="000000"/>
              <w:left w:val="nil"/>
              <w:bottom w:val="nil"/>
              <w:right w:val="nil"/>
            </w:tcBorders>
          </w:tcPr>
          <w:p w:rsidR="004B6846" w:rsidRPr="0070708B" w:rsidRDefault="004B6846" w:rsidP="00CC0EB7">
            <w:pPr>
              <w:keepLines w:val="0"/>
              <w:autoSpaceDE w:val="0"/>
              <w:autoSpaceDN w:val="0"/>
              <w:adjustRightInd w:val="0"/>
              <w:jc w:val="right"/>
              <w:rPr>
                <w:rFonts w:eastAsiaTheme="minorEastAsia" w:cstheme="majorHAnsi"/>
                <w:b/>
                <w:bCs/>
                <w:color w:val="000000"/>
                <w:szCs w:val="16"/>
                <w:lang w:eastAsia="en-AU"/>
              </w:rPr>
            </w:pPr>
            <w:r w:rsidRPr="0070708B">
              <w:rPr>
                <w:rFonts w:eastAsiaTheme="minorEastAsia" w:cstheme="majorHAnsi"/>
                <w:b/>
                <w:bCs/>
                <w:color w:val="000000"/>
                <w:szCs w:val="16"/>
                <w:lang w:eastAsia="en-AU"/>
              </w:rPr>
              <w:t>66 351</w:t>
            </w:r>
          </w:p>
        </w:tc>
        <w:tc>
          <w:tcPr>
            <w:tcW w:w="2568" w:type="dxa"/>
            <w:tcBorders>
              <w:top w:val="single" w:sz="6" w:space="0" w:color="000000"/>
              <w:left w:val="nil"/>
              <w:bottom w:val="nil"/>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70708B">
              <w:rPr>
                <w:rFonts w:eastAsiaTheme="minorEastAsia" w:cstheme="majorHAnsi"/>
                <w:b/>
                <w:bCs/>
                <w:color w:val="000000"/>
                <w:szCs w:val="16"/>
                <w:lang w:eastAsia="en-AU"/>
              </w:rPr>
              <w:t>1 119</w:t>
            </w:r>
          </w:p>
        </w:tc>
        <w:tc>
          <w:tcPr>
            <w:tcW w:w="2568" w:type="dxa"/>
            <w:tcBorders>
              <w:top w:val="single" w:sz="6" w:space="0" w:color="000000"/>
              <w:left w:val="nil"/>
              <w:bottom w:val="nil"/>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70708B">
              <w:rPr>
                <w:rFonts w:eastAsiaTheme="minorEastAsia" w:cstheme="majorHAnsi"/>
                <w:b/>
                <w:bCs/>
                <w:color w:val="000000"/>
                <w:szCs w:val="16"/>
                <w:lang w:eastAsia="en-AU"/>
              </w:rPr>
              <w:t>186 064</w:t>
            </w:r>
          </w:p>
        </w:tc>
      </w:tr>
      <w:tr w:rsidR="004B6846" w:rsidRPr="0070708B" w:rsidTr="00CC0EB7">
        <w:trPr>
          <w:cantSplit w:val="0"/>
        </w:trPr>
        <w:tc>
          <w:tcPr>
            <w:cnfStyle w:val="001000000000" w:firstRow="0" w:lastRow="0" w:firstColumn="1" w:lastColumn="0" w:oddVBand="0" w:evenVBand="0" w:oddHBand="0" w:evenHBand="0" w:firstRowFirstColumn="0" w:firstRowLastColumn="0" w:lastRowFirstColumn="0" w:lastRowLastColumn="0"/>
            <w:tcW w:w="2568" w:type="dxa"/>
            <w:tcBorders>
              <w:top w:val="single" w:sz="6" w:space="0" w:color="000000"/>
              <w:left w:val="nil"/>
              <w:bottom w:val="single" w:sz="6" w:space="0" w:color="000000"/>
              <w:right w:val="nil"/>
            </w:tcBorders>
          </w:tcPr>
          <w:p w:rsidR="004B6846" w:rsidRPr="0070708B" w:rsidRDefault="004B6846" w:rsidP="00CC0EB7">
            <w:pPr>
              <w:keepLines w:val="0"/>
              <w:autoSpaceDE w:val="0"/>
              <w:autoSpaceDN w:val="0"/>
              <w:adjustRightInd w:val="0"/>
              <w:jc w:val="right"/>
              <w:rPr>
                <w:rFonts w:eastAsiaTheme="minorEastAsia" w:cstheme="majorHAnsi"/>
                <w:b/>
                <w:bCs/>
                <w:color w:val="000000"/>
                <w:szCs w:val="16"/>
                <w:lang w:eastAsia="en-AU"/>
              </w:rPr>
            </w:pPr>
            <w:r w:rsidRPr="0070708B">
              <w:rPr>
                <w:rFonts w:eastAsiaTheme="minorEastAsia" w:cstheme="majorHAnsi"/>
                <w:b/>
                <w:bCs/>
                <w:color w:val="000000"/>
                <w:szCs w:val="16"/>
                <w:lang w:eastAsia="en-AU"/>
              </w:rPr>
              <w:t>68 372</w:t>
            </w:r>
          </w:p>
        </w:tc>
        <w:tc>
          <w:tcPr>
            <w:tcW w:w="2568" w:type="dxa"/>
            <w:tcBorders>
              <w:top w:val="single" w:sz="6" w:space="0" w:color="000000"/>
              <w:left w:val="nil"/>
              <w:bottom w:val="single" w:sz="6" w:space="0" w:color="000000"/>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70708B">
              <w:rPr>
                <w:rFonts w:eastAsiaTheme="minorEastAsia" w:cstheme="majorHAnsi"/>
                <w:b/>
                <w:bCs/>
                <w:color w:val="000000"/>
                <w:szCs w:val="16"/>
                <w:lang w:eastAsia="en-AU"/>
              </w:rPr>
              <w:t>1 096</w:t>
            </w:r>
          </w:p>
        </w:tc>
        <w:tc>
          <w:tcPr>
            <w:tcW w:w="2568" w:type="dxa"/>
            <w:tcBorders>
              <w:top w:val="single" w:sz="6" w:space="0" w:color="000000"/>
              <w:left w:val="nil"/>
              <w:bottom w:val="single" w:sz="6" w:space="0" w:color="000000"/>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70708B">
              <w:rPr>
                <w:rFonts w:eastAsiaTheme="minorEastAsia" w:cstheme="majorHAnsi"/>
                <w:b/>
                <w:bCs/>
                <w:color w:val="000000"/>
                <w:szCs w:val="16"/>
                <w:lang w:eastAsia="en-AU"/>
              </w:rPr>
              <w:t>190 829</w:t>
            </w:r>
          </w:p>
        </w:tc>
      </w:tr>
      <w:tr w:rsidR="004B6846" w:rsidRPr="0070708B" w:rsidTr="00CC0EB7">
        <w:trPr>
          <w:cantSplit w:val="0"/>
        </w:trPr>
        <w:tc>
          <w:tcPr>
            <w:cnfStyle w:val="001000000000" w:firstRow="0" w:lastRow="0" w:firstColumn="1" w:lastColumn="0" w:oddVBand="0" w:evenVBand="0" w:oddHBand="0" w:evenHBand="0" w:firstRowFirstColumn="0" w:firstRowLastColumn="0" w:lastRowFirstColumn="0" w:lastRowLastColumn="0"/>
            <w:tcW w:w="2568" w:type="dxa"/>
            <w:tcBorders>
              <w:top w:val="nil"/>
              <w:left w:val="nil"/>
              <w:bottom w:val="nil"/>
              <w:right w:val="nil"/>
            </w:tcBorders>
          </w:tcPr>
          <w:p w:rsidR="004B6846" w:rsidRPr="0070708B" w:rsidRDefault="004B6846" w:rsidP="00CC0EB7">
            <w:pPr>
              <w:keepLines w:val="0"/>
              <w:autoSpaceDE w:val="0"/>
              <w:autoSpaceDN w:val="0"/>
              <w:adjustRightInd w:val="0"/>
              <w:jc w:val="right"/>
              <w:rPr>
                <w:rFonts w:eastAsiaTheme="minorEastAsia" w:cstheme="majorHAnsi"/>
                <w:b/>
                <w:bCs/>
                <w:color w:val="000000"/>
                <w:lang w:eastAsia="en-AU"/>
              </w:rPr>
            </w:pPr>
            <w:r w:rsidRPr="0070708B">
              <w:rPr>
                <w:rFonts w:eastAsiaTheme="minorEastAsia" w:cstheme="majorHAnsi"/>
                <w:b/>
                <w:bCs/>
                <w:color w:val="000000"/>
                <w:lang w:eastAsia="en-AU"/>
              </w:rPr>
              <w:t xml:space="preserve"> </w:t>
            </w:r>
          </w:p>
        </w:tc>
        <w:tc>
          <w:tcPr>
            <w:tcW w:w="2568" w:type="dxa"/>
            <w:tcBorders>
              <w:top w:val="nil"/>
              <w:left w:val="nil"/>
              <w:bottom w:val="nil"/>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70708B">
              <w:rPr>
                <w:rFonts w:eastAsiaTheme="minorEastAsia" w:cstheme="majorHAnsi"/>
                <w:b/>
                <w:bCs/>
                <w:color w:val="000000"/>
                <w:lang w:eastAsia="en-AU"/>
              </w:rPr>
              <w:t xml:space="preserve"> </w:t>
            </w:r>
          </w:p>
        </w:tc>
        <w:tc>
          <w:tcPr>
            <w:tcW w:w="2568" w:type="dxa"/>
            <w:tcBorders>
              <w:top w:val="nil"/>
              <w:left w:val="nil"/>
              <w:bottom w:val="nil"/>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70708B">
              <w:rPr>
                <w:rFonts w:eastAsiaTheme="minorEastAsia" w:cstheme="majorHAnsi"/>
                <w:b/>
                <w:bCs/>
                <w:color w:val="000000"/>
                <w:lang w:eastAsia="en-AU"/>
              </w:rPr>
              <w:t xml:space="preserve"> </w:t>
            </w:r>
          </w:p>
        </w:tc>
      </w:tr>
      <w:tr w:rsidR="004B6846" w:rsidRPr="0070708B" w:rsidTr="00CC0EB7">
        <w:trPr>
          <w:cantSplit w:val="0"/>
        </w:trPr>
        <w:tc>
          <w:tcPr>
            <w:cnfStyle w:val="001000000000" w:firstRow="0" w:lastRow="0" w:firstColumn="1" w:lastColumn="0" w:oddVBand="0" w:evenVBand="0" w:oddHBand="0" w:evenHBand="0" w:firstRowFirstColumn="0" w:firstRowLastColumn="0" w:lastRowFirstColumn="0" w:lastRowLastColumn="0"/>
            <w:tcW w:w="2568" w:type="dxa"/>
            <w:tcBorders>
              <w:top w:val="nil"/>
              <w:left w:val="nil"/>
              <w:bottom w:val="nil"/>
              <w:right w:val="nil"/>
            </w:tcBorders>
          </w:tcPr>
          <w:p w:rsidR="004B6846" w:rsidRPr="0070708B" w:rsidRDefault="004B6846" w:rsidP="00CC0EB7">
            <w:pPr>
              <w:keepLines w:val="0"/>
              <w:autoSpaceDE w:val="0"/>
              <w:autoSpaceDN w:val="0"/>
              <w:adjustRightInd w:val="0"/>
              <w:jc w:val="right"/>
              <w:rPr>
                <w:rFonts w:eastAsiaTheme="minorEastAsia" w:cstheme="majorHAnsi"/>
                <w:color w:val="000000"/>
                <w:szCs w:val="16"/>
                <w:lang w:eastAsia="en-AU"/>
              </w:rPr>
            </w:pPr>
            <w:r w:rsidRPr="0070708B">
              <w:rPr>
                <w:rFonts w:eastAsiaTheme="minorEastAsia" w:cstheme="majorHAnsi"/>
                <w:color w:val="000000"/>
                <w:szCs w:val="16"/>
                <w:lang w:eastAsia="en-AU"/>
              </w:rPr>
              <w:t>60 149</w:t>
            </w:r>
          </w:p>
        </w:tc>
        <w:tc>
          <w:tcPr>
            <w:tcW w:w="2568" w:type="dxa"/>
            <w:tcBorders>
              <w:top w:val="nil"/>
              <w:left w:val="nil"/>
              <w:bottom w:val="nil"/>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0708B">
              <w:rPr>
                <w:rFonts w:eastAsiaTheme="minorEastAsia" w:cstheme="majorHAnsi"/>
                <w:color w:val="000000"/>
                <w:szCs w:val="16"/>
                <w:lang w:eastAsia="en-AU"/>
              </w:rPr>
              <w:t>1 094</w:t>
            </w:r>
          </w:p>
        </w:tc>
        <w:tc>
          <w:tcPr>
            <w:tcW w:w="2568" w:type="dxa"/>
            <w:tcBorders>
              <w:top w:val="nil"/>
              <w:left w:val="nil"/>
              <w:bottom w:val="nil"/>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0708B">
              <w:rPr>
                <w:rFonts w:eastAsiaTheme="minorEastAsia" w:cstheme="majorHAnsi"/>
                <w:color w:val="000000"/>
                <w:szCs w:val="16"/>
                <w:lang w:eastAsia="en-AU"/>
              </w:rPr>
              <w:t>168 027</w:t>
            </w:r>
          </w:p>
        </w:tc>
      </w:tr>
      <w:tr w:rsidR="004B6846" w:rsidRPr="0070708B" w:rsidTr="00CC0EB7">
        <w:trPr>
          <w:cantSplit w:val="0"/>
        </w:trPr>
        <w:tc>
          <w:tcPr>
            <w:cnfStyle w:val="001000000000" w:firstRow="0" w:lastRow="0" w:firstColumn="1" w:lastColumn="0" w:oddVBand="0" w:evenVBand="0" w:oddHBand="0" w:evenHBand="0" w:firstRowFirstColumn="0" w:firstRowLastColumn="0" w:lastRowFirstColumn="0" w:lastRowLastColumn="0"/>
            <w:tcW w:w="2568" w:type="dxa"/>
            <w:tcBorders>
              <w:top w:val="nil"/>
              <w:left w:val="nil"/>
              <w:bottom w:val="nil"/>
              <w:right w:val="nil"/>
            </w:tcBorders>
          </w:tcPr>
          <w:p w:rsidR="004B6846" w:rsidRPr="0070708B"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68" w:type="dxa"/>
            <w:tcBorders>
              <w:top w:val="nil"/>
              <w:left w:val="nil"/>
              <w:bottom w:val="nil"/>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w:t>
            </w:r>
          </w:p>
        </w:tc>
        <w:tc>
          <w:tcPr>
            <w:tcW w:w="2568" w:type="dxa"/>
            <w:tcBorders>
              <w:top w:val="nil"/>
              <w:left w:val="nil"/>
              <w:bottom w:val="nil"/>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497</w:t>
            </w:r>
          </w:p>
        </w:tc>
      </w:tr>
      <w:tr w:rsidR="004B6846" w:rsidRPr="0070708B" w:rsidTr="00CC0EB7">
        <w:trPr>
          <w:cantSplit w:val="0"/>
        </w:trPr>
        <w:tc>
          <w:tcPr>
            <w:cnfStyle w:val="001000000000" w:firstRow="0" w:lastRow="0" w:firstColumn="1" w:lastColumn="0" w:oddVBand="0" w:evenVBand="0" w:oddHBand="0" w:evenHBand="0" w:firstRowFirstColumn="0" w:firstRowLastColumn="0" w:lastRowFirstColumn="0" w:lastRowLastColumn="0"/>
            <w:tcW w:w="2568" w:type="dxa"/>
            <w:tcBorders>
              <w:top w:val="nil"/>
              <w:left w:val="nil"/>
              <w:bottom w:val="nil"/>
              <w:right w:val="nil"/>
            </w:tcBorders>
          </w:tcPr>
          <w:p w:rsidR="004B6846" w:rsidRPr="0070708B"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w:t>
            </w:r>
          </w:p>
        </w:tc>
        <w:tc>
          <w:tcPr>
            <w:tcW w:w="2568" w:type="dxa"/>
            <w:tcBorders>
              <w:top w:val="nil"/>
              <w:left w:val="nil"/>
              <w:bottom w:val="nil"/>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w:t>
            </w:r>
          </w:p>
        </w:tc>
        <w:tc>
          <w:tcPr>
            <w:tcW w:w="2568" w:type="dxa"/>
            <w:tcBorders>
              <w:top w:val="nil"/>
              <w:left w:val="nil"/>
              <w:bottom w:val="nil"/>
              <w:right w:val="nil"/>
            </w:tcBorders>
          </w:tcPr>
          <w:p w:rsidR="004B6846" w:rsidRPr="0070708B"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70708B">
              <w:rPr>
                <w:rFonts w:eastAsiaTheme="minorEastAsia" w:cstheme="majorHAnsi"/>
                <w:color w:val="000000"/>
                <w:szCs w:val="16"/>
                <w:lang w:eastAsia="en-AU"/>
              </w:rPr>
              <w:t>1 165</w:t>
            </w:r>
          </w:p>
        </w:tc>
      </w:tr>
      <w:tr w:rsidR="004B6846" w:rsidRPr="0070708B" w:rsidTr="00CC0EB7">
        <w:trPr>
          <w:cnfStyle w:val="010000000000" w:firstRow="0" w:lastRow="1"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568" w:type="dxa"/>
            <w:tcBorders>
              <w:top w:val="single" w:sz="6" w:space="0" w:color="000000"/>
              <w:bottom w:val="single" w:sz="12" w:space="0" w:color="000000"/>
            </w:tcBorders>
          </w:tcPr>
          <w:p w:rsidR="004B6846" w:rsidRPr="0070708B" w:rsidRDefault="004B6846" w:rsidP="00CC0EB7">
            <w:pPr>
              <w:keepLines w:val="0"/>
              <w:autoSpaceDE w:val="0"/>
              <w:autoSpaceDN w:val="0"/>
              <w:adjustRightInd w:val="0"/>
              <w:jc w:val="right"/>
              <w:rPr>
                <w:rFonts w:eastAsiaTheme="minorEastAsia" w:cstheme="majorHAnsi"/>
                <w:bCs/>
                <w:color w:val="000000"/>
                <w:szCs w:val="16"/>
                <w:lang w:eastAsia="en-AU"/>
              </w:rPr>
            </w:pPr>
            <w:r w:rsidRPr="0070708B">
              <w:rPr>
                <w:rFonts w:eastAsiaTheme="minorEastAsia" w:cstheme="majorHAnsi"/>
                <w:bCs/>
                <w:color w:val="000000"/>
                <w:szCs w:val="16"/>
                <w:lang w:eastAsia="en-AU"/>
              </w:rPr>
              <w:t>60 149</w:t>
            </w:r>
          </w:p>
        </w:tc>
        <w:tc>
          <w:tcPr>
            <w:tcW w:w="2568" w:type="dxa"/>
            <w:tcBorders>
              <w:top w:val="single" w:sz="6" w:space="0" w:color="000000"/>
              <w:bottom w:val="single" w:sz="12" w:space="0" w:color="000000"/>
            </w:tcBorders>
          </w:tcPr>
          <w:p w:rsidR="004B6846" w:rsidRPr="0070708B"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0708B">
              <w:rPr>
                <w:rFonts w:eastAsiaTheme="minorEastAsia" w:cstheme="majorHAnsi"/>
                <w:bCs/>
                <w:color w:val="000000"/>
                <w:szCs w:val="16"/>
                <w:lang w:eastAsia="en-AU"/>
              </w:rPr>
              <w:t>1 098</w:t>
            </w:r>
          </w:p>
        </w:tc>
        <w:tc>
          <w:tcPr>
            <w:tcW w:w="2568" w:type="dxa"/>
            <w:tcBorders>
              <w:top w:val="single" w:sz="6" w:space="0" w:color="000000"/>
              <w:bottom w:val="single" w:sz="12" w:space="0" w:color="000000"/>
            </w:tcBorders>
          </w:tcPr>
          <w:p w:rsidR="004B6846" w:rsidRPr="0070708B"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70708B">
              <w:rPr>
                <w:rFonts w:eastAsiaTheme="minorEastAsia" w:cstheme="majorHAnsi"/>
                <w:bCs/>
                <w:color w:val="000000"/>
                <w:szCs w:val="16"/>
                <w:lang w:eastAsia="en-AU"/>
              </w:rPr>
              <w:t>169 689</w:t>
            </w:r>
          </w:p>
        </w:tc>
      </w:tr>
    </w:tbl>
    <w:p w:rsidR="004B6846" w:rsidRPr="00F106E2" w:rsidRDefault="004B6846" w:rsidP="00CC0EB7"/>
    <w:p w:rsidR="004B6846" w:rsidRPr="00D079CD" w:rsidRDefault="004B6846">
      <w:pPr>
        <w:keepLines w:val="0"/>
        <w:rPr>
          <w:b/>
          <w:bCs/>
          <w:lang w:val="en-US"/>
        </w:rPr>
      </w:pPr>
      <w:r>
        <w:fldChar w:fldCharType="begin"/>
      </w:r>
      <w:r>
        <w:instrText xml:space="preserve"> LINK Excel.Sheet.12 "\\\\PDCPTPRDFIL01\\DTFDATA02$\\SECURED\\Rawdata\\SeptQtr\\2018-19\\Financial Statements\\SRIMS exports\\SQSRIMS_Cash_Flow-SOCIE.xlsx" SOCIE!SOCIE \f 4 \r \* MERGEFORMAT \Id 1607 </w:instrText>
      </w:r>
      <w:r>
        <w:fldChar w:fldCharType="separate"/>
      </w:r>
    </w:p>
    <w:p w:rsidR="004B6846" w:rsidRDefault="004B6846">
      <w:pPr>
        <w:keepLines w:val="0"/>
      </w:pPr>
      <w:r>
        <w:fldChar w:fldCharType="end"/>
      </w:r>
      <w:r>
        <w:br w:type="page"/>
      </w:r>
    </w:p>
    <w:p w:rsidR="004B6846" w:rsidRDefault="004B6846" w:rsidP="00CB74DA">
      <w:pPr>
        <w:pStyle w:val="Heading1-AppendixE0"/>
      </w:pPr>
      <w:r>
        <w:lastRenderedPageBreak/>
        <w:t>ABOUT THIS REPORT</w:t>
      </w:r>
    </w:p>
    <w:p w:rsidR="004B6846" w:rsidRDefault="004B6846" w:rsidP="00CC0EB7">
      <w:pPr>
        <w:pStyle w:val="Heading20"/>
      </w:pPr>
      <w:r>
        <w:t>Basis of preparation</w:t>
      </w:r>
    </w:p>
    <w:p w:rsidR="004B6846" w:rsidRDefault="004B6846" w:rsidP="00CC0EB7">
      <w:r>
        <w:t>This September Quarterly Financial Report presents the unaudited financial report for the general government sector for the three months ended 30 September 2018.</w:t>
      </w:r>
    </w:p>
    <w:p w:rsidR="004B6846" w:rsidRDefault="004B6846" w:rsidP="00CC0EB7">
      <w:r>
        <w:t xml:space="preserve">The accounting policies applied in this quarterly financial report are consistent with those applied in the financial statements published in the </w:t>
      </w:r>
      <w:r w:rsidRPr="000D33C3">
        <w:rPr>
          <w:i/>
        </w:rPr>
        <w:t>2017</w:t>
      </w:r>
      <w:r w:rsidRPr="000D33C3">
        <w:rPr>
          <w:i/>
        </w:rPr>
        <w:noBreakHyphen/>
        <w:t>18 Financial Report</w:t>
      </w:r>
      <w:r>
        <w:t xml:space="preserve"> for the State of Victoria. Full presentation and disclosure of transition to AASB 9 </w:t>
      </w:r>
      <w:r>
        <w:rPr>
          <w:i/>
        </w:rPr>
        <w:t>Financial Instruments</w:t>
      </w:r>
      <w:r>
        <w:t xml:space="preserve"> will be reflected in the </w:t>
      </w:r>
      <w:r w:rsidRPr="000D33C3">
        <w:rPr>
          <w:i/>
        </w:rPr>
        <w:t>2018-19 Financial Report</w:t>
      </w:r>
      <w:r>
        <w:t xml:space="preserve"> for the State of Victoria. </w:t>
      </w:r>
    </w:p>
    <w:p w:rsidR="004B6846" w:rsidRDefault="004B6846" w:rsidP="00CC0EB7">
      <w:r>
        <w:t xml:space="preserve">This quarterly financial report does not include all the notes normally included with the annual financial report, and should be read in conjunction with the </w:t>
      </w:r>
      <w:r w:rsidRPr="000D33C3">
        <w:rPr>
          <w:i/>
        </w:rPr>
        <w:t>2017</w:t>
      </w:r>
      <w:r w:rsidRPr="000D33C3">
        <w:rPr>
          <w:i/>
        </w:rPr>
        <w:noBreakHyphen/>
        <w:t>18 Financial Report</w:t>
      </w:r>
      <w:r>
        <w:t>.</w:t>
      </w:r>
    </w:p>
    <w:p w:rsidR="004B6846" w:rsidRDefault="004B6846" w:rsidP="00CC0EB7">
      <w:pPr>
        <w:pStyle w:val="Heading20"/>
      </w:pPr>
      <w:r>
        <w:t>Statement of compliance</w:t>
      </w:r>
    </w:p>
    <w:p w:rsidR="004B6846" w:rsidRDefault="004B6846" w:rsidP="00CC0EB7">
      <w:r>
        <w:t xml:space="preserve">These financial statements have been prepared in accordance with section 26 of the </w:t>
      </w:r>
      <w:r w:rsidRPr="00E831CC">
        <w:rPr>
          <w:i/>
        </w:rPr>
        <w:t>Financial Management Act 1994</w:t>
      </w:r>
      <w:r>
        <w:t xml:space="preserve">, having regard to the recognition and measurement principles of the applicable Australian Accounting Standards (AAS) and Interpretations issued by the Australian Accounting Standards Board (AASB). The financial statements are presented in a manner consistent with the requirements of </w:t>
      </w:r>
      <w:r w:rsidRPr="000D33C3">
        <w:rPr>
          <w:i/>
        </w:rPr>
        <w:t>AASB 1049 Whole of Government and General Government Sector Financial Reporting</w:t>
      </w:r>
      <w:r>
        <w:t xml:space="preserve">. The financial statements have also applied the reporting requirements from the </w:t>
      </w:r>
      <w:r>
        <w:rPr>
          <w:i/>
        </w:rPr>
        <w:t xml:space="preserve">Australian System of Government Finance Statistics: Concepts, Sources and Methods (2015) </w:t>
      </w:r>
      <w:r>
        <w:t xml:space="preserve">manual released by the Australian Bureau of Statistics. </w:t>
      </w:r>
    </w:p>
    <w:p w:rsidR="004B6846" w:rsidRDefault="004B6846" w:rsidP="00CC0EB7">
      <w:r>
        <w:t>Where applicable, those paragraphs of AAS applicable to not-for-profit entities have been applied.</w:t>
      </w:r>
    </w:p>
    <w:p w:rsidR="004B6846" w:rsidRDefault="004B6846" w:rsidP="00CC0EB7">
      <w:pPr>
        <w:pStyle w:val="Heading20"/>
      </w:pPr>
      <w:r>
        <w:t>Basis of accounting and measurement</w:t>
      </w:r>
    </w:p>
    <w:p w:rsidR="004B6846" w:rsidRDefault="004B6846" w:rsidP="00CC0EB7">
      <w:r>
        <w:t>The accrual basis of accounting has been applied where assets, liabilities, equity, income and expenses are recognised in the reporting period to which they relate, regardless of when cash is received or paid.</w:t>
      </w:r>
    </w:p>
    <w:p w:rsidR="004B6846" w:rsidRDefault="004B6846" w:rsidP="00CC0EB7">
      <w:pPr>
        <w:pStyle w:val="Heading20"/>
      </w:pPr>
      <w:r>
        <w:t>Reporting entity</w:t>
      </w:r>
    </w:p>
    <w:p w:rsidR="004B6846" w:rsidRDefault="004B6846" w:rsidP="00CC0EB7">
      <w:r>
        <w:t xml:space="preserve">The general government sector includes all government departments, offices and other bodies engaged in providing services free of charge or at prices significantly below their cost of production. The primary function of entities in the general government sector is to provide public services (outputs), which are mainly </w:t>
      </w:r>
      <w:r w:rsidRPr="00E831CC">
        <w:t>non</w:t>
      </w:r>
      <w:r w:rsidRPr="00E831CC">
        <w:noBreakHyphen/>
      </w:r>
      <w:r>
        <w:t>market in nature, for the collective consumption of the community, and involve the transfer or redistribution of revenue, which is financed mainly through taxes and other compulsory levies.</w:t>
      </w:r>
    </w:p>
    <w:p w:rsidR="004B6846" w:rsidRDefault="004B6846" w:rsidP="00CC0EB7">
      <w:r>
        <w:t>The general government sector is not a separate entity but represents a sector within the State of Victoria reporting entity. Unless otherwise noted, accounting policies applied by the State of Victoria apply equally to the general government sector.</w:t>
      </w:r>
    </w:p>
    <w:p w:rsidR="004B6846" w:rsidRDefault="004B6846" w:rsidP="00CC0EB7">
      <w:pPr>
        <w:pStyle w:val="Heading20"/>
      </w:pPr>
      <w:r>
        <w:lastRenderedPageBreak/>
        <w:t>Basis of consolidation</w:t>
      </w:r>
    </w:p>
    <w:p w:rsidR="004B6846" w:rsidRDefault="004B6846" w:rsidP="00CC0EB7">
      <w:r>
        <w:t>The September Quarterly Financial Report includes all reporting entities in the general government sector that are controlled by the State. Information on entities consolidated for the general government sector is included in Note 7.4. In the process of reporting the general government sector as a single economic entity, all material transactions and balances in the sector are eliminated.</w:t>
      </w:r>
    </w:p>
    <w:p w:rsidR="004B6846" w:rsidRDefault="004B6846" w:rsidP="00CC0EB7">
      <w:pPr>
        <w:pStyle w:val="Heading10"/>
      </w:pPr>
      <w:r>
        <w:br w:type="page"/>
      </w:r>
    </w:p>
    <w:p w:rsidR="004B6846" w:rsidRDefault="004B6846" w:rsidP="00CB74DA">
      <w:pPr>
        <w:pStyle w:val="Heading1-AppendixE0"/>
      </w:pPr>
      <w:r>
        <w:lastRenderedPageBreak/>
        <w:t>HOW FUNDS ARE RAISED</w:t>
      </w:r>
    </w:p>
    <w:p w:rsidR="004B6846" w:rsidRDefault="004B6846" w:rsidP="00CC0EB7">
      <w:pPr>
        <w:pStyle w:val="Heading20"/>
      </w:pPr>
      <w:r>
        <w:t>Introduction</w:t>
      </w:r>
    </w:p>
    <w:p w:rsidR="004B6846" w:rsidRDefault="004B6846" w:rsidP="00CC0EB7">
      <w:r>
        <w:t>This section presents the sources and amounts of revenue raised by the general government sector.</w:t>
      </w:r>
    </w:p>
    <w:p w:rsidR="004B6846" w:rsidRDefault="004B6846" w:rsidP="00CC0EB7">
      <w:r>
        <w:t>Revenue from transactions is recognised to the extent that it is probable the economic benefits will flow to the general government sector and the revenue can be reliably measured at fair value.</w:t>
      </w:r>
    </w:p>
    <w:p w:rsidR="004B6846" w:rsidRPr="00E831CC" w:rsidRDefault="004B6846" w:rsidP="00CC0EB7">
      <w:pPr>
        <w:pStyle w:val="Heading2"/>
      </w:pPr>
      <w:r>
        <w:t>Taxation revenue</w:t>
      </w:r>
    </w:p>
    <w:p w:rsidR="004B6846" w:rsidRPr="00531141" w:rsidRDefault="004B6846" w:rsidP="00CC0EB7">
      <w:pPr>
        <w:pStyle w:val="TableUnits"/>
        <w:rPr>
          <w:bCs/>
          <w:lang w:val="en-US"/>
        </w:rPr>
      </w:pPr>
      <w:r>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5216"/>
        <w:gridCol w:w="850"/>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2017-18</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1700" w:type="dxa"/>
            <w:gridSpan w:val="2"/>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szCs w:val="18"/>
                <w:lang w:eastAsia="en-AU"/>
              </w:rPr>
              <w:t xml:space="preserve">2018-19 </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 xml:space="preserve">actual </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 xml:space="preserve">actual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revised</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1 521</w:t>
            </w:r>
          </w:p>
        </w:tc>
        <w:tc>
          <w:tcPr>
            <w:tcW w:w="5216"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Taxes on employers’ payroll and labour force</w:t>
            </w:r>
          </w:p>
        </w:tc>
        <w:tc>
          <w:tcPr>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1 616</w:t>
            </w:r>
          </w:p>
        </w:tc>
        <w:tc>
          <w:tcPr>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6 327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Taxes on immovable property</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65</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Land tax</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3 433</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658</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 xml:space="preserve">Fire Services Property Levy </w:t>
            </w:r>
            <w:r w:rsidRPr="00531141">
              <w:rPr>
                <w:rFonts w:eastAsiaTheme="minorEastAsia" w:cstheme="majorHAnsi"/>
                <w:color w:val="000000"/>
                <w:szCs w:val="18"/>
                <w:vertAlign w:val="superscript"/>
                <w:lang w:eastAsia="en-AU"/>
              </w:rPr>
              <w:t>(a)</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644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644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(3)</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Congestion levy</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104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125</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Metropolitan improvement levy</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122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169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Pr>
                <w:rFonts w:eastAsiaTheme="minorEastAsia" w:cstheme="majorHAnsi"/>
                <w:b/>
                <w:bCs/>
                <w:color w:val="000000"/>
                <w:szCs w:val="18"/>
                <w:lang w:eastAsia="en-AU"/>
              </w:rPr>
              <w:t>845</w:t>
            </w:r>
          </w:p>
        </w:tc>
        <w:tc>
          <w:tcPr>
            <w:tcW w:w="5216"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Total taxes on property</w:t>
            </w:r>
          </w:p>
        </w:tc>
        <w:tc>
          <w:tcPr>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845</w:t>
            </w:r>
          </w:p>
        </w:tc>
        <w:tc>
          <w:tcPr>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4 350</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Gambling taxes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108</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Public lotteries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142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424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281</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Electronic gaming machines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296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1 147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51</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Casino</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239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18</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Racing and other sports betting</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106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7</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Other</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13</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Financial and capital transactions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1 717</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Land transfer duty</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1 682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6 463</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6</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Metropolitan planning levy</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39</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Financial accommodation levy</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170</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65</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Growth areas infrastructure contribution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287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b/>
                <w:bCs/>
                <w:color w:val="000000"/>
                <w:szCs w:val="18"/>
                <w:lang w:eastAsia="en-AU"/>
              </w:rPr>
              <w:t>23</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b/>
                <w:bCs/>
                <w:color w:val="000000"/>
                <w:szCs w:val="18"/>
                <w:lang w:eastAsia="en-AU"/>
              </w:rPr>
              <w:t>Levies on statutory corporations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b/>
                <w:bCs/>
                <w:color w:val="000000"/>
                <w:szCs w:val="18"/>
                <w:lang w:eastAsia="en-AU"/>
              </w:rPr>
              <w:t>35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b/>
                <w:bCs/>
                <w:color w:val="000000"/>
                <w:szCs w:val="18"/>
                <w:lang w:eastAsia="en-AU"/>
              </w:rPr>
              <w:t>157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Pr>
                <w:rFonts w:eastAsiaTheme="minorEastAsia" w:cstheme="majorHAnsi"/>
                <w:b/>
                <w:bCs/>
                <w:color w:val="000000"/>
                <w:szCs w:val="18"/>
                <w:lang w:eastAsia="en-AU"/>
              </w:rPr>
              <w:t>369</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Taxes on insurance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387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1 400</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2 683</w:t>
            </w:r>
          </w:p>
        </w:tc>
        <w:tc>
          <w:tcPr>
            <w:tcW w:w="5216"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Total taxes on the provision of goods and services</w:t>
            </w:r>
          </w:p>
        </w:tc>
        <w:tc>
          <w:tcPr>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2 737</w:t>
            </w:r>
          </w:p>
        </w:tc>
        <w:tc>
          <w:tcPr>
            <w:tcW w:w="850" w:type="dxa"/>
            <w:tcBorders>
              <w:top w:val="single" w:sz="6" w:space="0" w:color="000000"/>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10 429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lang w:eastAsia="en-AU"/>
              </w:rPr>
              <w:t xml:space="preserve"> </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Motor vehicle taxes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Pr>
                <w:rFonts w:eastAsiaTheme="minorEastAsia" w:cstheme="majorHAnsi"/>
                <w:color w:val="000000"/>
                <w:szCs w:val="18"/>
                <w:lang w:eastAsia="en-AU"/>
              </w:rPr>
              <w:t>395</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color w:val="000000"/>
                <w:szCs w:val="18"/>
                <w:lang w:eastAsia="en-AU"/>
              </w:rPr>
              <w:t>Vehicle registration fees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Pr>
                <w:rFonts w:eastAsiaTheme="minorEastAsia" w:cstheme="majorHAnsi"/>
                <w:color w:val="000000"/>
                <w:szCs w:val="18"/>
                <w:lang w:eastAsia="en-AU"/>
              </w:rPr>
              <w:t>410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color w:val="000000"/>
                <w:szCs w:val="18"/>
                <w:lang w:eastAsia="en-AU"/>
              </w:rPr>
              <w:t>1 701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222</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Duty on vehicle registrations and transfers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230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977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b/>
                <w:bCs/>
                <w:color w:val="000000"/>
                <w:szCs w:val="18"/>
                <w:lang w:eastAsia="en-AU"/>
              </w:rPr>
              <w:t>..</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b/>
                <w:bCs/>
                <w:color w:val="000000"/>
                <w:szCs w:val="18"/>
                <w:lang w:eastAsia="en-AU"/>
              </w:rPr>
              <w:t>Liquor licence fees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b/>
                <w:bCs/>
                <w:color w:val="000000"/>
                <w:szCs w:val="18"/>
                <w:lang w:eastAsia="en-AU"/>
              </w:rPr>
              <w: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b/>
                <w:bCs/>
                <w:color w:val="000000"/>
                <w:szCs w:val="18"/>
                <w:lang w:eastAsia="en-AU"/>
              </w:rPr>
              <w:t>24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Pr>
                <w:rFonts w:eastAsiaTheme="minorEastAsia" w:cstheme="majorHAnsi"/>
                <w:b/>
                <w:bCs/>
                <w:color w:val="000000"/>
                <w:szCs w:val="18"/>
                <w:lang w:eastAsia="en-AU"/>
              </w:rPr>
              <w:t>56</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Other</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59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283</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Pr>
                <w:rFonts w:eastAsiaTheme="minorEastAsia" w:cstheme="majorHAnsi"/>
                <w:b/>
                <w:bCs/>
                <w:color w:val="000000"/>
                <w:szCs w:val="18"/>
                <w:lang w:eastAsia="en-AU"/>
              </w:rPr>
              <w:t>674</w:t>
            </w:r>
          </w:p>
        </w:tc>
        <w:tc>
          <w:tcPr>
            <w:tcW w:w="5216"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Total taxes on the use of goods and performance of activities</w:t>
            </w:r>
          </w:p>
        </w:tc>
        <w:tc>
          <w:tcPr>
            <w:tcW w:w="850"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699</w:t>
            </w:r>
          </w:p>
        </w:tc>
        <w:tc>
          <w:tcPr>
            <w:tcW w:w="850"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2 986</w:t>
            </w:r>
          </w:p>
        </w:tc>
      </w:tr>
      <w:tr w:rsidR="004B6846" w:rsidRPr="0053114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jc w:val="right"/>
              <w:rPr>
                <w:rFonts w:eastAsiaTheme="minorEastAsia" w:cstheme="majorHAnsi"/>
                <w:b w:val="0"/>
                <w:bCs/>
                <w:color w:val="000000"/>
                <w:szCs w:val="18"/>
                <w:lang w:eastAsia="en-AU"/>
              </w:rPr>
            </w:pPr>
            <w:r w:rsidRPr="00531141">
              <w:rPr>
                <w:rFonts w:eastAsiaTheme="minorEastAsia" w:cstheme="majorHAnsi"/>
                <w:bCs/>
                <w:color w:val="000000"/>
                <w:szCs w:val="18"/>
                <w:lang w:eastAsia="en-AU"/>
              </w:rPr>
              <w:t>5 722</w:t>
            </w:r>
          </w:p>
        </w:tc>
        <w:tc>
          <w:tcPr>
            <w:tcW w:w="5216"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18"/>
                <w:lang w:eastAsia="en-AU"/>
              </w:rPr>
            </w:pPr>
            <w:r w:rsidRPr="00531141">
              <w:rPr>
                <w:rFonts w:eastAsiaTheme="minorEastAsia" w:cstheme="majorHAnsi"/>
                <w:bCs/>
                <w:color w:val="000000"/>
                <w:szCs w:val="18"/>
                <w:lang w:eastAsia="en-AU"/>
              </w:rPr>
              <w:t>Total taxation revenue</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18"/>
                <w:lang w:eastAsia="en-AU"/>
              </w:rPr>
            </w:pPr>
            <w:r w:rsidRPr="00531141">
              <w:rPr>
                <w:rFonts w:eastAsiaTheme="minorEastAsia" w:cstheme="majorHAnsi"/>
                <w:bCs/>
                <w:color w:val="000000"/>
                <w:szCs w:val="18"/>
                <w:lang w:eastAsia="en-AU"/>
              </w:rPr>
              <w:t>5 896</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18"/>
                <w:lang w:eastAsia="en-AU"/>
              </w:rPr>
            </w:pPr>
            <w:r w:rsidRPr="00531141">
              <w:rPr>
                <w:rFonts w:eastAsiaTheme="minorEastAsia" w:cstheme="majorHAnsi"/>
                <w:bCs/>
                <w:color w:val="000000"/>
                <w:szCs w:val="18"/>
                <w:lang w:eastAsia="en-AU"/>
              </w:rPr>
              <w:t>24 092</w:t>
            </w:r>
          </w:p>
        </w:tc>
      </w:tr>
    </w:tbl>
    <w:p w:rsidR="004B6846" w:rsidRDefault="004B6846" w:rsidP="00CC0EB7">
      <w:pPr>
        <w:pStyle w:val="Source"/>
      </w:pPr>
      <w:r w:rsidRPr="00D87D22">
        <w:t>Source: Department of Treasury and Finance</w:t>
      </w:r>
    </w:p>
    <w:p w:rsidR="004B6846" w:rsidRDefault="004B6846" w:rsidP="00CC0EB7">
      <w:pPr>
        <w:pStyle w:val="Note"/>
      </w:pPr>
      <w:r>
        <w:t>Note:</w:t>
      </w:r>
    </w:p>
    <w:p w:rsidR="004B6846" w:rsidRDefault="004B6846" w:rsidP="00CC0EB7">
      <w:pPr>
        <w:pStyle w:val="Note"/>
      </w:pPr>
      <w:r>
        <w:t>(a)</w:t>
      </w:r>
      <w:r>
        <w:tab/>
        <w:t xml:space="preserve">The Government set the 2017-18 and 2018-19 Fire Services Property Levy rates to collect the amount that was budgeted in 2016-17 ($662 million). In the </w:t>
      </w:r>
      <w:r w:rsidRPr="004F620A">
        <w:rPr>
          <w:i w:val="0"/>
        </w:rPr>
        <w:t>2018-19 Budget</w:t>
      </w:r>
      <w:r>
        <w:t>, the Government decided to return the 2017-18 over-collection through reduced rates for the 2018-19 levy year.</w:t>
      </w:r>
    </w:p>
    <w:p w:rsidR="004B6846" w:rsidRDefault="004B6846" w:rsidP="00CC0EB7">
      <w:pPr>
        <w:pStyle w:val="Heading2"/>
      </w:pPr>
      <w:r>
        <w:lastRenderedPageBreak/>
        <w:t>Dividends, income tax equivalent and rate equivalent revenue</w:t>
      </w:r>
    </w:p>
    <w:p w:rsidR="004B6846" w:rsidRPr="00531141" w:rsidRDefault="004B6846" w:rsidP="00CC0EB7">
      <w:pPr>
        <w:pStyle w:val="TableUnits"/>
        <w:rPr>
          <w:bCs/>
          <w:lang w:val="en-US"/>
        </w:rPr>
      </w:pPr>
      <w:r>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5216"/>
        <w:gridCol w:w="850"/>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2017-18</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1700" w:type="dxa"/>
            <w:gridSpan w:val="2"/>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szCs w:val="18"/>
                <w:lang w:eastAsia="en-AU"/>
              </w:rPr>
              <w:t xml:space="preserve">2018-19 </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revised</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 xml:space="preserve">Dividends from PFC sector </w:t>
            </w:r>
            <w:r w:rsidRPr="00531141">
              <w:rPr>
                <w:rFonts w:eastAsiaTheme="minorEastAsia" w:cstheme="majorHAnsi"/>
                <w:color w:val="000000"/>
                <w:szCs w:val="18"/>
                <w:vertAlign w:val="superscript"/>
                <w:lang w:eastAsia="en-AU"/>
              </w:rPr>
              <w:t>(a)</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511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Dividends from PNFC sector</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9</w:t>
            </w:r>
          </w:p>
        </w:tc>
        <w:tc>
          <w:tcPr>
            <w:tcW w:w="5216"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Dividends from non-public sector</w:t>
            </w:r>
          </w:p>
        </w:tc>
        <w:tc>
          <w:tcPr>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21</w:t>
            </w:r>
          </w:p>
        </w:tc>
        <w:tc>
          <w:tcPr>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Pr>
                <w:rFonts w:eastAsiaTheme="minorEastAsia" w:cstheme="majorHAnsi"/>
                <w:b/>
                <w:bCs/>
                <w:color w:val="000000"/>
                <w:szCs w:val="18"/>
                <w:lang w:eastAsia="en-AU"/>
              </w:rPr>
              <w:t>9</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Dividends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21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794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Income tax equivalent revenue from PFC sector</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104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47</w:t>
            </w:r>
          </w:p>
        </w:tc>
        <w:tc>
          <w:tcPr>
            <w:tcW w:w="5216"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Income tax equivalent revenue from PNFC sector</w:t>
            </w:r>
          </w:p>
        </w:tc>
        <w:tc>
          <w:tcPr>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58</w:t>
            </w:r>
          </w:p>
        </w:tc>
        <w:tc>
          <w:tcPr>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197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Pr>
                <w:rFonts w:eastAsiaTheme="minorEastAsia" w:cstheme="majorHAnsi"/>
                <w:b/>
                <w:bCs/>
                <w:color w:val="000000"/>
                <w:szCs w:val="18"/>
                <w:lang w:eastAsia="en-AU"/>
              </w:rPr>
              <w:t>48</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Income tax equivalent revenue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60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302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Local government rate equivalent revenue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w:t>
            </w:r>
          </w:p>
        </w:tc>
      </w:tr>
      <w:tr w:rsidR="004B6846" w:rsidRPr="0053114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jc w:val="right"/>
              <w:rPr>
                <w:rFonts w:eastAsiaTheme="minorEastAsia" w:cstheme="majorHAnsi"/>
                <w:bCs/>
                <w:color w:val="000000"/>
                <w:szCs w:val="18"/>
                <w:lang w:eastAsia="en-AU"/>
              </w:rPr>
            </w:pPr>
            <w:r>
              <w:rPr>
                <w:rFonts w:eastAsiaTheme="minorEastAsia" w:cstheme="majorHAnsi"/>
                <w:bCs/>
                <w:color w:val="000000"/>
                <w:szCs w:val="18"/>
                <w:lang w:eastAsia="en-AU"/>
              </w:rPr>
              <w:t>57</w:t>
            </w:r>
          </w:p>
        </w:tc>
        <w:tc>
          <w:tcPr>
            <w:tcW w:w="5216"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Total dividends, income tax equivalent and rate equivalent revenue</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82</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1 103</w:t>
            </w:r>
          </w:p>
        </w:tc>
      </w:tr>
    </w:tbl>
    <w:p w:rsidR="004B6846" w:rsidRDefault="004B6846" w:rsidP="00CC0EB7">
      <w:pPr>
        <w:pStyle w:val="Source"/>
      </w:pPr>
      <w:r w:rsidRPr="00D87D22">
        <w:t>Source: Department of Treasury and Finance</w:t>
      </w:r>
    </w:p>
    <w:p w:rsidR="004B6846" w:rsidRDefault="004B6846" w:rsidP="00CC0EB7">
      <w:pPr>
        <w:pStyle w:val="Note"/>
      </w:pPr>
      <w:r>
        <w:t>Note:</w:t>
      </w:r>
    </w:p>
    <w:p w:rsidR="004B6846" w:rsidRPr="00067057" w:rsidRDefault="004B6846" w:rsidP="00CC0EB7">
      <w:pPr>
        <w:pStyle w:val="Note"/>
        <w:rPr>
          <w:rFonts w:ascii="Calibri" w:hAnsi="Calibri" w:cs="Calibri"/>
          <w:szCs w:val="14"/>
        </w:rPr>
      </w:pPr>
      <w:r>
        <w:t>(a)</w:t>
      </w:r>
      <w:r>
        <w:tab/>
        <w:t>‘</w:t>
      </w:r>
      <w:r w:rsidRPr="00E37F23">
        <w:t xml:space="preserve">Amounts equivalent to dividends' to be paid by the Transport Accident Commission are received and reported as contributions forming part of grant revenue, consistent with the requirements of AASB 1023 </w:t>
      </w:r>
      <w:r w:rsidRPr="008D3D73">
        <w:rPr>
          <w:i w:val="0"/>
        </w:rPr>
        <w:t>General Insurance Contracts</w:t>
      </w:r>
      <w:r w:rsidRPr="00E37F23">
        <w:t xml:space="preserve"> (AASB 1023). </w:t>
      </w:r>
    </w:p>
    <w:p w:rsidR="004B6846" w:rsidRDefault="004B6846" w:rsidP="00CC0EB7"/>
    <w:p w:rsidR="004B6846" w:rsidRDefault="004B6846" w:rsidP="00CC0EB7">
      <w:pPr>
        <w:pStyle w:val="Heading2"/>
      </w:pPr>
      <w:r>
        <w:t>Sales of goods and services</w:t>
      </w:r>
    </w:p>
    <w:p w:rsidR="004B6846" w:rsidRPr="00531141" w:rsidRDefault="004B6846" w:rsidP="00CC0EB7">
      <w:pPr>
        <w:pStyle w:val="TableUnits"/>
        <w:rPr>
          <w:bCs/>
          <w:lang w:val="en-US"/>
        </w:rPr>
      </w:pPr>
      <w:r>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5216"/>
        <w:gridCol w:w="850"/>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2017-18</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1700" w:type="dxa"/>
            <w:gridSpan w:val="2"/>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szCs w:val="18"/>
                <w:lang w:eastAsia="en-AU"/>
              </w:rPr>
              <w:t xml:space="preserve">2018-19 </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revised</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55</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Motor vehicle regulatory fees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225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131</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Other regulatory fees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122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539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23</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Sale of goods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1 045</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Provision of services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1 129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4 387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17</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Rental</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83</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2</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Refunds and reimbursements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494</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Inter-sector capital asset charge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557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2 257</w:t>
            </w:r>
          </w:p>
        </w:tc>
      </w:tr>
      <w:tr w:rsidR="004B6846" w:rsidRPr="0053114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jc w:val="right"/>
              <w:rPr>
                <w:rFonts w:eastAsiaTheme="minorEastAsia" w:cstheme="majorHAnsi"/>
                <w:bCs/>
                <w:color w:val="000000"/>
                <w:szCs w:val="18"/>
                <w:lang w:eastAsia="en-AU"/>
              </w:rPr>
            </w:pPr>
            <w:r w:rsidRPr="00531141">
              <w:rPr>
                <w:rFonts w:eastAsiaTheme="minorEastAsia" w:cstheme="majorHAnsi"/>
                <w:bCs/>
                <w:color w:val="000000"/>
                <w:szCs w:val="18"/>
                <w:lang w:eastAsia="en-AU"/>
              </w:rPr>
              <w:t>1 766</w:t>
            </w:r>
          </w:p>
        </w:tc>
        <w:tc>
          <w:tcPr>
            <w:tcW w:w="5216"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Total sales of goods and services</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1 905</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7 594</w:t>
            </w:r>
          </w:p>
        </w:tc>
      </w:tr>
    </w:tbl>
    <w:p w:rsidR="004B6846" w:rsidRDefault="004B6846" w:rsidP="00CC0EB7">
      <w:pPr>
        <w:pStyle w:val="Source"/>
      </w:pPr>
      <w:r w:rsidRPr="00D87D22">
        <w:t>Source: Department of Treasury and Finance</w:t>
      </w:r>
    </w:p>
    <w:p w:rsidR="004B6846" w:rsidRDefault="004B6846" w:rsidP="00CC0EB7"/>
    <w:p w:rsidR="004B6846" w:rsidRDefault="004B6846">
      <w:pPr>
        <w:keepLines w:val="0"/>
        <w:rPr>
          <w:rFonts w:asciiTheme="majorHAnsi" w:eastAsiaTheme="majorEastAsia" w:hAnsiTheme="majorHAnsi" w:cstheme="majorBidi"/>
          <w:b/>
          <w:spacing w:val="-2"/>
          <w:sz w:val="26"/>
          <w:szCs w:val="26"/>
        </w:rPr>
      </w:pPr>
      <w:r>
        <w:br w:type="page"/>
      </w:r>
    </w:p>
    <w:p w:rsidR="004B6846" w:rsidRDefault="004B6846" w:rsidP="00CC0EB7">
      <w:pPr>
        <w:pStyle w:val="Heading2"/>
      </w:pPr>
      <w:r>
        <w:lastRenderedPageBreak/>
        <w:t>Grant revenue</w:t>
      </w:r>
    </w:p>
    <w:p w:rsidR="004B6846" w:rsidRPr="00531141" w:rsidRDefault="004B6846" w:rsidP="00CC0EB7">
      <w:pPr>
        <w:pStyle w:val="TableUnits"/>
        <w:rPr>
          <w:bCs/>
          <w:lang w:val="en-US"/>
        </w:rPr>
      </w:pPr>
      <w:r>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5216"/>
        <w:gridCol w:w="850"/>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2017-18</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1700" w:type="dxa"/>
            <w:gridSpan w:val="2"/>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szCs w:val="18"/>
                <w:lang w:eastAsia="en-AU"/>
              </w:rPr>
              <w:t>2018-19</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revised</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3 691</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General purpose grants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4 324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16 853</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851</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Specific purpose grants for on-passing</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896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3 703</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2 309</w:t>
            </w:r>
          </w:p>
        </w:tc>
        <w:tc>
          <w:tcPr>
            <w:tcW w:w="5216"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Other specific purpose grants</w:t>
            </w:r>
          </w:p>
        </w:tc>
        <w:tc>
          <w:tcPr>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2 367</w:t>
            </w:r>
          </w:p>
        </w:tc>
        <w:tc>
          <w:tcPr>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11 952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6 851</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Total</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7 587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32 508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48</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Other contributions and grants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336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1 006</w:t>
            </w:r>
          </w:p>
        </w:tc>
      </w:tr>
      <w:tr w:rsidR="004B6846" w:rsidRPr="0053114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jc w:val="right"/>
              <w:rPr>
                <w:rFonts w:eastAsiaTheme="minorEastAsia" w:cstheme="majorHAnsi"/>
                <w:bCs/>
                <w:color w:val="000000"/>
                <w:szCs w:val="18"/>
                <w:lang w:eastAsia="en-AU"/>
              </w:rPr>
            </w:pPr>
            <w:r w:rsidRPr="00531141">
              <w:rPr>
                <w:rFonts w:eastAsiaTheme="minorEastAsia" w:cstheme="majorHAnsi"/>
                <w:bCs/>
                <w:color w:val="000000"/>
                <w:szCs w:val="18"/>
                <w:lang w:eastAsia="en-AU"/>
              </w:rPr>
              <w:t>6 899</w:t>
            </w:r>
          </w:p>
        </w:tc>
        <w:tc>
          <w:tcPr>
            <w:tcW w:w="5216"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Total grant revenue</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7 923</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33 515</w:t>
            </w:r>
          </w:p>
        </w:tc>
      </w:tr>
    </w:tbl>
    <w:p w:rsidR="004B6846" w:rsidRDefault="004B6846" w:rsidP="00CC0EB7">
      <w:pPr>
        <w:pStyle w:val="Source"/>
      </w:pPr>
      <w:r w:rsidRPr="0069781E">
        <w:t>Source: Department of Treasury and Finance</w:t>
      </w:r>
    </w:p>
    <w:p w:rsidR="00684CDB" w:rsidRPr="00684CDB" w:rsidRDefault="00684CDB" w:rsidP="00684CDB"/>
    <w:p w:rsidR="004B6846" w:rsidRDefault="004B6846" w:rsidP="00CC0EB7">
      <w:pPr>
        <w:pStyle w:val="Heading2"/>
      </w:pPr>
      <w:r>
        <w:t>Other revenue</w:t>
      </w:r>
    </w:p>
    <w:p w:rsidR="004B6846" w:rsidRPr="00531141" w:rsidRDefault="004B6846" w:rsidP="00CC0EB7">
      <w:pPr>
        <w:pStyle w:val="TableUnits"/>
        <w:rPr>
          <w:bCs/>
          <w:lang w:val="en-US"/>
        </w:rPr>
      </w:pPr>
      <w:r>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5216"/>
        <w:gridCol w:w="850"/>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2017-18</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1700" w:type="dxa"/>
            <w:gridSpan w:val="2"/>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szCs w:val="18"/>
                <w:lang w:eastAsia="en-AU"/>
              </w:rPr>
              <w:t xml:space="preserve">2018-19 </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revised</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Fair value of assets received free of charge or for nominal consideration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169</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Fines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788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24</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Royalties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65</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Donations and gifts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317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7</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Other non-property rental</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152</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Other revenue – Education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111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643</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10</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Other revenue – Health</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116</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Other miscellaneous revenue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137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644</w:t>
            </w:r>
          </w:p>
        </w:tc>
      </w:tr>
      <w:tr w:rsidR="004B6846" w:rsidRPr="0053114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jc w:val="right"/>
              <w:rPr>
                <w:rFonts w:eastAsiaTheme="minorEastAsia" w:cstheme="majorHAnsi"/>
                <w:bCs/>
                <w:color w:val="000000"/>
                <w:szCs w:val="18"/>
                <w:lang w:eastAsia="en-AU"/>
              </w:rPr>
            </w:pPr>
            <w:r>
              <w:rPr>
                <w:rFonts w:eastAsiaTheme="minorEastAsia" w:cstheme="majorHAnsi"/>
                <w:bCs/>
                <w:color w:val="000000"/>
                <w:szCs w:val="18"/>
                <w:lang w:eastAsia="en-AU"/>
              </w:rPr>
              <w:t>544</w:t>
            </w:r>
          </w:p>
        </w:tc>
        <w:tc>
          <w:tcPr>
            <w:tcW w:w="5216"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Total other revenue</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573</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2 636</w:t>
            </w:r>
          </w:p>
        </w:tc>
      </w:tr>
    </w:tbl>
    <w:p w:rsidR="004B6846" w:rsidRDefault="004B6846" w:rsidP="00CC0EB7">
      <w:pPr>
        <w:pStyle w:val="Source"/>
      </w:pPr>
      <w:r w:rsidRPr="00D87D22">
        <w:t>Source: Department of Treasury and Finance</w:t>
      </w:r>
    </w:p>
    <w:p w:rsidR="004B6846" w:rsidRDefault="004B6846" w:rsidP="00CC0EB7"/>
    <w:p w:rsidR="004B6846" w:rsidRDefault="004B6846" w:rsidP="00CC0EB7"/>
    <w:p w:rsidR="004B6846" w:rsidRDefault="004B6846">
      <w:pPr>
        <w:keepLines w:val="0"/>
        <w:rPr>
          <w:rFonts w:asciiTheme="majorHAnsi" w:eastAsiaTheme="majorEastAsia" w:hAnsiTheme="majorHAnsi" w:cstheme="majorBidi"/>
          <w:b/>
          <w:bCs/>
          <w:caps/>
          <w:spacing w:val="-2"/>
          <w:sz w:val="26"/>
          <w:szCs w:val="28"/>
        </w:rPr>
      </w:pPr>
      <w:r>
        <w:br w:type="page"/>
      </w:r>
    </w:p>
    <w:p w:rsidR="004B6846" w:rsidRDefault="004B6846" w:rsidP="00CB74DA">
      <w:pPr>
        <w:pStyle w:val="Heading1-AppendixE0"/>
      </w:pPr>
      <w:r>
        <w:lastRenderedPageBreak/>
        <w:t>HOW FUNDS ARE SPENT</w:t>
      </w:r>
    </w:p>
    <w:p w:rsidR="004B6846" w:rsidRDefault="004B6846" w:rsidP="00CC0EB7">
      <w:pPr>
        <w:pStyle w:val="Heading30"/>
      </w:pPr>
      <w:r>
        <w:t>Introduction</w:t>
      </w:r>
    </w:p>
    <w:p w:rsidR="004B6846" w:rsidRDefault="004B6846" w:rsidP="00CC0EB7">
      <w:r>
        <w:t>This section details the major components of expenditure incurred by the general government sector towards the operating activities (expenses from transactions) and on capital or infrastructure projects during the period, as well as any related obligations outstanding as at 30 September 2018.</w:t>
      </w:r>
    </w:p>
    <w:p w:rsidR="004B6846" w:rsidRDefault="004B6846" w:rsidP="00CC0EB7">
      <w:pPr>
        <w:pStyle w:val="Heading2"/>
      </w:pPr>
      <w:r>
        <w:t>Employee expenses and provision for outstanding employee benefits</w:t>
      </w:r>
    </w:p>
    <w:p w:rsidR="004B6846" w:rsidRDefault="004B6846" w:rsidP="00CC0EB7">
      <w:pPr>
        <w:pStyle w:val="Heading30"/>
      </w:pPr>
      <w:r>
        <w:t>Employee expenses (operating statement)</w:t>
      </w:r>
    </w:p>
    <w:p w:rsidR="004B6846" w:rsidRDefault="004B6846" w:rsidP="00CC0EB7">
      <w:r>
        <w:t xml:space="preserve">Employee expenses in the operating statement are a major component of operating costs and include all costs related to employment, including wages and salaries, fringe benefits tax, leave entitlements and redundancy payments. The majority of employee expenses in the operating statement are wages and salaries. </w:t>
      </w:r>
    </w:p>
    <w:p w:rsidR="004B6846" w:rsidRDefault="004B6846" w:rsidP="00CC0EB7">
      <w:pPr>
        <w:pStyle w:val="Heading30"/>
      </w:pPr>
      <w:r>
        <w:t>Employee expenses (balance sheet)</w:t>
      </w:r>
    </w:p>
    <w:p w:rsidR="004B6846" w:rsidRDefault="004B6846" w:rsidP="00CC0EB7">
      <w:r>
        <w:t>As part of operations, the State provides for benefits accruing to employees but payable in future periods in respect of wages and salaries, annual leave and long service leave, and related on-costs for services rendered to the reporting date. In measuring employee benefits, consideration is given to expected future wage and salary levels, experience of employee departures and periods of service. Expected future payments are discounted to reflect the estimated timing and amount of benefit payment. The table below shows the key components of this provision as at 30 September 2018.</w:t>
      </w:r>
    </w:p>
    <w:p w:rsidR="004B6846" w:rsidRDefault="004B6846" w:rsidP="00CC0EB7">
      <w:pPr>
        <w:pStyle w:val="Heading2"/>
      </w:pPr>
      <w:r>
        <w:t>Employee benefits (balance sheet)</w:t>
      </w:r>
    </w:p>
    <w:p w:rsidR="004B6846" w:rsidRPr="00531141" w:rsidRDefault="004B6846" w:rsidP="00CC0EB7">
      <w:pPr>
        <w:pStyle w:val="TableUnits"/>
        <w:rPr>
          <w:bCs/>
          <w:lang w:val="en-US"/>
        </w:rPr>
      </w:pPr>
      <w:r>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850"/>
        <w:gridCol w:w="4365"/>
        <w:gridCol w:w="850"/>
        <w:gridCol w:w="850"/>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2017-18</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2018-19</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opening</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revised</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1 Jul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Current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313</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Accrued salaries and wages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592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409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606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64</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Other employee benefits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1 507</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Annual leave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1 615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1 632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1 647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3 651</w:t>
            </w:r>
          </w:p>
        </w:tc>
        <w:tc>
          <w:tcPr>
            <w:tcW w:w="4365"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Long service leave</w:t>
            </w:r>
          </w:p>
        </w:tc>
        <w:tc>
          <w:tcPr>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3 888</w:t>
            </w:r>
          </w:p>
        </w:tc>
        <w:tc>
          <w:tcPr>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3 919</w:t>
            </w:r>
          </w:p>
        </w:tc>
        <w:tc>
          <w:tcPr>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4 026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5 536</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Total current employee benefits and on-costs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6 182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6 044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6 366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Non-current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793</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Long service leave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837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849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953</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Pr>
                <w:rFonts w:eastAsiaTheme="minorEastAsia" w:cstheme="majorHAnsi"/>
                <w:b/>
                <w:bCs/>
                <w:color w:val="000000"/>
                <w:szCs w:val="18"/>
                <w:lang w:eastAsia="en-AU"/>
              </w:rPr>
              <w:t>793</w:t>
            </w:r>
          </w:p>
        </w:tc>
        <w:tc>
          <w:tcPr>
            <w:tcW w:w="4365"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Total non-current employee benefits and on-costs</w:t>
            </w:r>
          </w:p>
        </w:tc>
        <w:tc>
          <w:tcPr>
            <w:tcW w:w="850"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837</w:t>
            </w:r>
          </w:p>
        </w:tc>
        <w:tc>
          <w:tcPr>
            <w:tcW w:w="850"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849</w:t>
            </w:r>
          </w:p>
        </w:tc>
        <w:tc>
          <w:tcPr>
            <w:tcW w:w="850"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953</w:t>
            </w:r>
          </w:p>
        </w:tc>
      </w:tr>
      <w:tr w:rsidR="004B6846" w:rsidRPr="0053114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jc w:val="right"/>
              <w:rPr>
                <w:rFonts w:eastAsiaTheme="minorEastAsia" w:cstheme="majorHAnsi"/>
                <w:bCs/>
                <w:color w:val="000000"/>
                <w:szCs w:val="18"/>
                <w:lang w:eastAsia="en-AU"/>
              </w:rPr>
            </w:pPr>
            <w:r w:rsidRPr="00531141">
              <w:rPr>
                <w:rFonts w:eastAsiaTheme="minorEastAsia" w:cstheme="majorHAnsi"/>
                <w:bCs/>
                <w:color w:val="000000"/>
                <w:szCs w:val="18"/>
                <w:lang w:eastAsia="en-AU"/>
              </w:rPr>
              <w:t>6 329</w:t>
            </w:r>
          </w:p>
        </w:tc>
        <w:tc>
          <w:tcPr>
            <w:tcW w:w="4365"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Total employee benefits and on-costs</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7 020</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6 893</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7 319</w:t>
            </w:r>
          </w:p>
        </w:tc>
      </w:tr>
    </w:tbl>
    <w:p w:rsidR="004B6846" w:rsidRDefault="004B6846" w:rsidP="00CC0EB7">
      <w:pPr>
        <w:pStyle w:val="Source"/>
      </w:pPr>
      <w:r w:rsidRPr="00D87D22">
        <w:t>Source: Department of Treasury and Finance</w:t>
      </w:r>
    </w:p>
    <w:p w:rsidR="004B6846" w:rsidRDefault="004B6846" w:rsidP="00CC0EB7"/>
    <w:p w:rsidR="004B6846" w:rsidRDefault="004B6846" w:rsidP="00CC0EB7">
      <w:pPr>
        <w:pStyle w:val="Heading2"/>
      </w:pPr>
      <w:r>
        <w:lastRenderedPageBreak/>
        <w:t>Superannuation (operating statement)</w:t>
      </w:r>
    </w:p>
    <w:p w:rsidR="004B6846" w:rsidRPr="00531141" w:rsidRDefault="004B6846" w:rsidP="00CC0EB7">
      <w:pPr>
        <w:pStyle w:val="TableUnits"/>
        <w:rPr>
          <w:bCs/>
          <w:lang w:val="en-US"/>
        </w:rPr>
      </w:pPr>
      <w:r>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5216"/>
        <w:gridCol w:w="126"/>
        <w:gridCol w:w="724"/>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2017-18</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1700" w:type="dxa"/>
            <w:gridSpan w:val="3"/>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szCs w:val="18"/>
                <w:lang w:eastAsia="en-AU"/>
              </w:rPr>
              <w:t xml:space="preserve">2018-19 </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gridSpan w:val="2"/>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revised</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gridSpan w:val="2"/>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 xml:space="preserve">Defined benefit plans </w:t>
            </w:r>
          </w:p>
        </w:tc>
        <w:tc>
          <w:tcPr>
            <w:tcW w:w="850" w:type="dxa"/>
            <w:gridSpan w:val="2"/>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192</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Net superannuation interest expense</w:t>
            </w:r>
          </w:p>
        </w:tc>
        <w:tc>
          <w:tcPr>
            <w:tcW w:w="850" w:type="dxa"/>
            <w:gridSpan w:val="2"/>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167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688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197</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 xml:space="preserve">Current service cost </w:t>
            </w:r>
          </w:p>
        </w:tc>
        <w:tc>
          <w:tcPr>
            <w:tcW w:w="850" w:type="dxa"/>
            <w:gridSpan w:val="2"/>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231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1 000</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Remeasurements:</w:t>
            </w:r>
          </w:p>
        </w:tc>
        <w:tc>
          <w:tcPr>
            <w:tcW w:w="850" w:type="dxa"/>
            <w:gridSpan w:val="2"/>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(231)</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 xml:space="preserve">   Expected return on superannuation assets excluding interest income</w:t>
            </w:r>
          </w:p>
        </w:tc>
        <w:tc>
          <w:tcPr>
            <w:tcW w:w="850" w:type="dxa"/>
            <w:gridSpan w:val="2"/>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(256)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(1 039)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90</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 xml:space="preserve">   Other actuarial (gain)/loss on superannuation assets</w:t>
            </w:r>
          </w:p>
        </w:tc>
        <w:tc>
          <w:tcPr>
            <w:tcW w:w="850" w:type="dxa"/>
            <w:gridSpan w:val="2"/>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(40)</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(1 118)</w:t>
            </w:r>
          </w:p>
        </w:tc>
        <w:tc>
          <w:tcPr>
            <w:tcW w:w="5216"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 xml:space="preserve">   Actuarial and other adjustments to unfunded superannuation liability</w:t>
            </w:r>
          </w:p>
        </w:tc>
        <w:tc>
          <w:tcPr>
            <w:tcW w:w="850" w:type="dxa"/>
            <w:gridSpan w:val="2"/>
            <w:tcBorders>
              <w:top w:val="nil"/>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(917)</w:t>
            </w:r>
          </w:p>
        </w:tc>
        <w:tc>
          <w:tcPr>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(917)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Pr>
                <w:rFonts w:eastAsiaTheme="minorEastAsia" w:cstheme="majorHAnsi"/>
                <w:b/>
                <w:bCs/>
                <w:color w:val="000000"/>
                <w:szCs w:val="18"/>
                <w:lang w:eastAsia="en-AU"/>
              </w:rPr>
              <w:t>(870)</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Total expense recognised in respect of defined benefit plans</w:t>
            </w:r>
          </w:p>
        </w:tc>
        <w:tc>
          <w:tcPr>
            <w:tcW w:w="850" w:type="dxa"/>
            <w:gridSpan w:val="2"/>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(815)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(308)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Defined contribution plans</w:t>
            </w:r>
          </w:p>
        </w:tc>
        <w:tc>
          <w:tcPr>
            <w:tcW w:w="850" w:type="dxa"/>
            <w:gridSpan w:val="2"/>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384</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 xml:space="preserve">Employer contributions to defined contribution plans </w:t>
            </w:r>
          </w:p>
        </w:tc>
        <w:tc>
          <w:tcPr>
            <w:tcW w:w="850" w:type="dxa"/>
            <w:gridSpan w:val="2"/>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419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1 679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17</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Other (including pensions)</w:t>
            </w:r>
          </w:p>
        </w:tc>
        <w:tc>
          <w:tcPr>
            <w:tcW w:w="850" w:type="dxa"/>
            <w:gridSpan w:val="2"/>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Pr>
                <w:rFonts w:eastAsiaTheme="minorEastAsia" w:cstheme="majorHAnsi"/>
                <w:b/>
                <w:bCs/>
                <w:color w:val="000000"/>
                <w:szCs w:val="18"/>
                <w:lang w:eastAsia="en-AU"/>
              </w:rPr>
              <w:t>401</w:t>
            </w:r>
          </w:p>
        </w:tc>
        <w:tc>
          <w:tcPr>
            <w:tcW w:w="5216"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Total expense recognised in respect of defined contribution plans</w:t>
            </w:r>
          </w:p>
        </w:tc>
        <w:tc>
          <w:tcPr>
            <w:tcW w:w="850" w:type="dxa"/>
            <w:gridSpan w:val="2"/>
            <w:tcBorders>
              <w:top w:val="single" w:sz="6" w:space="0" w:color="000000"/>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440</w:t>
            </w:r>
          </w:p>
        </w:tc>
        <w:tc>
          <w:tcPr>
            <w:tcW w:w="850"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1 750</w:t>
            </w:r>
          </w:p>
        </w:tc>
      </w:tr>
      <w:tr w:rsidR="004B6846" w:rsidRPr="00531141" w:rsidTr="00684CDB">
        <w:tc>
          <w:tcPr>
            <w:cnfStyle w:val="001000000000" w:firstRow="0" w:lastRow="0" w:firstColumn="1" w:lastColumn="0" w:oddVBand="0" w:evenVBand="0" w:oddHBand="0" w:evenHBand="0" w:firstRowFirstColumn="0" w:firstRowLastColumn="0" w:lastRowFirstColumn="0" w:lastRowLastColumn="0"/>
            <w:tcW w:w="850" w:type="dxa"/>
            <w:tcBorders>
              <w:top w:val="single" w:sz="12" w:space="0" w:color="000000"/>
              <w:left w:val="nil"/>
              <w:bottom w:val="single" w:sz="12" w:space="0" w:color="000000"/>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Pr>
                <w:rFonts w:eastAsiaTheme="minorEastAsia" w:cstheme="majorHAnsi"/>
                <w:b/>
                <w:bCs/>
                <w:color w:val="000000"/>
                <w:szCs w:val="18"/>
                <w:lang w:eastAsia="en-AU"/>
              </w:rPr>
              <w:t>(469)</w:t>
            </w:r>
          </w:p>
        </w:tc>
        <w:tc>
          <w:tcPr>
            <w:tcW w:w="5342" w:type="dxa"/>
            <w:gridSpan w:val="2"/>
            <w:tcBorders>
              <w:top w:val="single" w:sz="12" w:space="0" w:color="000000"/>
              <w:left w:val="nil"/>
              <w:bottom w:val="single" w:sz="12" w:space="0" w:color="000000"/>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Total superannuation (gain)/expense recognised in operating statement</w:t>
            </w:r>
          </w:p>
        </w:tc>
        <w:tc>
          <w:tcPr>
            <w:tcW w:w="724" w:type="dxa"/>
            <w:tcBorders>
              <w:top w:val="single" w:sz="12" w:space="0" w:color="000000"/>
              <w:left w:val="nil"/>
              <w:bottom w:val="single" w:sz="12"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(375)</w:t>
            </w:r>
          </w:p>
        </w:tc>
        <w:tc>
          <w:tcPr>
            <w:tcW w:w="850" w:type="dxa"/>
            <w:tcBorders>
              <w:top w:val="single" w:sz="12" w:space="0" w:color="000000"/>
              <w:left w:val="nil"/>
              <w:bottom w:val="single" w:sz="12"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1 442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Represented by:</w:t>
            </w:r>
          </w:p>
        </w:tc>
        <w:tc>
          <w:tcPr>
            <w:tcW w:w="850" w:type="dxa"/>
            <w:gridSpan w:val="2"/>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192</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Net superannuation interest expense</w:t>
            </w:r>
          </w:p>
        </w:tc>
        <w:tc>
          <w:tcPr>
            <w:tcW w:w="850" w:type="dxa"/>
            <w:gridSpan w:val="2"/>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167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688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598</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Other superannuation</w:t>
            </w:r>
          </w:p>
        </w:tc>
        <w:tc>
          <w:tcPr>
            <w:tcW w:w="850" w:type="dxa"/>
            <w:gridSpan w:val="2"/>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671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2 750</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Pr>
                <w:rFonts w:eastAsiaTheme="minorEastAsia" w:cstheme="majorHAnsi"/>
                <w:b/>
                <w:bCs/>
                <w:color w:val="000000"/>
                <w:szCs w:val="18"/>
                <w:lang w:eastAsia="en-AU"/>
              </w:rPr>
              <w:t>790</w:t>
            </w:r>
          </w:p>
        </w:tc>
        <w:tc>
          <w:tcPr>
            <w:tcW w:w="5216"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Superannuation expense from transactions</w:t>
            </w:r>
          </w:p>
        </w:tc>
        <w:tc>
          <w:tcPr>
            <w:tcW w:w="850" w:type="dxa"/>
            <w:gridSpan w:val="2"/>
            <w:tcBorders>
              <w:top w:val="single" w:sz="6" w:space="0" w:color="000000"/>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838</w:t>
            </w:r>
          </w:p>
        </w:tc>
        <w:tc>
          <w:tcPr>
            <w:tcW w:w="850"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3 439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Pr>
                <w:rFonts w:eastAsiaTheme="minorEastAsia" w:cstheme="majorHAnsi"/>
                <w:b/>
                <w:bCs/>
                <w:color w:val="000000"/>
                <w:szCs w:val="18"/>
                <w:lang w:eastAsia="en-AU"/>
              </w:rPr>
              <w:t>(1 259)</w:t>
            </w:r>
          </w:p>
        </w:tc>
        <w:tc>
          <w:tcPr>
            <w:tcW w:w="5216"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Remeasurement recognised in other comprehensive income</w:t>
            </w:r>
          </w:p>
        </w:tc>
        <w:tc>
          <w:tcPr>
            <w:tcW w:w="850" w:type="dxa"/>
            <w:gridSpan w:val="2"/>
            <w:tcBorders>
              <w:top w:val="single" w:sz="6" w:space="0" w:color="000000"/>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(1 213)</w:t>
            </w:r>
          </w:p>
        </w:tc>
        <w:tc>
          <w:tcPr>
            <w:tcW w:w="850" w:type="dxa"/>
            <w:tcBorders>
              <w:top w:val="single" w:sz="6" w:space="0" w:color="000000"/>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(1 996)</w:t>
            </w:r>
          </w:p>
        </w:tc>
      </w:tr>
      <w:tr w:rsidR="004B6846" w:rsidRPr="0053114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jc w:val="right"/>
              <w:rPr>
                <w:rFonts w:eastAsiaTheme="minorEastAsia" w:cstheme="majorHAnsi"/>
                <w:bCs/>
                <w:color w:val="000000"/>
                <w:szCs w:val="18"/>
                <w:lang w:eastAsia="en-AU"/>
              </w:rPr>
            </w:pPr>
            <w:r>
              <w:rPr>
                <w:rFonts w:eastAsiaTheme="minorEastAsia" w:cstheme="majorHAnsi"/>
                <w:bCs/>
                <w:color w:val="000000"/>
                <w:szCs w:val="18"/>
                <w:lang w:eastAsia="en-AU"/>
              </w:rPr>
              <w:t>(469)</w:t>
            </w:r>
          </w:p>
        </w:tc>
        <w:tc>
          <w:tcPr>
            <w:tcW w:w="5216"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Total superannuation costs recognised in operating statement</w:t>
            </w:r>
          </w:p>
        </w:tc>
        <w:tc>
          <w:tcPr>
            <w:tcW w:w="850" w:type="dxa"/>
            <w:gridSpan w:val="2"/>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(375)</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1 442</w:t>
            </w:r>
          </w:p>
        </w:tc>
      </w:tr>
    </w:tbl>
    <w:p w:rsidR="004B6846" w:rsidRDefault="004B6846" w:rsidP="00CC0EB7">
      <w:pPr>
        <w:pStyle w:val="Source"/>
      </w:pPr>
      <w:r w:rsidRPr="00D87D22">
        <w:t>Source: Department of Treasury and Finance</w:t>
      </w:r>
    </w:p>
    <w:p w:rsidR="004B6846" w:rsidRDefault="004B6846" w:rsidP="00CC0EB7"/>
    <w:p w:rsidR="004B6846" w:rsidRDefault="004B6846">
      <w:pPr>
        <w:keepLines w:val="0"/>
        <w:rPr>
          <w:rFonts w:asciiTheme="majorHAnsi" w:eastAsiaTheme="majorEastAsia" w:hAnsiTheme="majorHAnsi" w:cstheme="majorBidi"/>
          <w:b/>
          <w:spacing w:val="-2"/>
          <w:sz w:val="26"/>
          <w:szCs w:val="26"/>
        </w:rPr>
      </w:pPr>
      <w:r>
        <w:br w:type="page"/>
      </w:r>
    </w:p>
    <w:p w:rsidR="004B6846" w:rsidRDefault="004B6846" w:rsidP="00CC0EB7">
      <w:pPr>
        <w:pStyle w:val="Heading2"/>
      </w:pPr>
      <w:r>
        <w:lastRenderedPageBreak/>
        <w:t>Total expenses by classification of the functions of government and by portfolio department</w:t>
      </w:r>
    </w:p>
    <w:p w:rsidR="004B6846" w:rsidRPr="00563A28" w:rsidRDefault="004B6846" w:rsidP="00684CDB">
      <w:pPr>
        <w:pStyle w:val="Heading30"/>
        <w:tabs>
          <w:tab w:val="clear" w:pos="850"/>
          <w:tab w:val="left" w:pos="567"/>
        </w:tabs>
        <w:rPr>
          <w:lang w:val="en-US"/>
        </w:rPr>
      </w:pPr>
      <w:r w:rsidRPr="00A950C2">
        <w:t>(a)</w:t>
      </w:r>
      <w:r w:rsidRPr="00A950C2">
        <w:tab/>
        <w:t>Expenses by classification of the functions of government</w:t>
      </w:r>
      <w:r>
        <w:t xml:space="preserve"> </w:t>
      </w:r>
      <w:r w:rsidRPr="00AB2E0D">
        <w:rPr>
          <w:vertAlign w:val="superscript"/>
        </w:rPr>
        <w:t>(a)</w:t>
      </w:r>
      <w:r w:rsidRPr="00A950C2">
        <w:tab/>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5216"/>
        <w:gridCol w:w="850"/>
        <w:gridCol w:w="850"/>
      </w:tblGrid>
      <w:tr w:rsidR="004B6846" w:rsidRPr="00563A28"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63A28" w:rsidRDefault="004B6846" w:rsidP="00CC0EB7">
            <w:pPr>
              <w:autoSpaceDE w:val="0"/>
              <w:autoSpaceDN w:val="0"/>
              <w:adjustRightInd w:val="0"/>
              <w:jc w:val="right"/>
              <w:rPr>
                <w:rFonts w:eastAsiaTheme="minorEastAsia" w:cstheme="majorHAnsi"/>
                <w:iCs/>
                <w:color w:val="FFFFFF"/>
                <w:szCs w:val="16"/>
                <w:lang w:eastAsia="en-AU"/>
              </w:rPr>
            </w:pPr>
            <w:r w:rsidRPr="00563A28">
              <w:rPr>
                <w:rFonts w:eastAsiaTheme="minorEastAsia" w:cstheme="majorHAnsi"/>
                <w:iCs/>
                <w:color w:val="FFFFFF"/>
                <w:szCs w:val="16"/>
                <w:lang w:eastAsia="en-AU"/>
              </w:rPr>
              <w:t xml:space="preserve">2017-18 </w:t>
            </w:r>
          </w:p>
        </w:tc>
        <w:tc>
          <w:tcPr>
            <w:tcW w:w="5216" w:type="dxa"/>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63A28">
              <w:rPr>
                <w:rFonts w:eastAsiaTheme="minorEastAsia" w:cstheme="majorHAnsi"/>
                <w:iCs/>
                <w:color w:val="FFFFFF"/>
                <w:szCs w:val="16"/>
                <w:lang w:eastAsia="en-AU"/>
              </w:rPr>
              <w:t xml:space="preserve"> </w:t>
            </w:r>
          </w:p>
        </w:tc>
        <w:tc>
          <w:tcPr>
            <w:tcW w:w="1700" w:type="dxa"/>
            <w:gridSpan w:val="2"/>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63A28">
              <w:rPr>
                <w:rFonts w:eastAsiaTheme="minorEastAsia" w:cstheme="majorHAnsi"/>
                <w:iCs/>
                <w:color w:val="FFFFFF"/>
                <w:szCs w:val="16"/>
                <w:lang w:eastAsia="en-AU"/>
              </w:rPr>
              <w:t xml:space="preserve">2018-19 </w:t>
            </w:r>
          </w:p>
        </w:tc>
      </w:tr>
      <w:tr w:rsidR="004B6846" w:rsidRPr="00563A28"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jc w:val="right"/>
              <w:rPr>
                <w:rFonts w:eastAsiaTheme="minorEastAsia" w:cstheme="majorHAnsi"/>
                <w:iCs/>
                <w:color w:val="FFFFFF"/>
                <w:szCs w:val="16"/>
                <w:lang w:eastAsia="en-AU"/>
              </w:rPr>
            </w:pPr>
            <w:r w:rsidRPr="00563A28">
              <w:rPr>
                <w:rFonts w:eastAsiaTheme="minorEastAsia" w:cstheme="majorHAnsi"/>
                <w:iCs/>
                <w:color w:val="FFFFFF"/>
                <w:szCs w:val="16"/>
                <w:lang w:eastAsia="en-AU"/>
              </w:rPr>
              <w:t xml:space="preserve">actual </w:t>
            </w:r>
          </w:p>
        </w:tc>
        <w:tc>
          <w:tcPr>
            <w:tcW w:w="5216" w:type="dxa"/>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63A28">
              <w:rPr>
                <w:rFonts w:eastAsiaTheme="minorEastAsia" w:cstheme="majorHAnsi"/>
                <w:iCs/>
                <w:color w:val="FFFFFF"/>
                <w:szCs w:val="16"/>
                <w:lang w:eastAsia="en-AU"/>
              </w:rPr>
              <w:t xml:space="preserve"> </w:t>
            </w:r>
          </w:p>
        </w:tc>
        <w:tc>
          <w:tcPr>
            <w:tcW w:w="850" w:type="dxa"/>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63A28">
              <w:rPr>
                <w:rFonts w:eastAsiaTheme="minorEastAsia" w:cstheme="majorHAnsi"/>
                <w:iCs/>
                <w:color w:val="FFFFFF"/>
                <w:szCs w:val="16"/>
                <w:lang w:eastAsia="en-AU"/>
              </w:rPr>
              <w:t xml:space="preserve">actual </w:t>
            </w:r>
          </w:p>
        </w:tc>
        <w:tc>
          <w:tcPr>
            <w:tcW w:w="850" w:type="dxa"/>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63A28">
              <w:rPr>
                <w:rFonts w:eastAsiaTheme="minorEastAsia" w:cstheme="majorHAnsi"/>
                <w:iCs/>
                <w:color w:val="FFFFFF"/>
                <w:szCs w:val="16"/>
                <w:lang w:eastAsia="en-AU"/>
              </w:rPr>
              <w:t>revised</w:t>
            </w:r>
          </w:p>
        </w:tc>
      </w:tr>
      <w:tr w:rsidR="004B6846" w:rsidRPr="00563A28"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jc w:val="right"/>
              <w:rPr>
                <w:rFonts w:eastAsiaTheme="minorEastAsia" w:cstheme="majorHAnsi"/>
                <w:iCs/>
                <w:color w:val="FFFFFF"/>
                <w:szCs w:val="16"/>
                <w:lang w:eastAsia="en-AU"/>
              </w:rPr>
            </w:pPr>
            <w:r w:rsidRPr="00563A28">
              <w:rPr>
                <w:rFonts w:eastAsiaTheme="minorEastAsia" w:cstheme="majorHAnsi"/>
                <w:iCs/>
                <w:color w:val="FFFFFF"/>
                <w:szCs w:val="16"/>
                <w:lang w:eastAsia="en-AU"/>
              </w:rPr>
              <w:t>30 Sep</w:t>
            </w:r>
          </w:p>
        </w:tc>
        <w:tc>
          <w:tcPr>
            <w:tcW w:w="5216" w:type="dxa"/>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63A28">
              <w:rPr>
                <w:rFonts w:eastAsiaTheme="minorEastAsia" w:cstheme="majorHAnsi"/>
                <w:iCs/>
                <w:color w:val="FFFFFF"/>
                <w:szCs w:val="16"/>
                <w:lang w:eastAsia="en-AU"/>
              </w:rPr>
              <w:t xml:space="preserve"> </w:t>
            </w:r>
          </w:p>
        </w:tc>
        <w:tc>
          <w:tcPr>
            <w:tcW w:w="850" w:type="dxa"/>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63A28">
              <w:rPr>
                <w:rFonts w:eastAsiaTheme="minorEastAsia" w:cstheme="majorHAnsi"/>
                <w:iCs/>
                <w:color w:val="FFFFFF"/>
                <w:szCs w:val="16"/>
                <w:lang w:eastAsia="en-AU"/>
              </w:rPr>
              <w:t>30 Sep</w:t>
            </w:r>
          </w:p>
        </w:tc>
        <w:tc>
          <w:tcPr>
            <w:tcW w:w="850" w:type="dxa"/>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63A28">
              <w:rPr>
                <w:rFonts w:eastAsiaTheme="minorEastAsia" w:cstheme="majorHAnsi"/>
                <w:iCs/>
                <w:color w:val="FFFFFF"/>
                <w:szCs w:val="16"/>
                <w:lang w:eastAsia="en-AU"/>
              </w:rPr>
              <w:t>budget</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890</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General public services</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970</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3 877</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sidRPr="00563A28">
              <w:rPr>
                <w:rFonts w:eastAsiaTheme="minorEastAsia" w:cstheme="majorHAnsi"/>
                <w:color w:val="000000"/>
                <w:szCs w:val="18"/>
                <w:lang w:eastAsia="en-AU"/>
              </w:rPr>
              <w:t>1 712</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Public order and safety</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1 920</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8 290</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323</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Economic affairs</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365</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2 115</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171</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Environmental protection</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157</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844</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450</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Housing and community amenities</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461</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2 196</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sidRPr="00563A28">
              <w:rPr>
                <w:rFonts w:eastAsiaTheme="minorEastAsia" w:cstheme="majorHAnsi"/>
                <w:color w:val="000000"/>
                <w:szCs w:val="18"/>
                <w:lang w:eastAsia="en-AU"/>
              </w:rPr>
              <w:t>4 319</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Health</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4 755</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19 449</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156</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Recreation, culture and religion</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186</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938</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sidRPr="00563A28">
              <w:rPr>
                <w:rFonts w:eastAsiaTheme="minorEastAsia" w:cstheme="majorHAnsi"/>
                <w:color w:val="000000"/>
                <w:szCs w:val="18"/>
                <w:lang w:eastAsia="en-AU"/>
              </w:rPr>
              <w:t>3 776</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Education</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3 968</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16 454</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sidRPr="00563A28">
              <w:rPr>
                <w:rFonts w:eastAsiaTheme="minorEastAsia" w:cstheme="majorHAnsi"/>
                <w:color w:val="000000"/>
                <w:szCs w:val="18"/>
                <w:lang w:eastAsia="en-AU"/>
              </w:rPr>
              <w:t>1 213</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Social protection</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1 225</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6 450</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sidRPr="00563A28">
              <w:rPr>
                <w:rFonts w:eastAsiaTheme="minorEastAsia" w:cstheme="majorHAnsi"/>
                <w:color w:val="000000"/>
                <w:szCs w:val="18"/>
                <w:lang w:eastAsia="en-AU"/>
              </w:rPr>
              <w:t>1 772</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Transport</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1 950</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8 343</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(139)</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Not allocated by purpose</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(200)</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(1 439)</w:t>
            </w:r>
          </w:p>
        </w:tc>
      </w:tr>
      <w:tr w:rsidR="004B6846" w:rsidRPr="00563A28"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563A28" w:rsidRDefault="004B6846" w:rsidP="00CC0EB7">
            <w:pPr>
              <w:keepLines w:val="0"/>
              <w:autoSpaceDE w:val="0"/>
              <w:autoSpaceDN w:val="0"/>
              <w:adjustRightInd w:val="0"/>
              <w:jc w:val="right"/>
              <w:rPr>
                <w:rFonts w:eastAsiaTheme="minorEastAsia" w:cstheme="majorHAnsi"/>
                <w:bCs/>
                <w:color w:val="000000"/>
                <w:szCs w:val="18"/>
                <w:lang w:eastAsia="en-AU"/>
              </w:rPr>
            </w:pPr>
            <w:r w:rsidRPr="00563A28">
              <w:rPr>
                <w:rFonts w:eastAsiaTheme="minorEastAsia" w:cstheme="majorHAnsi"/>
                <w:bCs/>
                <w:color w:val="000000"/>
                <w:szCs w:val="18"/>
                <w:lang w:eastAsia="en-AU"/>
              </w:rPr>
              <w:t>14 643</w:t>
            </w:r>
          </w:p>
        </w:tc>
        <w:tc>
          <w:tcPr>
            <w:tcW w:w="5216" w:type="dxa"/>
            <w:tcBorders>
              <w:top w:val="single" w:sz="6" w:space="0" w:color="000000"/>
              <w:bottom w:val="single" w:sz="12" w:space="0" w:color="000000"/>
            </w:tcBorders>
          </w:tcPr>
          <w:p w:rsidR="004B6846" w:rsidRPr="00563A28"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563A28">
              <w:rPr>
                <w:rFonts w:eastAsiaTheme="minorEastAsia" w:cstheme="majorHAnsi"/>
                <w:bCs/>
                <w:color w:val="000000"/>
                <w:szCs w:val="16"/>
                <w:lang w:eastAsia="en-AU"/>
              </w:rPr>
              <w:t>Total Expenses by COFOG</w:t>
            </w:r>
          </w:p>
        </w:tc>
        <w:tc>
          <w:tcPr>
            <w:tcW w:w="850" w:type="dxa"/>
            <w:tcBorders>
              <w:top w:val="single" w:sz="6" w:space="0" w:color="000000"/>
              <w:bottom w:val="single" w:sz="12" w:space="0" w:color="000000"/>
            </w:tcBorders>
          </w:tcPr>
          <w:p w:rsidR="004B6846" w:rsidRPr="00563A28"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63A28">
              <w:rPr>
                <w:rFonts w:eastAsiaTheme="minorEastAsia" w:cstheme="majorHAnsi"/>
                <w:bCs/>
                <w:color w:val="000000"/>
                <w:szCs w:val="18"/>
                <w:lang w:eastAsia="en-AU"/>
              </w:rPr>
              <w:t>15 757</w:t>
            </w:r>
          </w:p>
        </w:tc>
        <w:tc>
          <w:tcPr>
            <w:tcW w:w="850" w:type="dxa"/>
            <w:tcBorders>
              <w:top w:val="single" w:sz="6" w:space="0" w:color="000000"/>
              <w:bottom w:val="single" w:sz="12" w:space="0" w:color="000000"/>
            </w:tcBorders>
          </w:tcPr>
          <w:p w:rsidR="004B6846" w:rsidRPr="00563A28"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63A28">
              <w:rPr>
                <w:rFonts w:eastAsiaTheme="minorEastAsia" w:cstheme="majorHAnsi"/>
                <w:bCs/>
                <w:color w:val="000000"/>
                <w:szCs w:val="18"/>
                <w:lang w:eastAsia="en-AU"/>
              </w:rPr>
              <w:t>67 517</w:t>
            </w:r>
          </w:p>
        </w:tc>
      </w:tr>
    </w:tbl>
    <w:p w:rsidR="004B6846" w:rsidRDefault="004B6846" w:rsidP="00CC0EB7">
      <w:pPr>
        <w:pStyle w:val="Source"/>
      </w:pPr>
      <w:r w:rsidRPr="00D87D22">
        <w:t>Source: Department of Treasury and Finance</w:t>
      </w:r>
    </w:p>
    <w:p w:rsidR="004B6846" w:rsidRPr="00697AD9" w:rsidRDefault="004B6846" w:rsidP="00CC0EB7">
      <w:pPr>
        <w:pStyle w:val="Note"/>
      </w:pPr>
      <w:r>
        <w:t>Note</w:t>
      </w:r>
      <w:r w:rsidRPr="00697AD9">
        <w:t>:</w:t>
      </w:r>
    </w:p>
    <w:p w:rsidR="004B6846" w:rsidRDefault="004B6846" w:rsidP="00CC0EB7">
      <w:pPr>
        <w:pStyle w:val="Note"/>
      </w:pPr>
      <w:r w:rsidRPr="00791993">
        <w:t>(a)</w:t>
      </w:r>
      <w:r w:rsidRPr="00791993">
        <w:tab/>
      </w:r>
      <w:r w:rsidRPr="0007131F">
        <w:t>The classification of the functions of government (COFOG) framework has replaced the former Government Purpose Classification (GPC) framework under the new ABS GFS Manual.</w:t>
      </w:r>
      <w:r>
        <w:t xml:space="preserve"> </w:t>
      </w:r>
      <w:r w:rsidRPr="0007131F">
        <w:t xml:space="preserve">This </w:t>
      </w:r>
      <w:r>
        <w:t>was</w:t>
      </w:r>
      <w:r w:rsidRPr="0007131F">
        <w:t xml:space="preserve"> implemented for the first time in the </w:t>
      </w:r>
      <w:r w:rsidRPr="00F3055C">
        <w:rPr>
          <w:i w:val="0"/>
        </w:rPr>
        <w:t>2018-19 Budget</w:t>
      </w:r>
      <w:r w:rsidRPr="0007131F">
        <w:t xml:space="preserve">. </w:t>
      </w:r>
      <w:r>
        <w:t xml:space="preserve">Note 1.7.5 of Budget Paper No.5 of the </w:t>
      </w:r>
      <w:r>
        <w:rPr>
          <w:i w:val="0"/>
        </w:rPr>
        <w:t>2018-19</w:t>
      </w:r>
      <w:r w:rsidRPr="00812D30">
        <w:rPr>
          <w:i w:val="0"/>
        </w:rPr>
        <w:t xml:space="preserve"> </w:t>
      </w:r>
      <w:r>
        <w:rPr>
          <w:i w:val="0"/>
        </w:rPr>
        <w:t>Budget</w:t>
      </w:r>
      <w:r>
        <w:t xml:space="preserve"> provides definitions and descriptions of the COFOG.</w:t>
      </w:r>
    </w:p>
    <w:p w:rsidR="004B6846" w:rsidRDefault="004B6846" w:rsidP="00CC0EB7"/>
    <w:p w:rsidR="004B6846" w:rsidRPr="00563A28" w:rsidRDefault="004B6846" w:rsidP="00684CDB">
      <w:pPr>
        <w:pStyle w:val="Heading30"/>
        <w:tabs>
          <w:tab w:val="clear" w:pos="850"/>
          <w:tab w:val="left" w:pos="567"/>
        </w:tabs>
        <w:rPr>
          <w:lang w:val="en-US"/>
        </w:rPr>
      </w:pPr>
      <w:r w:rsidRPr="00E831CC">
        <w:t>(b)</w:t>
      </w:r>
      <w:r w:rsidRPr="00E831CC">
        <w:tab/>
        <w:t>Total expenses by</w:t>
      </w:r>
      <w:r>
        <w:t xml:space="preserve"> portfolio</w:t>
      </w:r>
      <w:r w:rsidRPr="00E831CC">
        <w:t xml:space="preserve"> department</w:t>
      </w:r>
      <w:r w:rsidRPr="00E831CC">
        <w:tab/>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5216"/>
        <w:gridCol w:w="850"/>
        <w:gridCol w:w="850"/>
      </w:tblGrid>
      <w:tr w:rsidR="004B6846" w:rsidRPr="00563A28"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63A28" w:rsidRDefault="004B6846" w:rsidP="00CC0EB7">
            <w:pPr>
              <w:autoSpaceDE w:val="0"/>
              <w:autoSpaceDN w:val="0"/>
              <w:adjustRightInd w:val="0"/>
              <w:jc w:val="right"/>
              <w:rPr>
                <w:rFonts w:eastAsiaTheme="minorEastAsia" w:cstheme="majorHAnsi"/>
                <w:iCs/>
                <w:color w:val="FFFFFF"/>
                <w:szCs w:val="16"/>
                <w:lang w:eastAsia="en-AU"/>
              </w:rPr>
            </w:pPr>
            <w:r w:rsidRPr="00563A28">
              <w:rPr>
                <w:rFonts w:eastAsiaTheme="minorEastAsia" w:cstheme="majorHAnsi"/>
                <w:iCs/>
                <w:color w:val="FFFFFF"/>
                <w:szCs w:val="16"/>
                <w:lang w:eastAsia="en-AU"/>
              </w:rPr>
              <w:t xml:space="preserve">2017-18 </w:t>
            </w:r>
          </w:p>
        </w:tc>
        <w:tc>
          <w:tcPr>
            <w:tcW w:w="5216" w:type="dxa"/>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63A28">
              <w:rPr>
                <w:rFonts w:eastAsiaTheme="minorEastAsia" w:cstheme="majorHAnsi"/>
                <w:iCs/>
                <w:color w:val="FFFFFF"/>
                <w:lang w:eastAsia="en-AU"/>
              </w:rPr>
              <w:t xml:space="preserve"> </w:t>
            </w:r>
          </w:p>
        </w:tc>
        <w:tc>
          <w:tcPr>
            <w:tcW w:w="1700" w:type="dxa"/>
            <w:gridSpan w:val="2"/>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63A28">
              <w:rPr>
                <w:rFonts w:eastAsiaTheme="minorEastAsia" w:cstheme="majorHAnsi"/>
                <w:iCs/>
                <w:color w:val="FFFFFF"/>
                <w:szCs w:val="16"/>
                <w:lang w:eastAsia="en-AU"/>
              </w:rPr>
              <w:t xml:space="preserve">2018-19 </w:t>
            </w:r>
          </w:p>
        </w:tc>
      </w:tr>
      <w:tr w:rsidR="004B6846" w:rsidRPr="00563A28"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jc w:val="right"/>
              <w:rPr>
                <w:rFonts w:eastAsiaTheme="minorEastAsia" w:cstheme="majorHAnsi"/>
                <w:iCs/>
                <w:color w:val="FFFFFF"/>
                <w:szCs w:val="16"/>
                <w:lang w:eastAsia="en-AU"/>
              </w:rPr>
            </w:pPr>
            <w:r w:rsidRPr="00563A28">
              <w:rPr>
                <w:rFonts w:eastAsiaTheme="minorEastAsia" w:cstheme="majorHAnsi"/>
                <w:iCs/>
                <w:color w:val="FFFFFF"/>
                <w:szCs w:val="16"/>
                <w:lang w:eastAsia="en-AU"/>
              </w:rPr>
              <w:t xml:space="preserve">actual </w:t>
            </w:r>
          </w:p>
        </w:tc>
        <w:tc>
          <w:tcPr>
            <w:tcW w:w="5216" w:type="dxa"/>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63A28">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63A28">
              <w:rPr>
                <w:rFonts w:eastAsiaTheme="minorEastAsia" w:cstheme="majorHAnsi"/>
                <w:iCs/>
                <w:color w:val="FFFFFF"/>
                <w:szCs w:val="16"/>
                <w:lang w:eastAsia="en-AU"/>
              </w:rPr>
              <w:t xml:space="preserve">actual </w:t>
            </w:r>
          </w:p>
        </w:tc>
        <w:tc>
          <w:tcPr>
            <w:tcW w:w="850" w:type="dxa"/>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63A28">
              <w:rPr>
                <w:rFonts w:eastAsiaTheme="minorEastAsia" w:cstheme="majorHAnsi"/>
                <w:iCs/>
                <w:color w:val="FFFFFF"/>
                <w:szCs w:val="16"/>
                <w:lang w:eastAsia="en-AU"/>
              </w:rPr>
              <w:t>revised</w:t>
            </w:r>
          </w:p>
        </w:tc>
      </w:tr>
      <w:tr w:rsidR="004B6846" w:rsidRPr="00563A28"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jc w:val="right"/>
              <w:rPr>
                <w:rFonts w:eastAsiaTheme="minorEastAsia" w:cstheme="majorHAnsi"/>
                <w:iCs/>
                <w:color w:val="FFFFFF"/>
                <w:szCs w:val="16"/>
                <w:lang w:eastAsia="en-AU"/>
              </w:rPr>
            </w:pPr>
            <w:r w:rsidRPr="00563A28">
              <w:rPr>
                <w:rFonts w:eastAsiaTheme="minorEastAsia" w:cstheme="majorHAnsi"/>
                <w:iCs/>
                <w:color w:val="FFFFFF"/>
                <w:szCs w:val="16"/>
                <w:lang w:eastAsia="en-AU"/>
              </w:rPr>
              <w:t>30 Sep</w:t>
            </w:r>
          </w:p>
        </w:tc>
        <w:tc>
          <w:tcPr>
            <w:tcW w:w="5216" w:type="dxa"/>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63A28">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63A28">
              <w:rPr>
                <w:rFonts w:eastAsiaTheme="minorEastAsia" w:cstheme="majorHAnsi"/>
                <w:iCs/>
                <w:color w:val="FFFFFF"/>
                <w:szCs w:val="16"/>
                <w:lang w:eastAsia="en-AU"/>
              </w:rPr>
              <w:t>30 Sep</w:t>
            </w:r>
          </w:p>
        </w:tc>
        <w:tc>
          <w:tcPr>
            <w:tcW w:w="850" w:type="dxa"/>
            <w:tcBorders>
              <w:top w:val="nil"/>
              <w:left w:val="nil"/>
              <w:bottom w:val="nil"/>
              <w:right w:val="nil"/>
            </w:tcBorders>
            <w:shd w:val="solid" w:color="000000" w:fill="auto"/>
          </w:tcPr>
          <w:p w:rsidR="004B6846" w:rsidRPr="00563A28"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63A28">
              <w:rPr>
                <w:rFonts w:eastAsiaTheme="minorEastAsia" w:cstheme="majorHAnsi"/>
                <w:iCs/>
                <w:color w:val="FFFFFF"/>
                <w:szCs w:val="16"/>
                <w:lang w:eastAsia="en-AU"/>
              </w:rPr>
              <w:t>budget</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b/>
                <w:bCs/>
                <w:color w:val="000000"/>
                <w:lang w:eastAsia="en-AU"/>
              </w:rPr>
            </w:pPr>
            <w:r w:rsidRPr="00563A28">
              <w:rPr>
                <w:rFonts w:eastAsiaTheme="minorEastAsia" w:cstheme="majorHAnsi"/>
                <w:b/>
                <w:bCs/>
                <w:color w:val="000000"/>
                <w:lang w:eastAsia="en-AU"/>
              </w:rPr>
              <w:t xml:space="preserve"> </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63A28">
              <w:rPr>
                <w:rFonts w:eastAsiaTheme="minorEastAsia" w:cstheme="majorHAnsi"/>
                <w:b/>
                <w:bCs/>
                <w:color w:val="000000"/>
                <w:szCs w:val="16"/>
                <w:lang w:eastAsia="en-AU"/>
              </w:rPr>
              <w:t>Expenses from transactions</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63A28">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63A28">
              <w:rPr>
                <w:rFonts w:eastAsiaTheme="minorEastAsia" w:cstheme="majorHAnsi"/>
                <w:b/>
                <w:bCs/>
                <w:color w:val="000000"/>
                <w:lang w:eastAsia="en-AU"/>
              </w:rPr>
              <w:t xml:space="preserve"> </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sidRPr="00563A28">
              <w:rPr>
                <w:rFonts w:eastAsiaTheme="minorEastAsia" w:cstheme="majorHAnsi"/>
                <w:color w:val="000000"/>
                <w:szCs w:val="18"/>
                <w:lang w:eastAsia="en-AU"/>
              </w:rPr>
              <w:t>2 264</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Economic Development, Jobs, Transport and Resources</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2 472</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10 834</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sidRPr="00563A28">
              <w:rPr>
                <w:rFonts w:eastAsiaTheme="minorEastAsia" w:cstheme="majorHAnsi"/>
                <w:color w:val="000000"/>
                <w:szCs w:val="18"/>
                <w:lang w:eastAsia="en-AU"/>
              </w:rPr>
              <w:t>4 239</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Education and Training</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4 495</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18 494</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713</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Environment, Land, Water and Planning</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677</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3 799</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sidRPr="00563A28">
              <w:rPr>
                <w:rFonts w:eastAsiaTheme="minorEastAsia" w:cstheme="majorHAnsi"/>
                <w:color w:val="000000"/>
                <w:szCs w:val="18"/>
                <w:lang w:eastAsia="en-AU"/>
              </w:rPr>
              <w:t>5 864</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Health and Human Services</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6 336</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27 236</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sidRPr="00563A28">
              <w:rPr>
                <w:rFonts w:eastAsiaTheme="minorEastAsia" w:cstheme="majorHAnsi"/>
                <w:color w:val="000000"/>
                <w:szCs w:val="18"/>
                <w:lang w:eastAsia="en-AU"/>
              </w:rPr>
              <w:t>1 748</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Justice and Regulation</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1 845</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7 787</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112</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Premier and Cabinet</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151</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820</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sidRPr="00563A28">
              <w:rPr>
                <w:rFonts w:eastAsiaTheme="minorEastAsia" w:cstheme="majorHAnsi"/>
                <w:color w:val="000000"/>
                <w:szCs w:val="18"/>
                <w:lang w:eastAsia="en-AU"/>
              </w:rPr>
              <w:t>1 668</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Treasury and Finance</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1 805</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7 618</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47</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Parliament</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52</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233</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138</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Courts</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157</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675</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6" w:space="0" w:color="auto"/>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549</w:t>
            </w:r>
          </w:p>
        </w:tc>
        <w:tc>
          <w:tcPr>
            <w:tcW w:w="5216" w:type="dxa"/>
            <w:tcBorders>
              <w:top w:val="nil"/>
              <w:left w:val="nil"/>
              <w:bottom w:val="single" w:sz="6" w:space="0" w:color="auto"/>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63A28">
              <w:rPr>
                <w:rFonts w:eastAsiaTheme="minorEastAsia" w:cstheme="majorHAnsi"/>
                <w:color w:val="000000"/>
                <w:szCs w:val="16"/>
                <w:lang w:eastAsia="en-AU"/>
              </w:rPr>
              <w:t xml:space="preserve">Regulatory bodies and other part funded agencies </w:t>
            </w:r>
            <w:r w:rsidRPr="00563A28">
              <w:rPr>
                <w:rFonts w:eastAsiaTheme="minorEastAsia" w:cstheme="majorHAnsi"/>
                <w:color w:val="000000"/>
                <w:szCs w:val="16"/>
                <w:vertAlign w:val="superscript"/>
                <w:lang w:eastAsia="en-AU"/>
              </w:rPr>
              <w:t>(a)</w:t>
            </w:r>
          </w:p>
        </w:tc>
        <w:tc>
          <w:tcPr>
            <w:tcW w:w="850" w:type="dxa"/>
            <w:tcBorders>
              <w:top w:val="nil"/>
              <w:left w:val="nil"/>
              <w:bottom w:val="single" w:sz="6" w:space="0" w:color="auto"/>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573</w:t>
            </w:r>
          </w:p>
        </w:tc>
        <w:tc>
          <w:tcPr>
            <w:tcW w:w="850" w:type="dxa"/>
            <w:tcBorders>
              <w:top w:val="nil"/>
              <w:left w:val="nil"/>
              <w:bottom w:val="single" w:sz="6" w:space="0" w:color="auto"/>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63A28">
              <w:rPr>
                <w:rFonts w:eastAsiaTheme="minorEastAsia" w:cstheme="majorHAnsi"/>
                <w:color w:val="000000"/>
                <w:szCs w:val="18"/>
                <w:lang w:eastAsia="en-AU"/>
              </w:rPr>
              <w:t>2 451</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b/>
                <w:bCs/>
                <w:color w:val="000000"/>
                <w:szCs w:val="18"/>
                <w:lang w:eastAsia="en-AU"/>
              </w:rPr>
            </w:pPr>
            <w:r w:rsidRPr="00563A28">
              <w:rPr>
                <w:rFonts w:eastAsiaTheme="minorEastAsia" w:cstheme="majorHAnsi"/>
                <w:b/>
                <w:bCs/>
                <w:color w:val="000000"/>
                <w:szCs w:val="18"/>
                <w:lang w:eastAsia="en-AU"/>
              </w:rPr>
              <w:t>17 342</w:t>
            </w:r>
          </w:p>
        </w:tc>
        <w:tc>
          <w:tcPr>
            <w:tcW w:w="5216" w:type="dxa"/>
            <w:tcBorders>
              <w:top w:val="nil"/>
              <w:left w:val="nil"/>
              <w:bottom w:val="nil"/>
              <w:right w:val="nil"/>
            </w:tcBorders>
          </w:tcPr>
          <w:p w:rsidR="004B6846" w:rsidRPr="00563A2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63A28">
              <w:rPr>
                <w:rFonts w:eastAsiaTheme="minorEastAsia" w:cstheme="majorHAnsi"/>
                <w:b/>
                <w:bCs/>
                <w:color w:val="000000"/>
                <w:szCs w:val="16"/>
                <w:lang w:eastAsia="en-AU"/>
              </w:rPr>
              <w:t>Total expenses by department</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63A28">
              <w:rPr>
                <w:rFonts w:eastAsiaTheme="minorEastAsia" w:cstheme="majorHAnsi"/>
                <w:b/>
                <w:bCs/>
                <w:color w:val="000000"/>
                <w:szCs w:val="18"/>
                <w:lang w:eastAsia="en-AU"/>
              </w:rPr>
              <w:t>18 561</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63A28">
              <w:rPr>
                <w:rFonts w:eastAsiaTheme="minorEastAsia" w:cstheme="majorHAnsi"/>
                <w:b/>
                <w:bCs/>
                <w:color w:val="000000"/>
                <w:szCs w:val="18"/>
                <w:lang w:eastAsia="en-AU"/>
              </w:rPr>
              <w:t>79 946</w:t>
            </w:r>
          </w:p>
        </w:tc>
      </w:tr>
      <w:tr w:rsidR="004B6846" w:rsidRPr="00563A2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63A2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(2 699)</w:t>
            </w:r>
          </w:p>
        </w:tc>
        <w:tc>
          <w:tcPr>
            <w:tcW w:w="5216" w:type="dxa"/>
            <w:tcBorders>
              <w:top w:val="nil"/>
              <w:left w:val="nil"/>
              <w:bottom w:val="nil"/>
              <w:right w:val="nil"/>
            </w:tcBorders>
          </w:tcPr>
          <w:p w:rsidR="004B6846" w:rsidRPr="00D70597"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i/>
                <w:iCs/>
                <w:color w:val="000000"/>
                <w:szCs w:val="16"/>
                <w:lang w:eastAsia="en-AU"/>
              </w:rPr>
            </w:pPr>
            <w:r w:rsidRPr="00D70597">
              <w:rPr>
                <w:rFonts w:eastAsiaTheme="minorEastAsia" w:cstheme="majorHAnsi"/>
                <w:i/>
                <w:iCs/>
                <w:color w:val="000000"/>
                <w:szCs w:val="16"/>
                <w:lang w:eastAsia="en-AU"/>
              </w:rPr>
              <w:t>Less eliminations and adjustments</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(2 804)</w:t>
            </w:r>
          </w:p>
        </w:tc>
        <w:tc>
          <w:tcPr>
            <w:tcW w:w="850" w:type="dxa"/>
            <w:tcBorders>
              <w:top w:val="nil"/>
              <w:left w:val="nil"/>
              <w:bottom w:val="nil"/>
              <w:right w:val="nil"/>
            </w:tcBorders>
          </w:tcPr>
          <w:p w:rsidR="004B6846" w:rsidRPr="00563A2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(12 430)</w:t>
            </w:r>
          </w:p>
        </w:tc>
      </w:tr>
      <w:tr w:rsidR="004B6846" w:rsidRPr="00563A28"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auto"/>
              <w:bottom w:val="single" w:sz="12" w:space="0" w:color="auto"/>
            </w:tcBorders>
          </w:tcPr>
          <w:p w:rsidR="004B6846" w:rsidRPr="00563A28" w:rsidRDefault="004B6846" w:rsidP="00CC0EB7">
            <w:pPr>
              <w:keepLines w:val="0"/>
              <w:autoSpaceDE w:val="0"/>
              <w:autoSpaceDN w:val="0"/>
              <w:adjustRightInd w:val="0"/>
              <w:jc w:val="right"/>
              <w:rPr>
                <w:rFonts w:eastAsiaTheme="minorEastAsia" w:cstheme="majorHAnsi"/>
                <w:bCs/>
                <w:color w:val="000000"/>
                <w:szCs w:val="18"/>
                <w:lang w:eastAsia="en-AU"/>
              </w:rPr>
            </w:pPr>
            <w:r w:rsidRPr="00563A28">
              <w:rPr>
                <w:rFonts w:eastAsiaTheme="minorEastAsia" w:cstheme="majorHAnsi"/>
                <w:bCs/>
                <w:color w:val="000000"/>
                <w:szCs w:val="18"/>
                <w:lang w:eastAsia="en-AU"/>
              </w:rPr>
              <w:t>14 643</w:t>
            </w:r>
          </w:p>
        </w:tc>
        <w:tc>
          <w:tcPr>
            <w:tcW w:w="5216" w:type="dxa"/>
            <w:tcBorders>
              <w:top w:val="single" w:sz="6" w:space="0" w:color="000000"/>
              <w:bottom w:val="single" w:sz="12" w:space="0" w:color="000000"/>
            </w:tcBorders>
          </w:tcPr>
          <w:p w:rsidR="004B6846" w:rsidRPr="00563A28"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563A28">
              <w:rPr>
                <w:rFonts w:eastAsiaTheme="minorEastAsia" w:cstheme="majorHAnsi"/>
                <w:bCs/>
                <w:color w:val="000000"/>
                <w:szCs w:val="16"/>
                <w:lang w:eastAsia="en-AU"/>
              </w:rPr>
              <w:t>Total expenses</w:t>
            </w:r>
          </w:p>
        </w:tc>
        <w:tc>
          <w:tcPr>
            <w:tcW w:w="850" w:type="dxa"/>
            <w:tcBorders>
              <w:top w:val="single" w:sz="6" w:space="0" w:color="auto"/>
              <w:bottom w:val="single" w:sz="12" w:space="0" w:color="auto"/>
            </w:tcBorders>
          </w:tcPr>
          <w:p w:rsidR="004B6846" w:rsidRPr="00563A28"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63A28">
              <w:rPr>
                <w:rFonts w:eastAsiaTheme="minorEastAsia" w:cstheme="majorHAnsi"/>
                <w:bCs/>
                <w:color w:val="000000"/>
                <w:szCs w:val="18"/>
                <w:lang w:eastAsia="en-AU"/>
              </w:rPr>
              <w:t>15 757</w:t>
            </w:r>
          </w:p>
        </w:tc>
        <w:tc>
          <w:tcPr>
            <w:tcW w:w="850" w:type="dxa"/>
            <w:tcBorders>
              <w:top w:val="single" w:sz="6" w:space="0" w:color="auto"/>
              <w:bottom w:val="single" w:sz="12" w:space="0" w:color="auto"/>
            </w:tcBorders>
          </w:tcPr>
          <w:p w:rsidR="004B6846" w:rsidRPr="00563A28"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63A28">
              <w:rPr>
                <w:rFonts w:eastAsiaTheme="minorEastAsia" w:cstheme="majorHAnsi"/>
                <w:bCs/>
                <w:color w:val="000000"/>
                <w:szCs w:val="18"/>
                <w:lang w:eastAsia="en-AU"/>
              </w:rPr>
              <w:t>67 517</w:t>
            </w:r>
          </w:p>
        </w:tc>
      </w:tr>
    </w:tbl>
    <w:p w:rsidR="004B6846" w:rsidRDefault="004B6846" w:rsidP="00CC0EB7">
      <w:pPr>
        <w:pStyle w:val="Source"/>
      </w:pPr>
      <w:r w:rsidRPr="00D87D22">
        <w:t>Source: Department of Treasury and Finance</w:t>
      </w:r>
    </w:p>
    <w:p w:rsidR="004B6846" w:rsidRDefault="004B6846" w:rsidP="00CC0EB7">
      <w:pPr>
        <w:pStyle w:val="Note"/>
      </w:pPr>
      <w:r>
        <w:t>Note:</w:t>
      </w:r>
    </w:p>
    <w:p w:rsidR="004B6846" w:rsidRDefault="004B6846" w:rsidP="00CC0EB7">
      <w:pPr>
        <w:pStyle w:val="Note"/>
      </w:pPr>
      <w:r w:rsidRPr="00232500">
        <w:t>(a)</w:t>
      </w:r>
      <w:r w:rsidRPr="00232500">
        <w:tab/>
        <w:t>Other general government sector agencies</w:t>
      </w:r>
      <w:r>
        <w:t>, which receive less than 50 per cent of their revenue from appropriations and therefore are</w:t>
      </w:r>
      <w:r w:rsidRPr="00232500">
        <w:t xml:space="preserve"> not alloc</w:t>
      </w:r>
      <w:r>
        <w:t>ated to departments.</w:t>
      </w:r>
    </w:p>
    <w:p w:rsidR="004B6846" w:rsidRDefault="004B6846" w:rsidP="00CC0EB7">
      <w:pPr>
        <w:pStyle w:val="Heading2"/>
      </w:pPr>
      <w:r>
        <w:lastRenderedPageBreak/>
        <w:t>Purchases of non-financial assets by portfolio department</w:t>
      </w:r>
    </w:p>
    <w:p w:rsidR="004B6846" w:rsidRPr="00531141" w:rsidRDefault="004B6846" w:rsidP="00CC0EB7">
      <w:pPr>
        <w:pStyle w:val="TableUnits"/>
        <w:rPr>
          <w:bCs/>
          <w:lang w:val="en-US"/>
        </w:rPr>
      </w:pPr>
      <w:r>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5216"/>
        <w:gridCol w:w="850"/>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autoSpaceDE w:val="0"/>
              <w:autoSpaceDN w:val="0"/>
              <w:adjustRightInd w:val="0"/>
              <w:jc w:val="right"/>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2017-18 </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 </w:t>
            </w:r>
          </w:p>
        </w:tc>
        <w:tc>
          <w:tcPr>
            <w:tcW w:w="1700" w:type="dxa"/>
            <w:gridSpan w:val="2"/>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2018-19 </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actual </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actual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revised</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6"/>
                <w:lang w:eastAsia="en-AU"/>
              </w:rPr>
            </w:pPr>
            <w:r w:rsidRPr="00531141">
              <w:rPr>
                <w:rFonts w:eastAsiaTheme="minorEastAsia" w:cstheme="majorHAnsi"/>
                <w:iCs/>
                <w:color w:val="FFFFFF"/>
                <w:szCs w:val="16"/>
                <w:lang w:eastAsia="en-AU"/>
              </w:rPr>
              <w:t>30 Sep</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30 Sep</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1 220</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Economic Development, Jobs, Transport and Resources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1 352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6 185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270</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Education and Training</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378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1 660</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30</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Environment, Land, Water and Planning</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181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187</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Health and Human Services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125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1 351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74</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Justice and Regulation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177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782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Premier and Cabinet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11</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Treasury and Finance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43</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10</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Parliament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10</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11</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Courts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120</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6" w:space="0" w:color="auto"/>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44</w:t>
            </w:r>
          </w:p>
        </w:tc>
        <w:tc>
          <w:tcPr>
            <w:tcW w:w="5216" w:type="dxa"/>
            <w:tcBorders>
              <w:top w:val="nil"/>
              <w:left w:val="nil"/>
              <w:bottom w:val="single" w:sz="6" w:space="0" w:color="auto"/>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 xml:space="preserve">Regulatory bodies and other part funded agencies </w:t>
            </w:r>
            <w:r w:rsidRPr="00531141">
              <w:rPr>
                <w:rFonts w:eastAsiaTheme="minorEastAsia" w:cstheme="majorHAnsi"/>
                <w:color w:val="000000"/>
                <w:szCs w:val="16"/>
                <w:vertAlign w:val="superscript"/>
                <w:lang w:eastAsia="en-AU"/>
              </w:rPr>
              <w:t>(a)</w:t>
            </w:r>
          </w:p>
        </w:tc>
        <w:tc>
          <w:tcPr>
            <w:tcW w:w="850" w:type="dxa"/>
            <w:tcBorders>
              <w:top w:val="nil"/>
              <w:left w:val="nil"/>
              <w:bottom w:val="single" w:sz="6" w:space="0" w:color="auto"/>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46</w:t>
            </w:r>
          </w:p>
        </w:tc>
        <w:tc>
          <w:tcPr>
            <w:tcW w:w="850" w:type="dxa"/>
            <w:tcBorders>
              <w:top w:val="nil"/>
              <w:left w:val="nil"/>
              <w:bottom w:val="single" w:sz="6" w:space="0" w:color="auto"/>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288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1 858</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b/>
                <w:bCs/>
                <w:color w:val="000000"/>
                <w:szCs w:val="16"/>
                <w:lang w:eastAsia="en-AU"/>
              </w:rPr>
              <w:t>Total purchases of non-financial assets by department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2 113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10 672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22</w:t>
            </w:r>
          </w:p>
        </w:tc>
        <w:tc>
          <w:tcPr>
            <w:tcW w:w="5216" w:type="dxa"/>
            <w:tcBorders>
              <w:top w:val="nil"/>
              <w:left w:val="nil"/>
              <w:bottom w:val="nil"/>
              <w:right w:val="nil"/>
            </w:tcBorders>
          </w:tcPr>
          <w:p w:rsidR="004B6846" w:rsidRPr="0029720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i/>
                <w:iCs/>
                <w:color w:val="000000"/>
                <w:szCs w:val="16"/>
                <w:lang w:eastAsia="en-AU"/>
              </w:rPr>
            </w:pPr>
            <w:r w:rsidRPr="00297201">
              <w:rPr>
                <w:rFonts w:eastAsiaTheme="minorEastAsia" w:cstheme="majorHAnsi"/>
                <w:i/>
                <w:iCs/>
                <w:color w:val="000000"/>
                <w:szCs w:val="16"/>
                <w:lang w:eastAsia="en-AU"/>
              </w:rPr>
              <w:t xml:space="preserve">Eliminations and adjustments </w:t>
            </w:r>
            <w:r w:rsidRPr="00297201">
              <w:rPr>
                <w:rFonts w:eastAsiaTheme="minorEastAsia" w:cstheme="majorHAnsi"/>
                <w:i/>
                <w:iCs/>
                <w:color w:val="000000"/>
                <w:szCs w:val="16"/>
                <w:vertAlign w:val="superscript"/>
                <w:lang w:eastAsia="en-AU"/>
              </w:rPr>
              <w:t>(b)</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(1 311)</w:t>
            </w:r>
          </w:p>
        </w:tc>
      </w:tr>
      <w:tr w:rsidR="004B6846" w:rsidRPr="0053114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auto"/>
              <w:bottom w:val="single" w:sz="12" w:space="0" w:color="auto"/>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1 881</w:t>
            </w:r>
          </w:p>
        </w:tc>
        <w:tc>
          <w:tcPr>
            <w:tcW w:w="5216" w:type="dxa"/>
            <w:tcBorders>
              <w:top w:val="single" w:sz="6" w:space="0" w:color="auto"/>
              <w:bottom w:val="single" w:sz="12" w:space="0" w:color="auto"/>
            </w:tcBorders>
          </w:tcPr>
          <w:p w:rsidR="004B6846" w:rsidRPr="00531141"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531141">
              <w:rPr>
                <w:rFonts w:eastAsiaTheme="minorEastAsia" w:cstheme="majorHAnsi"/>
                <w:bCs/>
                <w:color w:val="000000"/>
                <w:szCs w:val="16"/>
                <w:lang w:eastAsia="en-AU"/>
              </w:rPr>
              <w:t>Total purchases of non-financial assets</w:t>
            </w:r>
          </w:p>
        </w:tc>
        <w:tc>
          <w:tcPr>
            <w:tcW w:w="850" w:type="dxa"/>
            <w:tcBorders>
              <w:top w:val="single" w:sz="6" w:space="0" w:color="auto"/>
              <w:bottom w:val="single" w:sz="12" w:space="0" w:color="auto"/>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2 139</w:t>
            </w:r>
          </w:p>
        </w:tc>
        <w:tc>
          <w:tcPr>
            <w:tcW w:w="850" w:type="dxa"/>
            <w:tcBorders>
              <w:top w:val="single" w:sz="6" w:space="0" w:color="auto"/>
              <w:bottom w:val="single" w:sz="12" w:space="0" w:color="auto"/>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9 361</w:t>
            </w:r>
          </w:p>
        </w:tc>
      </w:tr>
    </w:tbl>
    <w:p w:rsidR="004B6846" w:rsidRDefault="004B6846" w:rsidP="00CC0EB7">
      <w:pPr>
        <w:pStyle w:val="Source"/>
      </w:pPr>
      <w:r w:rsidRPr="00D87D22">
        <w:t>Source: Department of Treasury and Finance</w:t>
      </w:r>
    </w:p>
    <w:p w:rsidR="004B6846" w:rsidRDefault="004B6846" w:rsidP="00CC0EB7">
      <w:pPr>
        <w:pStyle w:val="Note"/>
      </w:pPr>
      <w:r>
        <w:t>Notes:</w:t>
      </w:r>
    </w:p>
    <w:p w:rsidR="004B6846" w:rsidRDefault="004B6846" w:rsidP="00CC0EB7">
      <w:pPr>
        <w:pStyle w:val="Note"/>
      </w:pPr>
      <w:r w:rsidRPr="00232500">
        <w:t>(a)</w:t>
      </w:r>
      <w:r w:rsidRPr="00232500">
        <w:tab/>
        <w:t>Other general government sector agencies</w:t>
      </w:r>
      <w:r>
        <w:t>, which receive less than 50 per cent of their revenue from appropriations and therefore are</w:t>
      </w:r>
      <w:r w:rsidRPr="00232500">
        <w:t xml:space="preserve"> not alloc</w:t>
      </w:r>
      <w:r>
        <w:t>ated to departments.</w:t>
      </w:r>
    </w:p>
    <w:p w:rsidR="004B6846" w:rsidRPr="00D106C3" w:rsidRDefault="004B6846" w:rsidP="00CC0EB7">
      <w:pPr>
        <w:pStyle w:val="Note"/>
      </w:pPr>
      <w:r>
        <w:t>(b)</w:t>
      </w:r>
      <w:r>
        <w:tab/>
        <w:t>Budget includes contingencies not allocated to departments and estimated departmental underspend.</w:t>
      </w:r>
    </w:p>
    <w:p w:rsidR="004B6846" w:rsidRDefault="004B6846" w:rsidP="00CC0EB7"/>
    <w:p w:rsidR="004B6846" w:rsidRDefault="004B6846" w:rsidP="00CC0EB7">
      <w:pPr>
        <w:pStyle w:val="Heading2"/>
      </w:pPr>
      <w:r>
        <w:t>Net acquisition of non-financial assets from transactions</w:t>
      </w:r>
    </w:p>
    <w:p w:rsidR="004B6846" w:rsidRPr="00531141" w:rsidRDefault="004B6846" w:rsidP="00CC0EB7">
      <w:pPr>
        <w:pStyle w:val="TableUnits"/>
        <w:rPr>
          <w:bCs/>
          <w:lang w:val="en-US"/>
        </w:rPr>
      </w:pPr>
      <w:r>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5216"/>
        <w:gridCol w:w="850"/>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2017-18</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1700" w:type="dxa"/>
            <w:gridSpan w:val="2"/>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szCs w:val="18"/>
                <w:lang w:eastAsia="en-AU"/>
              </w:rPr>
              <w:t>2018-19</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revised</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1 884</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Purchases of non-financial assets (including change in inventories)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2 138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9 366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(45)</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Less: Sales of non-financial assets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(365)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(655)</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Less: Depreciation and amortisation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(680)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(2 921)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(901)</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Plus/(less): Other movements in non-financial assets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(723)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(4 053)</w:t>
            </w:r>
          </w:p>
        </w:tc>
      </w:tr>
      <w:tr w:rsidR="004B6846" w:rsidRPr="0053114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jc w:val="right"/>
              <w:rPr>
                <w:rFonts w:eastAsiaTheme="minorEastAsia" w:cstheme="majorHAnsi"/>
                <w:bCs/>
                <w:color w:val="000000"/>
                <w:szCs w:val="18"/>
                <w:lang w:eastAsia="en-AU"/>
              </w:rPr>
            </w:pPr>
            <w:r>
              <w:rPr>
                <w:rFonts w:eastAsiaTheme="minorEastAsia" w:cstheme="majorHAnsi"/>
                <w:bCs/>
                <w:color w:val="000000"/>
                <w:szCs w:val="18"/>
                <w:lang w:eastAsia="en-AU"/>
              </w:rPr>
              <w:t>283</w:t>
            </w:r>
          </w:p>
        </w:tc>
        <w:tc>
          <w:tcPr>
            <w:tcW w:w="5216"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Total net acquisition of non-financial assets from transactions</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690</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2 027</w:t>
            </w:r>
          </w:p>
        </w:tc>
      </w:tr>
    </w:tbl>
    <w:p w:rsidR="004B6846" w:rsidRDefault="004B6846" w:rsidP="00CC0EB7">
      <w:pPr>
        <w:pStyle w:val="Source"/>
      </w:pPr>
      <w:r w:rsidRPr="00D87D22">
        <w:t>Source: Department of Treasury and Finance</w:t>
      </w:r>
    </w:p>
    <w:p w:rsidR="004B6846" w:rsidRDefault="004B6846" w:rsidP="00CC0EB7"/>
    <w:p w:rsidR="004B6846" w:rsidRDefault="004B6846" w:rsidP="00CC0EB7"/>
    <w:p w:rsidR="004B6846" w:rsidRDefault="004B6846">
      <w:pPr>
        <w:keepLines w:val="0"/>
        <w:rPr>
          <w:rFonts w:asciiTheme="majorHAnsi" w:eastAsiaTheme="majorEastAsia" w:hAnsiTheme="majorHAnsi" w:cstheme="majorBidi"/>
          <w:b/>
          <w:bCs/>
          <w:caps/>
          <w:spacing w:val="-2"/>
          <w:sz w:val="26"/>
          <w:szCs w:val="28"/>
        </w:rPr>
      </w:pPr>
      <w:r>
        <w:br w:type="page"/>
      </w:r>
    </w:p>
    <w:p w:rsidR="004B6846" w:rsidRDefault="004B6846" w:rsidP="00CB74DA">
      <w:pPr>
        <w:pStyle w:val="Heading1-AppendixE0"/>
      </w:pPr>
      <w:r>
        <w:lastRenderedPageBreak/>
        <w:t>MAJOR ASSETS AND INVESTMENTS</w:t>
      </w:r>
    </w:p>
    <w:p w:rsidR="004B6846" w:rsidRDefault="004B6846" w:rsidP="00CC0EB7">
      <w:pPr>
        <w:pStyle w:val="Heading20"/>
      </w:pPr>
      <w:r>
        <w:t>Introduction</w:t>
      </w:r>
    </w:p>
    <w:p w:rsidR="004B6846" w:rsidRDefault="004B6846" w:rsidP="00CC0EB7">
      <w:r>
        <w:t>This section outlines those assets the general government sector controls, reflecting investing activities in the current period and prior years.</w:t>
      </w:r>
    </w:p>
    <w:p w:rsidR="004B6846" w:rsidRDefault="004B6846" w:rsidP="00CC0EB7">
      <w:pPr>
        <w:pStyle w:val="Heading2"/>
      </w:pPr>
      <w:r>
        <w:t>Total land, buildings, infrastructure, plant and equipment</w:t>
      </w:r>
    </w:p>
    <w:p w:rsidR="004B6846" w:rsidRPr="00531141" w:rsidRDefault="004B6846" w:rsidP="00CC0EB7">
      <w:pPr>
        <w:pStyle w:val="TableUnits"/>
        <w:rPr>
          <w:bCs/>
          <w:lang w:val="en-US"/>
        </w:rPr>
      </w:pPr>
      <w:r>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850"/>
        <w:gridCol w:w="4365"/>
        <w:gridCol w:w="850"/>
        <w:gridCol w:w="850"/>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 xml:space="preserve">2017-18 </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 xml:space="preserve">2018-19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opening</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revised</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1 Jul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28 152</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 xml:space="preserve">Buildings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30 232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30 150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31 631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4 657</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Leased buildings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5 600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5 568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5 462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50 556</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Land and national parks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58 442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58 496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58 902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1 369</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Infrastructure systems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1 353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1 308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1 407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2 363</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Plant, equipment and vehicles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2 538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2 819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2 584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179</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Leased plant, equipment and vehicles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240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274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224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20 596</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Roads and road infrastructure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21 496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21 561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22 015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563</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Leased roads and road infrastructure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556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554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579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7 961</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Earthworks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8 039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8 039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8 279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5 622</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Cultural assets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5 646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5 644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5 639</w:t>
            </w:r>
          </w:p>
        </w:tc>
      </w:tr>
      <w:tr w:rsidR="004B6846" w:rsidRPr="0053114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jc w:val="right"/>
              <w:rPr>
                <w:rFonts w:eastAsiaTheme="minorEastAsia" w:cstheme="majorHAnsi"/>
                <w:bCs/>
                <w:color w:val="000000"/>
                <w:szCs w:val="18"/>
                <w:lang w:eastAsia="en-AU"/>
              </w:rPr>
            </w:pPr>
            <w:r w:rsidRPr="00531141">
              <w:rPr>
                <w:rFonts w:eastAsiaTheme="minorEastAsia" w:cstheme="majorHAnsi"/>
                <w:bCs/>
                <w:color w:val="000000"/>
                <w:szCs w:val="18"/>
                <w:lang w:eastAsia="en-AU"/>
              </w:rPr>
              <w:t>122 018</w:t>
            </w:r>
          </w:p>
        </w:tc>
        <w:tc>
          <w:tcPr>
            <w:tcW w:w="4365"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Total land, buildings, infrastructure, plant and equipment</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134 141</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134 414</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136 721</w:t>
            </w:r>
          </w:p>
        </w:tc>
      </w:tr>
    </w:tbl>
    <w:p w:rsidR="004B6846" w:rsidRDefault="004B6846" w:rsidP="00CC0EB7">
      <w:pPr>
        <w:pStyle w:val="Source"/>
      </w:pPr>
      <w:r w:rsidRPr="00D87D22">
        <w:t>Source: Department of Treasury and Finance</w:t>
      </w:r>
    </w:p>
    <w:p w:rsidR="004B6846" w:rsidRDefault="004B6846" w:rsidP="00CC0EB7"/>
    <w:p w:rsidR="004B6846" w:rsidRDefault="004B6846" w:rsidP="00CC0EB7">
      <w:pPr>
        <w:pStyle w:val="Heading2"/>
      </w:pPr>
      <w:r>
        <w:t>Depreciation</w:t>
      </w:r>
    </w:p>
    <w:p w:rsidR="004B6846" w:rsidRPr="007B0D98" w:rsidRDefault="004B6846" w:rsidP="00CC0EB7">
      <w:pPr>
        <w:pStyle w:val="TableUnits"/>
        <w:rPr>
          <w:bCs/>
          <w:lang w:val="en-US"/>
        </w:rPr>
      </w:pPr>
      <w:r>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5216"/>
        <w:gridCol w:w="850"/>
        <w:gridCol w:w="850"/>
      </w:tblGrid>
      <w:tr w:rsidR="004B6846" w:rsidRPr="007B0D98"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7B0D98" w:rsidRDefault="004B6846" w:rsidP="00CC0EB7">
            <w:pPr>
              <w:autoSpaceDE w:val="0"/>
              <w:autoSpaceDN w:val="0"/>
              <w:adjustRightInd w:val="0"/>
              <w:jc w:val="right"/>
              <w:rPr>
                <w:rFonts w:eastAsiaTheme="minorEastAsia" w:cstheme="majorHAnsi"/>
                <w:iCs/>
                <w:color w:val="FFFFFF"/>
                <w:szCs w:val="18"/>
                <w:lang w:eastAsia="en-AU"/>
              </w:rPr>
            </w:pPr>
            <w:r w:rsidRPr="007B0D98">
              <w:rPr>
                <w:rFonts w:eastAsiaTheme="minorEastAsia" w:cstheme="majorHAnsi"/>
                <w:iCs/>
                <w:color w:val="FFFFFF"/>
                <w:szCs w:val="18"/>
                <w:lang w:eastAsia="en-AU"/>
              </w:rPr>
              <w:t>2017-18</w:t>
            </w:r>
          </w:p>
        </w:tc>
        <w:tc>
          <w:tcPr>
            <w:tcW w:w="5216" w:type="dxa"/>
            <w:tcBorders>
              <w:top w:val="nil"/>
              <w:left w:val="nil"/>
              <w:bottom w:val="nil"/>
              <w:right w:val="nil"/>
            </w:tcBorders>
            <w:shd w:val="solid" w:color="000000" w:fill="auto"/>
          </w:tcPr>
          <w:p w:rsidR="004B6846" w:rsidRPr="007B0D98"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7B0D98">
              <w:rPr>
                <w:rFonts w:eastAsiaTheme="minorEastAsia" w:cstheme="majorHAnsi"/>
                <w:iCs/>
                <w:color w:val="FFFFFF"/>
                <w:lang w:eastAsia="en-AU"/>
              </w:rPr>
              <w:t xml:space="preserve"> </w:t>
            </w:r>
          </w:p>
        </w:tc>
        <w:tc>
          <w:tcPr>
            <w:tcW w:w="1700" w:type="dxa"/>
            <w:gridSpan w:val="2"/>
            <w:tcBorders>
              <w:top w:val="nil"/>
              <w:left w:val="nil"/>
              <w:bottom w:val="nil"/>
              <w:right w:val="nil"/>
            </w:tcBorders>
            <w:shd w:val="solid" w:color="000000" w:fill="auto"/>
          </w:tcPr>
          <w:p w:rsidR="004B6846" w:rsidRPr="007B0D98"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7B0D98">
              <w:rPr>
                <w:rFonts w:eastAsiaTheme="minorEastAsia" w:cstheme="majorHAnsi"/>
                <w:iCs/>
                <w:color w:val="FFFFFF"/>
                <w:szCs w:val="18"/>
                <w:lang w:eastAsia="en-AU"/>
              </w:rPr>
              <w:t xml:space="preserve">2018-19 </w:t>
            </w:r>
          </w:p>
        </w:tc>
      </w:tr>
      <w:tr w:rsidR="004B6846" w:rsidRPr="007B0D98"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7B0D98" w:rsidRDefault="004B6846" w:rsidP="00CC0EB7">
            <w:pPr>
              <w:keepLines w:val="0"/>
              <w:autoSpaceDE w:val="0"/>
              <w:autoSpaceDN w:val="0"/>
              <w:adjustRightInd w:val="0"/>
              <w:jc w:val="right"/>
              <w:rPr>
                <w:rFonts w:eastAsiaTheme="minorEastAsia" w:cstheme="majorHAnsi"/>
                <w:iCs/>
                <w:color w:val="FFFFFF"/>
                <w:szCs w:val="18"/>
                <w:lang w:eastAsia="en-AU"/>
              </w:rPr>
            </w:pPr>
            <w:r w:rsidRPr="007B0D98">
              <w:rPr>
                <w:rFonts w:eastAsiaTheme="minorEastAsia" w:cstheme="majorHAnsi"/>
                <w:iCs/>
                <w:color w:val="FFFFFF"/>
                <w:szCs w:val="18"/>
                <w:lang w:eastAsia="en-AU"/>
              </w:rPr>
              <w:t>actual</w:t>
            </w:r>
          </w:p>
        </w:tc>
        <w:tc>
          <w:tcPr>
            <w:tcW w:w="5216" w:type="dxa"/>
            <w:tcBorders>
              <w:top w:val="nil"/>
              <w:left w:val="nil"/>
              <w:bottom w:val="nil"/>
              <w:right w:val="nil"/>
            </w:tcBorders>
            <w:shd w:val="solid" w:color="000000" w:fill="auto"/>
          </w:tcPr>
          <w:p w:rsidR="004B6846" w:rsidRPr="007B0D98"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7B0D98">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7B0D98"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7B0D98">
              <w:rPr>
                <w:rFonts w:eastAsiaTheme="minorEastAsia" w:cstheme="majorHAnsi"/>
                <w:iCs/>
                <w:color w:val="FFFFFF"/>
                <w:szCs w:val="18"/>
                <w:lang w:eastAsia="en-AU"/>
              </w:rPr>
              <w:t>actual</w:t>
            </w:r>
          </w:p>
        </w:tc>
        <w:tc>
          <w:tcPr>
            <w:tcW w:w="850" w:type="dxa"/>
            <w:tcBorders>
              <w:top w:val="nil"/>
              <w:left w:val="nil"/>
              <w:bottom w:val="nil"/>
              <w:right w:val="nil"/>
            </w:tcBorders>
            <w:shd w:val="solid" w:color="000000" w:fill="auto"/>
          </w:tcPr>
          <w:p w:rsidR="004B6846" w:rsidRPr="007B0D98"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7B0D98">
              <w:rPr>
                <w:rFonts w:eastAsiaTheme="minorEastAsia" w:cstheme="majorHAnsi"/>
                <w:iCs/>
                <w:color w:val="FFFFFF"/>
                <w:szCs w:val="18"/>
                <w:lang w:eastAsia="en-AU"/>
              </w:rPr>
              <w:t>revised</w:t>
            </w:r>
          </w:p>
        </w:tc>
      </w:tr>
      <w:tr w:rsidR="004B6846" w:rsidRPr="007B0D98"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7B0D98" w:rsidRDefault="004B6846" w:rsidP="00CC0EB7">
            <w:pPr>
              <w:keepLines w:val="0"/>
              <w:autoSpaceDE w:val="0"/>
              <w:autoSpaceDN w:val="0"/>
              <w:adjustRightInd w:val="0"/>
              <w:jc w:val="right"/>
              <w:rPr>
                <w:rFonts w:eastAsiaTheme="minorEastAsia" w:cstheme="majorHAnsi"/>
                <w:iCs/>
                <w:color w:val="FFFFFF"/>
                <w:szCs w:val="18"/>
                <w:lang w:eastAsia="en-AU"/>
              </w:rPr>
            </w:pPr>
            <w:r w:rsidRPr="007B0D98">
              <w:rPr>
                <w:rFonts w:eastAsiaTheme="minorEastAsia" w:cstheme="majorHAnsi"/>
                <w:iCs/>
                <w:color w:val="FFFFFF"/>
                <w:szCs w:val="18"/>
                <w:lang w:eastAsia="en-AU"/>
              </w:rPr>
              <w:t>30 Sep</w:t>
            </w:r>
          </w:p>
        </w:tc>
        <w:tc>
          <w:tcPr>
            <w:tcW w:w="5216" w:type="dxa"/>
            <w:tcBorders>
              <w:top w:val="nil"/>
              <w:left w:val="nil"/>
              <w:bottom w:val="nil"/>
              <w:right w:val="nil"/>
            </w:tcBorders>
            <w:shd w:val="solid" w:color="000000" w:fill="auto"/>
          </w:tcPr>
          <w:p w:rsidR="004B6846" w:rsidRPr="007B0D98"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7B0D98">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7B0D98"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7B0D98">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7B0D98"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7B0D98">
              <w:rPr>
                <w:rFonts w:eastAsiaTheme="minorEastAsia" w:cstheme="majorHAnsi"/>
                <w:iCs/>
                <w:color w:val="FFFFFF"/>
                <w:szCs w:val="18"/>
                <w:lang w:eastAsia="en-AU"/>
              </w:rPr>
              <w:t>budget</w:t>
            </w:r>
          </w:p>
        </w:tc>
      </w:tr>
      <w:tr w:rsidR="004B6846" w:rsidRPr="007B0D9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7B0D9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283</w:t>
            </w:r>
          </w:p>
        </w:tc>
        <w:tc>
          <w:tcPr>
            <w:tcW w:w="5216" w:type="dxa"/>
            <w:tcBorders>
              <w:top w:val="nil"/>
              <w:left w:val="nil"/>
              <w:bottom w:val="nil"/>
              <w:right w:val="nil"/>
            </w:tcBorders>
          </w:tcPr>
          <w:p w:rsidR="004B6846" w:rsidRPr="007B0D9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7B0D98">
              <w:rPr>
                <w:rFonts w:eastAsiaTheme="minorEastAsia" w:cstheme="majorHAnsi"/>
                <w:color w:val="000000"/>
                <w:szCs w:val="18"/>
                <w:lang w:eastAsia="en-AU"/>
              </w:rPr>
              <w:t>Buildings</w:t>
            </w:r>
          </w:p>
        </w:tc>
        <w:tc>
          <w:tcPr>
            <w:tcW w:w="850" w:type="dxa"/>
            <w:tcBorders>
              <w:top w:val="nil"/>
              <w:left w:val="nil"/>
              <w:bottom w:val="nil"/>
              <w:right w:val="nil"/>
            </w:tcBorders>
          </w:tcPr>
          <w:p w:rsidR="004B6846" w:rsidRPr="007B0D9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290</w:t>
            </w:r>
          </w:p>
        </w:tc>
        <w:tc>
          <w:tcPr>
            <w:tcW w:w="850" w:type="dxa"/>
            <w:tcBorders>
              <w:top w:val="nil"/>
              <w:left w:val="nil"/>
              <w:bottom w:val="nil"/>
              <w:right w:val="nil"/>
            </w:tcBorders>
          </w:tcPr>
          <w:p w:rsidR="004B6846" w:rsidRPr="007B0D9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7B0D98">
              <w:rPr>
                <w:rFonts w:eastAsiaTheme="minorEastAsia" w:cstheme="majorHAnsi"/>
                <w:color w:val="000000"/>
                <w:szCs w:val="18"/>
                <w:lang w:eastAsia="en-AU"/>
              </w:rPr>
              <w:t>1 236</w:t>
            </w:r>
          </w:p>
        </w:tc>
      </w:tr>
      <w:tr w:rsidR="004B6846" w:rsidRPr="007B0D9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7B0D9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40</w:t>
            </w:r>
          </w:p>
        </w:tc>
        <w:tc>
          <w:tcPr>
            <w:tcW w:w="5216" w:type="dxa"/>
            <w:tcBorders>
              <w:top w:val="nil"/>
              <w:left w:val="nil"/>
              <w:bottom w:val="nil"/>
              <w:right w:val="nil"/>
            </w:tcBorders>
          </w:tcPr>
          <w:p w:rsidR="004B6846" w:rsidRPr="007B0D9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7B0D98">
              <w:rPr>
                <w:rFonts w:eastAsiaTheme="minorEastAsia" w:cstheme="majorHAnsi"/>
                <w:color w:val="000000"/>
                <w:szCs w:val="18"/>
                <w:lang w:eastAsia="en-AU"/>
              </w:rPr>
              <w:t>Leased buildings</w:t>
            </w:r>
          </w:p>
        </w:tc>
        <w:tc>
          <w:tcPr>
            <w:tcW w:w="850" w:type="dxa"/>
            <w:tcBorders>
              <w:top w:val="nil"/>
              <w:left w:val="nil"/>
              <w:bottom w:val="nil"/>
              <w:right w:val="nil"/>
            </w:tcBorders>
          </w:tcPr>
          <w:p w:rsidR="004B6846" w:rsidRPr="007B0D9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47</w:t>
            </w:r>
          </w:p>
        </w:tc>
        <w:tc>
          <w:tcPr>
            <w:tcW w:w="850" w:type="dxa"/>
            <w:tcBorders>
              <w:top w:val="nil"/>
              <w:left w:val="nil"/>
              <w:bottom w:val="nil"/>
              <w:right w:val="nil"/>
            </w:tcBorders>
          </w:tcPr>
          <w:p w:rsidR="004B6846" w:rsidRPr="007B0D9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195</w:t>
            </w:r>
          </w:p>
        </w:tc>
      </w:tr>
      <w:tr w:rsidR="004B6846" w:rsidRPr="007B0D9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7B0D9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8</w:t>
            </w:r>
          </w:p>
        </w:tc>
        <w:tc>
          <w:tcPr>
            <w:tcW w:w="5216" w:type="dxa"/>
            <w:tcBorders>
              <w:top w:val="nil"/>
              <w:left w:val="nil"/>
              <w:bottom w:val="nil"/>
              <w:right w:val="nil"/>
            </w:tcBorders>
          </w:tcPr>
          <w:p w:rsidR="004B6846" w:rsidRPr="007B0D9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7B0D98">
              <w:rPr>
                <w:rFonts w:eastAsiaTheme="minorEastAsia" w:cstheme="majorHAnsi"/>
                <w:color w:val="000000"/>
                <w:szCs w:val="18"/>
                <w:lang w:eastAsia="en-AU"/>
              </w:rPr>
              <w:t>Infrastructure systems</w:t>
            </w:r>
          </w:p>
        </w:tc>
        <w:tc>
          <w:tcPr>
            <w:tcW w:w="850" w:type="dxa"/>
            <w:tcBorders>
              <w:top w:val="nil"/>
              <w:left w:val="nil"/>
              <w:bottom w:val="nil"/>
              <w:right w:val="nil"/>
            </w:tcBorders>
          </w:tcPr>
          <w:p w:rsidR="004B6846" w:rsidRPr="007B0D9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w:t>
            </w:r>
          </w:p>
        </w:tc>
        <w:tc>
          <w:tcPr>
            <w:tcW w:w="850" w:type="dxa"/>
            <w:tcBorders>
              <w:top w:val="nil"/>
              <w:left w:val="nil"/>
              <w:bottom w:val="nil"/>
              <w:right w:val="nil"/>
            </w:tcBorders>
          </w:tcPr>
          <w:p w:rsidR="004B6846" w:rsidRPr="007B0D9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47</w:t>
            </w:r>
          </w:p>
        </w:tc>
      </w:tr>
      <w:tr w:rsidR="004B6846" w:rsidRPr="007B0D9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7B0D9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128</w:t>
            </w:r>
          </w:p>
        </w:tc>
        <w:tc>
          <w:tcPr>
            <w:tcW w:w="5216" w:type="dxa"/>
            <w:tcBorders>
              <w:top w:val="nil"/>
              <w:left w:val="nil"/>
              <w:bottom w:val="nil"/>
              <w:right w:val="nil"/>
            </w:tcBorders>
          </w:tcPr>
          <w:p w:rsidR="004B6846" w:rsidRPr="007B0D9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7B0D98">
              <w:rPr>
                <w:rFonts w:eastAsiaTheme="minorEastAsia" w:cstheme="majorHAnsi"/>
                <w:color w:val="000000"/>
                <w:szCs w:val="18"/>
                <w:lang w:eastAsia="en-AU"/>
              </w:rPr>
              <w:t>Plant, equipment and vehicles</w:t>
            </w:r>
          </w:p>
        </w:tc>
        <w:tc>
          <w:tcPr>
            <w:tcW w:w="850" w:type="dxa"/>
            <w:tcBorders>
              <w:top w:val="nil"/>
              <w:left w:val="nil"/>
              <w:bottom w:val="nil"/>
              <w:right w:val="nil"/>
            </w:tcBorders>
          </w:tcPr>
          <w:p w:rsidR="004B6846" w:rsidRPr="007B0D9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131</w:t>
            </w:r>
          </w:p>
        </w:tc>
        <w:tc>
          <w:tcPr>
            <w:tcW w:w="850" w:type="dxa"/>
            <w:tcBorders>
              <w:top w:val="nil"/>
              <w:left w:val="nil"/>
              <w:bottom w:val="nil"/>
              <w:right w:val="nil"/>
            </w:tcBorders>
          </w:tcPr>
          <w:p w:rsidR="004B6846" w:rsidRPr="007B0D9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619</w:t>
            </w:r>
          </w:p>
        </w:tc>
      </w:tr>
      <w:tr w:rsidR="004B6846" w:rsidRPr="007B0D9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7B0D9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7</w:t>
            </w:r>
          </w:p>
        </w:tc>
        <w:tc>
          <w:tcPr>
            <w:tcW w:w="5216" w:type="dxa"/>
            <w:tcBorders>
              <w:top w:val="nil"/>
              <w:left w:val="nil"/>
              <w:bottom w:val="nil"/>
              <w:right w:val="nil"/>
            </w:tcBorders>
          </w:tcPr>
          <w:p w:rsidR="004B6846" w:rsidRPr="007B0D9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7B0D98">
              <w:rPr>
                <w:rFonts w:eastAsiaTheme="minorEastAsia" w:cstheme="majorHAnsi"/>
                <w:color w:val="000000"/>
                <w:szCs w:val="18"/>
                <w:lang w:eastAsia="en-AU"/>
              </w:rPr>
              <w:t>Leased plant, equipment and vehicles</w:t>
            </w:r>
          </w:p>
        </w:tc>
        <w:tc>
          <w:tcPr>
            <w:tcW w:w="850" w:type="dxa"/>
            <w:tcBorders>
              <w:top w:val="nil"/>
              <w:left w:val="nil"/>
              <w:bottom w:val="nil"/>
              <w:right w:val="nil"/>
            </w:tcBorders>
          </w:tcPr>
          <w:p w:rsidR="004B6846" w:rsidRPr="007B0D9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w:t>
            </w:r>
          </w:p>
        </w:tc>
        <w:tc>
          <w:tcPr>
            <w:tcW w:w="850" w:type="dxa"/>
            <w:tcBorders>
              <w:top w:val="nil"/>
              <w:left w:val="nil"/>
              <w:bottom w:val="nil"/>
              <w:right w:val="nil"/>
            </w:tcBorders>
          </w:tcPr>
          <w:p w:rsidR="004B6846" w:rsidRPr="007B0D9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17</w:t>
            </w:r>
          </w:p>
        </w:tc>
      </w:tr>
      <w:tr w:rsidR="004B6846" w:rsidRPr="007B0D9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7B0D9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152</w:t>
            </w:r>
          </w:p>
        </w:tc>
        <w:tc>
          <w:tcPr>
            <w:tcW w:w="5216" w:type="dxa"/>
            <w:tcBorders>
              <w:top w:val="nil"/>
              <w:left w:val="nil"/>
              <w:bottom w:val="nil"/>
              <w:right w:val="nil"/>
            </w:tcBorders>
          </w:tcPr>
          <w:p w:rsidR="004B6846" w:rsidRPr="007B0D9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7B0D98">
              <w:rPr>
                <w:rFonts w:eastAsiaTheme="minorEastAsia" w:cstheme="majorHAnsi"/>
                <w:color w:val="000000"/>
                <w:szCs w:val="18"/>
                <w:lang w:eastAsia="en-AU"/>
              </w:rPr>
              <w:t>Roads and road infrastructure</w:t>
            </w:r>
          </w:p>
        </w:tc>
        <w:tc>
          <w:tcPr>
            <w:tcW w:w="850" w:type="dxa"/>
            <w:tcBorders>
              <w:top w:val="nil"/>
              <w:left w:val="nil"/>
              <w:bottom w:val="nil"/>
              <w:right w:val="nil"/>
            </w:tcBorders>
          </w:tcPr>
          <w:p w:rsidR="004B6846" w:rsidRPr="007B0D9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156</w:t>
            </w:r>
          </w:p>
        </w:tc>
        <w:tc>
          <w:tcPr>
            <w:tcW w:w="850" w:type="dxa"/>
            <w:tcBorders>
              <w:top w:val="nil"/>
              <w:left w:val="nil"/>
              <w:bottom w:val="nil"/>
              <w:right w:val="nil"/>
            </w:tcBorders>
          </w:tcPr>
          <w:p w:rsidR="004B6846" w:rsidRPr="007B0D9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623</w:t>
            </w:r>
          </w:p>
        </w:tc>
      </w:tr>
      <w:tr w:rsidR="004B6846" w:rsidRPr="007B0D9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7B0D9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2</w:t>
            </w:r>
          </w:p>
        </w:tc>
        <w:tc>
          <w:tcPr>
            <w:tcW w:w="5216" w:type="dxa"/>
            <w:tcBorders>
              <w:top w:val="nil"/>
              <w:left w:val="nil"/>
              <w:bottom w:val="nil"/>
              <w:right w:val="nil"/>
            </w:tcBorders>
          </w:tcPr>
          <w:p w:rsidR="004B6846" w:rsidRPr="007B0D9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7B0D98">
              <w:rPr>
                <w:rFonts w:eastAsiaTheme="minorEastAsia" w:cstheme="majorHAnsi"/>
                <w:color w:val="000000"/>
                <w:szCs w:val="18"/>
                <w:lang w:eastAsia="en-AU"/>
              </w:rPr>
              <w:t>Leased roads and road infrastructure</w:t>
            </w:r>
          </w:p>
        </w:tc>
        <w:tc>
          <w:tcPr>
            <w:tcW w:w="850" w:type="dxa"/>
            <w:tcBorders>
              <w:top w:val="nil"/>
              <w:left w:val="nil"/>
              <w:bottom w:val="nil"/>
              <w:right w:val="nil"/>
            </w:tcBorders>
          </w:tcPr>
          <w:p w:rsidR="004B6846" w:rsidRPr="007B0D9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w:t>
            </w:r>
          </w:p>
        </w:tc>
        <w:tc>
          <w:tcPr>
            <w:tcW w:w="850" w:type="dxa"/>
            <w:tcBorders>
              <w:top w:val="nil"/>
              <w:left w:val="nil"/>
              <w:bottom w:val="nil"/>
              <w:right w:val="nil"/>
            </w:tcBorders>
          </w:tcPr>
          <w:p w:rsidR="004B6846" w:rsidRPr="007B0D9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w:t>
            </w:r>
          </w:p>
        </w:tc>
      </w:tr>
      <w:tr w:rsidR="004B6846" w:rsidRPr="007B0D9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7B0D9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5</w:t>
            </w:r>
          </w:p>
        </w:tc>
        <w:tc>
          <w:tcPr>
            <w:tcW w:w="5216" w:type="dxa"/>
            <w:tcBorders>
              <w:top w:val="nil"/>
              <w:left w:val="nil"/>
              <w:bottom w:val="nil"/>
              <w:right w:val="nil"/>
            </w:tcBorders>
          </w:tcPr>
          <w:p w:rsidR="004B6846" w:rsidRPr="007B0D9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7B0D98">
              <w:rPr>
                <w:rFonts w:eastAsiaTheme="minorEastAsia" w:cstheme="majorHAnsi"/>
                <w:color w:val="000000"/>
                <w:szCs w:val="18"/>
                <w:lang w:eastAsia="en-AU"/>
              </w:rPr>
              <w:t>Cultural assets</w:t>
            </w:r>
          </w:p>
        </w:tc>
        <w:tc>
          <w:tcPr>
            <w:tcW w:w="850" w:type="dxa"/>
            <w:tcBorders>
              <w:top w:val="nil"/>
              <w:left w:val="nil"/>
              <w:bottom w:val="nil"/>
              <w:right w:val="nil"/>
            </w:tcBorders>
          </w:tcPr>
          <w:p w:rsidR="004B6846" w:rsidRPr="007B0D9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w:t>
            </w:r>
          </w:p>
        </w:tc>
        <w:tc>
          <w:tcPr>
            <w:tcW w:w="850" w:type="dxa"/>
            <w:tcBorders>
              <w:top w:val="nil"/>
              <w:left w:val="nil"/>
              <w:bottom w:val="nil"/>
              <w:right w:val="nil"/>
            </w:tcBorders>
          </w:tcPr>
          <w:p w:rsidR="004B6846" w:rsidRPr="007B0D9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26</w:t>
            </w:r>
          </w:p>
        </w:tc>
      </w:tr>
      <w:tr w:rsidR="004B6846" w:rsidRPr="007B0D98"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7B0D9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30</w:t>
            </w:r>
          </w:p>
        </w:tc>
        <w:tc>
          <w:tcPr>
            <w:tcW w:w="5216" w:type="dxa"/>
            <w:tcBorders>
              <w:top w:val="nil"/>
              <w:left w:val="nil"/>
              <w:bottom w:val="nil"/>
              <w:right w:val="nil"/>
            </w:tcBorders>
          </w:tcPr>
          <w:p w:rsidR="004B6846" w:rsidRPr="007B0D98"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7B0D98">
              <w:rPr>
                <w:rFonts w:eastAsiaTheme="minorEastAsia" w:cstheme="majorHAnsi"/>
                <w:color w:val="000000"/>
                <w:szCs w:val="18"/>
                <w:lang w:eastAsia="en-AU"/>
              </w:rPr>
              <w:t xml:space="preserve">Intangible produced assets </w:t>
            </w:r>
            <w:r w:rsidRPr="007B0D98">
              <w:rPr>
                <w:rFonts w:eastAsiaTheme="minorEastAsia" w:cstheme="majorHAnsi"/>
                <w:color w:val="000000"/>
                <w:szCs w:val="18"/>
                <w:vertAlign w:val="superscript"/>
                <w:lang w:eastAsia="en-AU"/>
              </w:rPr>
              <w:t>(a)</w:t>
            </w:r>
          </w:p>
        </w:tc>
        <w:tc>
          <w:tcPr>
            <w:tcW w:w="850" w:type="dxa"/>
            <w:tcBorders>
              <w:top w:val="nil"/>
              <w:left w:val="nil"/>
              <w:bottom w:val="nil"/>
              <w:right w:val="nil"/>
            </w:tcBorders>
          </w:tcPr>
          <w:p w:rsidR="004B6846" w:rsidRPr="007B0D9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33</w:t>
            </w:r>
          </w:p>
        </w:tc>
        <w:tc>
          <w:tcPr>
            <w:tcW w:w="850" w:type="dxa"/>
            <w:tcBorders>
              <w:top w:val="nil"/>
              <w:left w:val="nil"/>
              <w:bottom w:val="nil"/>
              <w:right w:val="nil"/>
            </w:tcBorders>
          </w:tcPr>
          <w:p w:rsidR="004B6846" w:rsidRPr="007B0D98"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148</w:t>
            </w:r>
          </w:p>
        </w:tc>
      </w:tr>
      <w:tr w:rsidR="004B6846" w:rsidRPr="007B0D98"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7B0D98"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bCs/>
                <w:color w:val="000000"/>
                <w:szCs w:val="18"/>
                <w:lang w:eastAsia="en-AU"/>
              </w:rPr>
              <w:t>655</w:t>
            </w:r>
          </w:p>
        </w:tc>
        <w:tc>
          <w:tcPr>
            <w:tcW w:w="5216" w:type="dxa"/>
            <w:tcBorders>
              <w:top w:val="single" w:sz="6" w:space="0" w:color="000000"/>
              <w:bottom w:val="single" w:sz="12" w:space="0" w:color="000000"/>
            </w:tcBorders>
          </w:tcPr>
          <w:p w:rsidR="004B6846" w:rsidRPr="007B0D98"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7B0D98">
              <w:rPr>
                <w:rFonts w:eastAsiaTheme="minorEastAsia" w:cstheme="majorHAnsi"/>
                <w:bCs/>
                <w:color w:val="000000"/>
                <w:szCs w:val="18"/>
                <w:lang w:eastAsia="en-AU"/>
              </w:rPr>
              <w:t>Total depreciation</w:t>
            </w:r>
          </w:p>
        </w:tc>
        <w:tc>
          <w:tcPr>
            <w:tcW w:w="850" w:type="dxa"/>
            <w:tcBorders>
              <w:top w:val="single" w:sz="6" w:space="0" w:color="000000"/>
              <w:bottom w:val="single" w:sz="12" w:space="0" w:color="000000"/>
            </w:tcBorders>
          </w:tcPr>
          <w:p w:rsidR="004B6846" w:rsidRPr="007B0D98"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bCs/>
                <w:color w:val="000000"/>
                <w:szCs w:val="18"/>
                <w:lang w:eastAsia="en-AU"/>
              </w:rPr>
              <w:t>680</w:t>
            </w:r>
          </w:p>
        </w:tc>
        <w:tc>
          <w:tcPr>
            <w:tcW w:w="850" w:type="dxa"/>
            <w:tcBorders>
              <w:top w:val="single" w:sz="6" w:space="0" w:color="000000"/>
              <w:bottom w:val="single" w:sz="12" w:space="0" w:color="000000"/>
            </w:tcBorders>
          </w:tcPr>
          <w:p w:rsidR="004B6846" w:rsidRPr="007B0D98"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7B0D98">
              <w:rPr>
                <w:rFonts w:eastAsiaTheme="minorEastAsia" w:cstheme="majorHAnsi"/>
                <w:bCs/>
                <w:color w:val="000000"/>
                <w:szCs w:val="18"/>
                <w:lang w:eastAsia="en-AU"/>
              </w:rPr>
              <w:t>2 921</w:t>
            </w:r>
          </w:p>
        </w:tc>
      </w:tr>
    </w:tbl>
    <w:p w:rsidR="004B6846" w:rsidRDefault="004B6846" w:rsidP="00CC0EB7">
      <w:pPr>
        <w:pStyle w:val="Source"/>
      </w:pPr>
      <w:r w:rsidRPr="00D87D22">
        <w:t>Source: Department of Treasury and Finance</w:t>
      </w:r>
    </w:p>
    <w:p w:rsidR="004B6846" w:rsidRDefault="004B6846" w:rsidP="00CC0EB7">
      <w:pPr>
        <w:pStyle w:val="Note"/>
      </w:pPr>
      <w:r>
        <w:t>Note:</w:t>
      </w:r>
    </w:p>
    <w:p w:rsidR="004B6846" w:rsidRDefault="004B6846" w:rsidP="00CC0EB7">
      <w:pPr>
        <w:pStyle w:val="Note"/>
      </w:pPr>
      <w:r>
        <w:t>(a)</w:t>
      </w:r>
      <w:r>
        <w:tab/>
        <w:t>Amortisation of intangible non-produced assets is included under other gains/(losses) from other economic flows.</w:t>
      </w:r>
    </w:p>
    <w:p w:rsidR="004B6846" w:rsidRDefault="004B6846" w:rsidP="00CC0EB7"/>
    <w:p w:rsidR="004B6846" w:rsidRDefault="004B6846" w:rsidP="00CC0EB7">
      <w:pPr>
        <w:pStyle w:val="Heading2"/>
      </w:pPr>
      <w:r>
        <w:lastRenderedPageBreak/>
        <w:t>Land and buildings</w:t>
      </w:r>
    </w:p>
    <w:p w:rsidR="004B6846" w:rsidRPr="00531141" w:rsidRDefault="004B6846" w:rsidP="00CC0EB7">
      <w:pPr>
        <w:pStyle w:val="TableUnits"/>
        <w:rPr>
          <w:bCs/>
          <w:lang w:val="en-US"/>
        </w:rPr>
      </w:pPr>
      <w:r>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850"/>
        <w:gridCol w:w="4365"/>
        <w:gridCol w:w="850"/>
        <w:gridCol w:w="850"/>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2017-18</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 xml:space="preserve">2018-19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opening</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revised</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1 Jul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31 104</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Buildings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32 525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32 716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35 304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(2 952)</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Accumulated depreciation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(2 293)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(2 567)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(3 674)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28 152</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 xml:space="preserve">Buildings (net carrying amount)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30 232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30 150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31 631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5 306</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Leased buildings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6 242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6 259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6 306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(649)</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Leased buildings accumulated depreciation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(643)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(691)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(844)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4 657</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 xml:space="preserve">Leased buildings (net carrying amount)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5 600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5 568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5 462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49 507</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Land</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57 209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57 263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57 678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1 049</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National parks and other ’land only’ holdings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1 233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1 233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1 224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50 556</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Land and national parks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58 442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58 496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58 902</w:t>
            </w:r>
          </w:p>
        </w:tc>
      </w:tr>
      <w:tr w:rsidR="004B6846" w:rsidRPr="0053114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jc w:val="right"/>
              <w:rPr>
                <w:rFonts w:eastAsiaTheme="minorEastAsia" w:cstheme="majorHAnsi"/>
                <w:bCs/>
                <w:color w:val="000000"/>
                <w:szCs w:val="18"/>
                <w:lang w:eastAsia="en-AU"/>
              </w:rPr>
            </w:pPr>
            <w:r w:rsidRPr="00531141">
              <w:rPr>
                <w:rFonts w:eastAsiaTheme="minorEastAsia" w:cstheme="majorHAnsi"/>
                <w:bCs/>
                <w:color w:val="000000"/>
                <w:szCs w:val="18"/>
                <w:lang w:eastAsia="en-AU"/>
              </w:rPr>
              <w:t>83 366</w:t>
            </w:r>
          </w:p>
        </w:tc>
        <w:tc>
          <w:tcPr>
            <w:tcW w:w="4365"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Total land and buildings</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94 273</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94 215</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95 994</w:t>
            </w:r>
          </w:p>
        </w:tc>
      </w:tr>
    </w:tbl>
    <w:p w:rsidR="004B6846" w:rsidRDefault="004B6846" w:rsidP="00CC0EB7">
      <w:pPr>
        <w:pStyle w:val="Source"/>
      </w:pPr>
      <w:r w:rsidRPr="00D87D22">
        <w:t>Source: Department of Treasury and Finance</w:t>
      </w:r>
    </w:p>
    <w:p w:rsidR="004B6846" w:rsidRDefault="004B6846" w:rsidP="00CC0EB7"/>
    <w:p w:rsidR="004B6846" w:rsidRDefault="004B6846" w:rsidP="00CC0EB7">
      <w:pPr>
        <w:pStyle w:val="Heading2"/>
      </w:pPr>
      <w:r>
        <w:t>Plant, equipment, vehicles, and infrastructure systems</w:t>
      </w:r>
    </w:p>
    <w:p w:rsidR="004B6846" w:rsidRPr="00531141" w:rsidRDefault="004B6846" w:rsidP="00CC0EB7">
      <w:pPr>
        <w:pStyle w:val="TableUnits"/>
        <w:rPr>
          <w:bCs/>
          <w:lang w:val="en-US"/>
        </w:rPr>
      </w:pPr>
      <w:r>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850"/>
        <w:gridCol w:w="4365"/>
        <w:gridCol w:w="850"/>
        <w:gridCol w:w="850"/>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2017-18</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 xml:space="preserve">2018-19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opening</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revised</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1 Jul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1 869</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Infrastructure systems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1 840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1 803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1 940</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(500)</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Accumulated depreciation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(487)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(495)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(533)</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1 369</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Infrastructure systems (net carrying amount)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1 353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1 308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1 407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6 232</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Plant, equipment and vehicles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6 561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6 947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7 142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(3 869)</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Accumulated depreciation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(4 024)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(4 128)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(4 558)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441</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Leased plant, equipment and vehicles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519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560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519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(263)</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Accumulated depreciation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(279)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(285)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(295)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2 541</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Plant, equipment and vehicles (net carrying amount)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2 778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3 093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2 808</w:t>
            </w:r>
          </w:p>
        </w:tc>
      </w:tr>
      <w:tr w:rsidR="004B6846" w:rsidRPr="0053114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jc w:val="right"/>
              <w:rPr>
                <w:rFonts w:eastAsiaTheme="minorEastAsia" w:cstheme="majorHAnsi"/>
                <w:bCs/>
                <w:color w:val="000000"/>
                <w:szCs w:val="18"/>
                <w:lang w:eastAsia="en-AU"/>
              </w:rPr>
            </w:pPr>
            <w:r w:rsidRPr="00531141">
              <w:rPr>
                <w:rFonts w:eastAsiaTheme="minorEastAsia" w:cstheme="majorHAnsi"/>
                <w:bCs/>
                <w:color w:val="000000"/>
                <w:szCs w:val="18"/>
                <w:lang w:eastAsia="en-AU"/>
              </w:rPr>
              <w:t>3 910</w:t>
            </w:r>
          </w:p>
        </w:tc>
        <w:tc>
          <w:tcPr>
            <w:tcW w:w="4365"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 xml:space="preserve">Total plant, equipment and vehicles, and </w:t>
            </w:r>
            <w:r w:rsidR="00684CDB">
              <w:rPr>
                <w:rFonts w:eastAsiaTheme="minorEastAsia" w:cstheme="majorHAnsi"/>
                <w:bCs/>
                <w:color w:val="000000"/>
                <w:szCs w:val="18"/>
                <w:lang w:eastAsia="en-AU"/>
              </w:rPr>
              <w:br/>
            </w:r>
            <w:r w:rsidRPr="00531141">
              <w:rPr>
                <w:rFonts w:eastAsiaTheme="minorEastAsia" w:cstheme="majorHAnsi"/>
                <w:bCs/>
                <w:color w:val="000000"/>
                <w:szCs w:val="18"/>
                <w:lang w:eastAsia="en-AU"/>
              </w:rPr>
              <w:t>infrastructure systems</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4 131</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4 401</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4 215</w:t>
            </w:r>
          </w:p>
        </w:tc>
      </w:tr>
    </w:tbl>
    <w:p w:rsidR="004B6846" w:rsidRDefault="004B6846" w:rsidP="00CC0EB7">
      <w:pPr>
        <w:pStyle w:val="Source"/>
      </w:pPr>
      <w:r w:rsidRPr="00D87D22">
        <w:t>Source: Department of Treasury and Finance</w:t>
      </w:r>
    </w:p>
    <w:p w:rsidR="004B6846" w:rsidRDefault="004B6846" w:rsidP="00CC0EB7"/>
    <w:p w:rsidR="004B6846" w:rsidRDefault="004B6846" w:rsidP="00CC0EB7"/>
    <w:p w:rsidR="004B6846" w:rsidRDefault="004B6846">
      <w:pPr>
        <w:keepLines w:val="0"/>
        <w:rPr>
          <w:rFonts w:asciiTheme="majorHAnsi" w:eastAsiaTheme="majorEastAsia" w:hAnsiTheme="majorHAnsi" w:cstheme="majorBidi"/>
          <w:b/>
          <w:spacing w:val="-2"/>
          <w:sz w:val="26"/>
          <w:szCs w:val="26"/>
        </w:rPr>
      </w:pPr>
      <w:r>
        <w:br w:type="page"/>
      </w:r>
    </w:p>
    <w:p w:rsidR="004B6846" w:rsidRDefault="004B6846" w:rsidP="00CC0EB7">
      <w:pPr>
        <w:pStyle w:val="Heading2"/>
      </w:pPr>
      <w:r>
        <w:lastRenderedPageBreak/>
        <w:t>Roads, road infrastructure and earthworks</w:t>
      </w:r>
    </w:p>
    <w:p w:rsidR="004B6846" w:rsidRPr="00531141" w:rsidRDefault="004B6846" w:rsidP="00CC0EB7">
      <w:pPr>
        <w:pStyle w:val="TableUnits"/>
        <w:rPr>
          <w:bCs/>
          <w:lang w:val="en-US"/>
        </w:rPr>
      </w:pPr>
      <w:r>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850"/>
        <w:gridCol w:w="4365"/>
        <w:gridCol w:w="850"/>
        <w:gridCol w:w="850"/>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2017-18</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2018-19</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opening</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revised</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1 Jul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40 089</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Roads and roads infrastructure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41 627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41 849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42 770</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(19 493)</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Accumulated depreciation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(20 132)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(20 288)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(20 755)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20 596</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Roads and road infrastructure (net carrying amount)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21 496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21 561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22 015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584</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Leased road and road infrastructure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584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584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617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(21)</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Accumulated depreciation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Pr>
                <w:rFonts w:eastAsiaTheme="minorEastAsia" w:cstheme="majorHAnsi"/>
                <w:b/>
                <w:bCs/>
                <w:color w:val="000000"/>
                <w:szCs w:val="18"/>
                <w:lang w:eastAsia="en-AU"/>
              </w:rPr>
              <w:t>563</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Leased road and road infrastructure (net carrying amount)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556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554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579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7 961</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Earthworks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8 039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8 039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8 279</w:t>
            </w:r>
          </w:p>
        </w:tc>
      </w:tr>
      <w:tr w:rsidR="004B6846" w:rsidRPr="0053114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jc w:val="right"/>
              <w:rPr>
                <w:rFonts w:eastAsiaTheme="minorEastAsia" w:cstheme="majorHAnsi"/>
                <w:bCs/>
                <w:color w:val="000000"/>
                <w:szCs w:val="18"/>
                <w:lang w:eastAsia="en-AU"/>
              </w:rPr>
            </w:pPr>
            <w:r w:rsidRPr="00531141">
              <w:rPr>
                <w:rFonts w:eastAsiaTheme="minorEastAsia" w:cstheme="majorHAnsi"/>
                <w:bCs/>
                <w:color w:val="000000"/>
                <w:szCs w:val="18"/>
                <w:lang w:eastAsia="en-AU"/>
              </w:rPr>
              <w:t>29 120</w:t>
            </w:r>
          </w:p>
        </w:tc>
        <w:tc>
          <w:tcPr>
            <w:tcW w:w="4365"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Total roads, road infrastructure and earthworks</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30 091</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30 154</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30 873</w:t>
            </w:r>
          </w:p>
        </w:tc>
      </w:tr>
    </w:tbl>
    <w:p w:rsidR="004B6846" w:rsidRDefault="004B6846" w:rsidP="00CC0EB7">
      <w:pPr>
        <w:pStyle w:val="Source"/>
      </w:pPr>
      <w:r w:rsidRPr="00D87D22">
        <w:t>Source: Department of Treasury and Finance</w:t>
      </w:r>
    </w:p>
    <w:p w:rsidR="004B6846" w:rsidRDefault="004B6846" w:rsidP="00CC0EB7"/>
    <w:p w:rsidR="004B6846" w:rsidRDefault="004B6846" w:rsidP="00CC0EB7">
      <w:pPr>
        <w:pStyle w:val="Heading2"/>
      </w:pPr>
      <w:r>
        <w:t>Cultural assets</w:t>
      </w:r>
    </w:p>
    <w:p w:rsidR="004B6846" w:rsidRPr="00531141" w:rsidRDefault="004B6846" w:rsidP="00CC0EB7">
      <w:pPr>
        <w:pStyle w:val="TableUnits"/>
        <w:rPr>
          <w:bCs/>
          <w:lang w:val="en-US"/>
        </w:rPr>
      </w:pPr>
      <w:r>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850"/>
        <w:gridCol w:w="4365"/>
        <w:gridCol w:w="850"/>
        <w:gridCol w:w="850"/>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2017-18</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 xml:space="preserve">2018-19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opening</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revised</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1 Jul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5 780</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Cultural assets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5 818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5 821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5 837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(158)</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Accumulated depreciation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(172)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(177)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(198)</w:t>
            </w:r>
          </w:p>
        </w:tc>
      </w:tr>
      <w:tr w:rsidR="004B6846" w:rsidRPr="0053114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jc w:val="right"/>
              <w:rPr>
                <w:rFonts w:eastAsiaTheme="minorEastAsia" w:cstheme="majorHAnsi"/>
                <w:bCs/>
                <w:color w:val="000000"/>
                <w:szCs w:val="18"/>
                <w:lang w:eastAsia="en-AU"/>
              </w:rPr>
            </w:pPr>
            <w:r w:rsidRPr="00531141">
              <w:rPr>
                <w:rFonts w:eastAsiaTheme="minorEastAsia" w:cstheme="majorHAnsi"/>
                <w:bCs/>
                <w:color w:val="000000"/>
                <w:szCs w:val="18"/>
                <w:lang w:eastAsia="en-AU"/>
              </w:rPr>
              <w:t>5 622</w:t>
            </w:r>
          </w:p>
        </w:tc>
        <w:tc>
          <w:tcPr>
            <w:tcW w:w="4365"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Total cultural assets</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5 646</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5 644</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5 639</w:t>
            </w:r>
          </w:p>
        </w:tc>
      </w:tr>
    </w:tbl>
    <w:p w:rsidR="004B6846" w:rsidRDefault="004B6846" w:rsidP="00CC0EB7">
      <w:pPr>
        <w:pStyle w:val="Source"/>
      </w:pPr>
      <w:r w:rsidRPr="00D87D22">
        <w:t>Source: Department of Treasury and Finance</w:t>
      </w:r>
    </w:p>
    <w:p w:rsidR="004B6846" w:rsidRDefault="004B6846" w:rsidP="00CC0EB7"/>
    <w:p w:rsidR="004B6846" w:rsidRDefault="004B6846" w:rsidP="00CC0EB7">
      <w:pPr>
        <w:pStyle w:val="Heading2"/>
      </w:pPr>
      <w:r>
        <w:t>Other non-financial assets</w:t>
      </w:r>
    </w:p>
    <w:p w:rsidR="004B6846" w:rsidRPr="00531141" w:rsidRDefault="004B6846" w:rsidP="00CC0EB7">
      <w:pPr>
        <w:pStyle w:val="TableUnits"/>
        <w:rPr>
          <w:bCs/>
          <w:lang w:val="en-US"/>
        </w:rPr>
      </w:pPr>
      <w:r>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850"/>
        <w:gridCol w:w="4365"/>
        <w:gridCol w:w="850"/>
        <w:gridCol w:w="850"/>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 xml:space="preserve">2017-18 </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2018-19</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opening</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revised</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1 Jul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1 710</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Intangible produced assets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1 946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1 972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2 015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(903)</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Accumulated depreciation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(1 010)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(1 042)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(1 138)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118</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 xml:space="preserve">Intangible non-produced assets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118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119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119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(34)</w:t>
            </w:r>
          </w:p>
        </w:tc>
        <w:tc>
          <w:tcPr>
            <w:tcW w:w="4365"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Accumulated amortisation</w:t>
            </w:r>
          </w:p>
        </w:tc>
        <w:tc>
          <w:tcPr>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(39)</w:t>
            </w:r>
          </w:p>
        </w:tc>
        <w:tc>
          <w:tcPr>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(41)</w:t>
            </w:r>
          </w:p>
        </w:tc>
        <w:tc>
          <w:tcPr>
            <w:tcW w:w="850" w:type="dxa"/>
            <w:tcBorders>
              <w:top w:val="nil"/>
              <w:left w:val="nil"/>
              <w:bottom w:val="single" w:sz="6"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Pr>
                <w:rFonts w:eastAsiaTheme="minorEastAsia" w:cstheme="majorHAnsi"/>
                <w:b/>
                <w:bCs/>
                <w:color w:val="000000"/>
                <w:szCs w:val="18"/>
                <w:lang w:eastAsia="en-AU"/>
              </w:rPr>
              <w:t>891</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Total intangibles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1 015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1 008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954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177</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Investment properties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186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186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183</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3</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Biological assets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873</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Other assets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669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1 214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990</w:t>
            </w:r>
          </w:p>
        </w:tc>
      </w:tr>
      <w:tr w:rsidR="004B6846" w:rsidRPr="0053114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jc w:val="right"/>
              <w:rPr>
                <w:rFonts w:eastAsiaTheme="minorEastAsia" w:cstheme="majorHAnsi"/>
                <w:bCs/>
                <w:color w:val="000000"/>
                <w:szCs w:val="18"/>
                <w:lang w:eastAsia="en-AU"/>
              </w:rPr>
            </w:pPr>
            <w:r w:rsidRPr="00531141">
              <w:rPr>
                <w:rFonts w:eastAsiaTheme="minorEastAsia" w:cstheme="majorHAnsi"/>
                <w:bCs/>
                <w:color w:val="000000"/>
                <w:szCs w:val="18"/>
                <w:lang w:eastAsia="en-AU"/>
              </w:rPr>
              <w:t>1 944</w:t>
            </w:r>
          </w:p>
        </w:tc>
        <w:tc>
          <w:tcPr>
            <w:tcW w:w="4365"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Total other non-financial assets</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1 872</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2 411</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2 130</w:t>
            </w:r>
          </w:p>
        </w:tc>
      </w:tr>
    </w:tbl>
    <w:p w:rsidR="004B6846" w:rsidRDefault="004B6846" w:rsidP="00CC0EB7">
      <w:pPr>
        <w:pStyle w:val="Source"/>
      </w:pPr>
      <w:r w:rsidRPr="00D87D22">
        <w:t>Source: Department of Treasury and Finance</w:t>
      </w:r>
    </w:p>
    <w:p w:rsidR="004B6846" w:rsidRDefault="004B6846" w:rsidP="00CC0EB7"/>
    <w:p w:rsidR="004B6846" w:rsidRDefault="004B6846" w:rsidP="00CC0EB7">
      <w:pPr>
        <w:keepLines w:val="0"/>
      </w:pPr>
      <w:r>
        <w:br w:type="page"/>
      </w:r>
    </w:p>
    <w:p w:rsidR="004B6846" w:rsidRDefault="004B6846" w:rsidP="00CC0EB7">
      <w:pPr>
        <w:pStyle w:val="Heading2"/>
      </w:pPr>
      <w:r>
        <w:lastRenderedPageBreak/>
        <w:t xml:space="preserve">Total assets by classification of the functions of government </w:t>
      </w:r>
      <w:r w:rsidRPr="00B24E9E">
        <w:rPr>
          <w:vertAlign w:val="superscript"/>
        </w:rPr>
        <w:t>(a)</w:t>
      </w:r>
    </w:p>
    <w:p w:rsidR="004B6846" w:rsidRPr="00531141" w:rsidRDefault="004B6846" w:rsidP="00CC0EB7">
      <w:pPr>
        <w:pStyle w:val="TableUnits"/>
        <w:rPr>
          <w:bCs/>
          <w:lang w:val="en-US"/>
        </w:rPr>
      </w:pPr>
      <w:r>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5216"/>
        <w:gridCol w:w="850"/>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autoSpaceDE w:val="0"/>
              <w:autoSpaceDN w:val="0"/>
              <w:adjustRightInd w:val="0"/>
              <w:jc w:val="right"/>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2017-18 </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 </w:t>
            </w:r>
          </w:p>
        </w:tc>
        <w:tc>
          <w:tcPr>
            <w:tcW w:w="1700" w:type="dxa"/>
            <w:gridSpan w:val="2"/>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2018-19 </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actual </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actual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revised</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6"/>
                <w:lang w:eastAsia="en-AU"/>
              </w:rPr>
            </w:pPr>
            <w:r w:rsidRPr="00531141">
              <w:rPr>
                <w:rFonts w:eastAsiaTheme="minorEastAsia" w:cstheme="majorHAnsi"/>
                <w:iCs/>
                <w:color w:val="FFFFFF"/>
                <w:szCs w:val="16"/>
                <w:lang w:eastAsia="en-AU"/>
              </w:rPr>
              <w:t>30 Sep</w:t>
            </w:r>
          </w:p>
        </w:tc>
        <w:tc>
          <w:tcPr>
            <w:tcW w:w="5216"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30 Sep</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2 222</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General public services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2 273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2 165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8 350</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Public order and safety</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9 674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10 249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1 033</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Economic affairs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1 240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1 152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10 309</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Environmental protection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11 955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11 948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1 822</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Housing and community amenities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1 796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1 739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14 613</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Health</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15 368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15 436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7 124</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Recreation, culture and religion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7 334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7 415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22 810</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Education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27 489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28 367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2 368</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Social protection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2 626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3 346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54 092</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Transport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57 851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59 411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119 828</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Not allocated by purpose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127 459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129 966</w:t>
            </w:r>
          </w:p>
        </w:tc>
      </w:tr>
      <w:tr w:rsidR="004B6846" w:rsidRPr="0053114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jc w:val="right"/>
              <w:rPr>
                <w:rFonts w:eastAsiaTheme="minorEastAsia" w:cstheme="majorHAnsi"/>
                <w:bCs/>
                <w:color w:val="000000"/>
                <w:szCs w:val="18"/>
                <w:lang w:eastAsia="en-AU"/>
              </w:rPr>
            </w:pPr>
            <w:r w:rsidRPr="00531141">
              <w:rPr>
                <w:rFonts w:eastAsiaTheme="minorEastAsia" w:cstheme="majorHAnsi"/>
                <w:bCs/>
                <w:color w:val="000000"/>
                <w:szCs w:val="18"/>
                <w:lang w:eastAsia="en-AU"/>
              </w:rPr>
              <w:t>244 573</w:t>
            </w:r>
          </w:p>
        </w:tc>
        <w:tc>
          <w:tcPr>
            <w:tcW w:w="5216"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531141">
              <w:rPr>
                <w:rFonts w:eastAsiaTheme="minorEastAsia" w:cstheme="majorHAnsi"/>
                <w:bCs/>
                <w:color w:val="000000"/>
                <w:szCs w:val="16"/>
                <w:lang w:eastAsia="en-AU"/>
              </w:rPr>
              <w:t>Total assets by COFOG</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265 065</w:t>
            </w:r>
          </w:p>
        </w:tc>
        <w:tc>
          <w:tcPr>
            <w:tcW w:w="850" w:type="dxa"/>
            <w:tcBorders>
              <w:top w:val="single" w:sz="6" w:space="0" w:color="000000"/>
              <w:bottom w:val="single" w:sz="12" w:space="0" w:color="000000"/>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31141">
              <w:rPr>
                <w:rFonts w:eastAsiaTheme="minorEastAsia" w:cstheme="majorHAnsi"/>
                <w:bCs/>
                <w:color w:val="000000"/>
                <w:szCs w:val="18"/>
                <w:lang w:eastAsia="en-AU"/>
              </w:rPr>
              <w:t>271 194</w:t>
            </w:r>
          </w:p>
        </w:tc>
      </w:tr>
    </w:tbl>
    <w:p w:rsidR="004B6846" w:rsidRDefault="004B6846" w:rsidP="00CC0EB7">
      <w:pPr>
        <w:pStyle w:val="Source"/>
      </w:pPr>
      <w:r w:rsidRPr="00D87D22">
        <w:t>Source: Department of Treasury and Finance</w:t>
      </w:r>
    </w:p>
    <w:p w:rsidR="004B6846" w:rsidRPr="00697AD9" w:rsidRDefault="004B6846" w:rsidP="00CC0EB7">
      <w:pPr>
        <w:pStyle w:val="Note"/>
      </w:pPr>
      <w:r>
        <w:t>Note</w:t>
      </w:r>
      <w:r w:rsidRPr="00697AD9">
        <w:t>:</w:t>
      </w:r>
    </w:p>
    <w:p w:rsidR="004B6846" w:rsidRDefault="004B6846" w:rsidP="00CC0EB7">
      <w:pPr>
        <w:pStyle w:val="Note"/>
      </w:pPr>
      <w:r w:rsidRPr="00791993">
        <w:t>(a)</w:t>
      </w:r>
      <w:r w:rsidRPr="00791993">
        <w:tab/>
      </w:r>
      <w:r w:rsidRPr="0007131F">
        <w:t>The classification of the functions of government (COFOG) framework has replaced the former Government Purpose Classification (GPC) framework under the new ABS GFS Manual.</w:t>
      </w:r>
      <w:r>
        <w:t xml:space="preserve"> </w:t>
      </w:r>
      <w:r w:rsidRPr="0007131F">
        <w:t xml:space="preserve">This </w:t>
      </w:r>
      <w:r>
        <w:t>was</w:t>
      </w:r>
      <w:r w:rsidRPr="0007131F">
        <w:t xml:space="preserve"> implemented for the first time in the </w:t>
      </w:r>
      <w:r w:rsidRPr="00F3055C">
        <w:rPr>
          <w:i w:val="0"/>
        </w:rPr>
        <w:t>2018-19 Budget</w:t>
      </w:r>
      <w:r w:rsidRPr="0007131F">
        <w:t xml:space="preserve">. </w:t>
      </w:r>
      <w:r>
        <w:t xml:space="preserve">Note 1.7.5 of Budget Paper No. 5 of the </w:t>
      </w:r>
      <w:r>
        <w:rPr>
          <w:i w:val="0"/>
        </w:rPr>
        <w:t>2018-19</w:t>
      </w:r>
      <w:r w:rsidRPr="00812D30">
        <w:rPr>
          <w:i w:val="0"/>
        </w:rPr>
        <w:t xml:space="preserve"> </w:t>
      </w:r>
      <w:r>
        <w:rPr>
          <w:i w:val="0"/>
        </w:rPr>
        <w:t>Budget</w:t>
      </w:r>
      <w:r>
        <w:t xml:space="preserve"> provides definitions and descriptions of the COFOG.</w:t>
      </w:r>
    </w:p>
    <w:p w:rsidR="004B6846" w:rsidRDefault="004B6846">
      <w:pPr>
        <w:keepLines w:val="0"/>
        <w:rPr>
          <w:rFonts w:asciiTheme="majorHAnsi" w:eastAsiaTheme="majorEastAsia" w:hAnsiTheme="majorHAnsi" w:cstheme="majorBidi"/>
          <w:b/>
          <w:bCs/>
          <w:caps/>
          <w:spacing w:val="-2"/>
          <w:sz w:val="26"/>
          <w:szCs w:val="28"/>
        </w:rPr>
      </w:pPr>
      <w:r>
        <w:br w:type="page"/>
      </w:r>
    </w:p>
    <w:p w:rsidR="004B6846" w:rsidRDefault="004B6846" w:rsidP="00CB74DA">
      <w:pPr>
        <w:pStyle w:val="Heading1-AppendixE0"/>
      </w:pPr>
      <w:r>
        <w:lastRenderedPageBreak/>
        <w:t>OTHER ASSETS AND LIABILITIES</w:t>
      </w:r>
    </w:p>
    <w:p w:rsidR="004B6846" w:rsidRDefault="004B6846" w:rsidP="00CC0EB7">
      <w:pPr>
        <w:pStyle w:val="Heading20"/>
      </w:pPr>
      <w:r>
        <w:t>Introduction</w:t>
      </w:r>
    </w:p>
    <w:p w:rsidR="004B6846" w:rsidRDefault="004B6846" w:rsidP="00CC0EB7">
      <w:r>
        <w:t>This section sets out other assets and liabilities that arise from the general government sector’s operations.</w:t>
      </w:r>
    </w:p>
    <w:p w:rsidR="004B6846" w:rsidRDefault="004B6846" w:rsidP="00CC0EB7">
      <w:pPr>
        <w:pStyle w:val="Heading2"/>
      </w:pPr>
      <w:r>
        <w:t>Receivables</w:t>
      </w:r>
    </w:p>
    <w:p w:rsidR="004B6846" w:rsidRPr="00531141" w:rsidRDefault="004B6846" w:rsidP="00CC0EB7">
      <w:pPr>
        <w:pStyle w:val="TableUnits"/>
        <w:rPr>
          <w:bCs/>
          <w:lang w:val="en-US"/>
        </w:rPr>
      </w:pPr>
      <w:r>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850"/>
        <w:gridCol w:w="4365"/>
        <w:gridCol w:w="850"/>
        <w:gridCol w:w="850"/>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 xml:space="preserve">2017-18 </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 xml:space="preserve">2018-19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opening</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revised</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1 Jul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Contractual</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736</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Sales of goods and services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682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1 150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646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18</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Accrued investment income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1 138</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Other receivables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675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640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688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(97)</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Provision for doubtful contractual receivables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(108)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(108)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(107)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Statutory</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4</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Sales of goods and services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2 869</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Taxes receivable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3 153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3 016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3 277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2 106</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Fines and regulatory fees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2 510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2 629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2 642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349</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GST input tax credits recoverable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443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323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444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(841)</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Provision for doubtful statutory receivables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(1 169)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(1 271)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(1 211)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single" w:sz="12" w:space="0" w:color="000000"/>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6 281</w:t>
            </w:r>
          </w:p>
        </w:tc>
        <w:tc>
          <w:tcPr>
            <w:tcW w:w="4365" w:type="dxa"/>
            <w:tcBorders>
              <w:top w:val="single" w:sz="6" w:space="0" w:color="000000"/>
              <w:left w:val="nil"/>
              <w:bottom w:val="single" w:sz="12" w:space="0" w:color="000000"/>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Total receivables</w:t>
            </w:r>
          </w:p>
        </w:tc>
        <w:tc>
          <w:tcPr>
            <w:tcW w:w="850" w:type="dxa"/>
            <w:tcBorders>
              <w:top w:val="single" w:sz="6" w:space="0" w:color="000000"/>
              <w:left w:val="nil"/>
              <w:bottom w:val="single" w:sz="12"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6 208</w:t>
            </w:r>
          </w:p>
        </w:tc>
        <w:tc>
          <w:tcPr>
            <w:tcW w:w="850" w:type="dxa"/>
            <w:tcBorders>
              <w:top w:val="single" w:sz="6" w:space="0" w:color="000000"/>
              <w:left w:val="nil"/>
              <w:bottom w:val="single" w:sz="12"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6 400</w:t>
            </w:r>
          </w:p>
        </w:tc>
        <w:tc>
          <w:tcPr>
            <w:tcW w:w="850" w:type="dxa"/>
            <w:tcBorders>
              <w:top w:val="single" w:sz="6" w:space="0" w:color="000000"/>
              <w:left w:val="nil"/>
              <w:bottom w:val="single" w:sz="12"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6 400</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Represented by:</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5 462</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Current receivables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5 890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6 086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6 086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12" w:space="0" w:color="000000"/>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819</w:t>
            </w:r>
          </w:p>
        </w:tc>
        <w:tc>
          <w:tcPr>
            <w:tcW w:w="4365" w:type="dxa"/>
            <w:tcBorders>
              <w:top w:val="nil"/>
              <w:left w:val="nil"/>
              <w:bottom w:val="single" w:sz="12" w:space="0" w:color="000000"/>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Non-current receivables</w:t>
            </w:r>
          </w:p>
        </w:tc>
        <w:tc>
          <w:tcPr>
            <w:tcW w:w="850" w:type="dxa"/>
            <w:tcBorders>
              <w:top w:val="nil"/>
              <w:left w:val="nil"/>
              <w:bottom w:val="single" w:sz="12"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318</w:t>
            </w:r>
          </w:p>
        </w:tc>
        <w:tc>
          <w:tcPr>
            <w:tcW w:w="850" w:type="dxa"/>
            <w:tcBorders>
              <w:top w:val="nil"/>
              <w:left w:val="nil"/>
              <w:bottom w:val="single" w:sz="12"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314</w:t>
            </w:r>
          </w:p>
        </w:tc>
        <w:tc>
          <w:tcPr>
            <w:tcW w:w="850" w:type="dxa"/>
            <w:tcBorders>
              <w:top w:val="nil"/>
              <w:left w:val="nil"/>
              <w:bottom w:val="single" w:sz="12"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314</w:t>
            </w:r>
          </w:p>
        </w:tc>
      </w:tr>
    </w:tbl>
    <w:p w:rsidR="004B6846" w:rsidRDefault="004B6846" w:rsidP="00CC0EB7">
      <w:pPr>
        <w:pStyle w:val="Source"/>
      </w:pPr>
      <w:r w:rsidRPr="00D87D22">
        <w:t>Source: Department of Treasury and Finance</w:t>
      </w:r>
    </w:p>
    <w:p w:rsidR="004B6846" w:rsidRDefault="004B6846" w:rsidP="00CC0EB7"/>
    <w:p w:rsidR="004B6846" w:rsidRDefault="004B6846" w:rsidP="00CC0EB7">
      <w:pPr>
        <w:pStyle w:val="Heading2"/>
      </w:pPr>
      <w:r>
        <w:t>Payables</w:t>
      </w:r>
    </w:p>
    <w:p w:rsidR="004B6846" w:rsidRPr="00531141" w:rsidRDefault="004B6846" w:rsidP="00CC0EB7">
      <w:pPr>
        <w:pStyle w:val="TableUnits"/>
        <w:rPr>
          <w:bCs/>
          <w:lang w:val="en-US"/>
        </w:rPr>
      </w:pPr>
      <w:r>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850"/>
        <w:gridCol w:w="4365"/>
        <w:gridCol w:w="850"/>
        <w:gridCol w:w="850"/>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 xml:space="preserve">2017-18 </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 xml:space="preserve">2018-19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opening</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actual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revised</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right"/>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4365"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31141">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1 Jul</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31141">
              <w:rPr>
                <w:rFonts w:eastAsiaTheme="minorEastAsia" w:cstheme="majorHAnsi"/>
                <w:iCs/>
                <w:color w:val="FFFFFF"/>
                <w:szCs w:val="18"/>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Contractual</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1 239</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Accounts payable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1 542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1 387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1 507</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2 155</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Accrued expenses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2 814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2 200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2 738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2 285</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Unearned income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2 298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5 222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5 132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Statutory</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44</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Accrued taxes payable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333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60</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single" w:sz="12" w:space="0" w:color="000000"/>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8"/>
                <w:lang w:eastAsia="en-AU"/>
              </w:rPr>
            </w:pPr>
            <w:r w:rsidRPr="00531141">
              <w:rPr>
                <w:rFonts w:eastAsiaTheme="minorEastAsia" w:cstheme="majorHAnsi"/>
                <w:b/>
                <w:bCs/>
                <w:color w:val="000000"/>
                <w:szCs w:val="18"/>
                <w:lang w:eastAsia="en-AU"/>
              </w:rPr>
              <w:t>5 722</w:t>
            </w:r>
          </w:p>
        </w:tc>
        <w:tc>
          <w:tcPr>
            <w:tcW w:w="4365" w:type="dxa"/>
            <w:tcBorders>
              <w:top w:val="single" w:sz="6" w:space="0" w:color="000000"/>
              <w:left w:val="nil"/>
              <w:bottom w:val="single" w:sz="12" w:space="0" w:color="000000"/>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Total payables</w:t>
            </w:r>
          </w:p>
        </w:tc>
        <w:tc>
          <w:tcPr>
            <w:tcW w:w="850" w:type="dxa"/>
            <w:tcBorders>
              <w:top w:val="single" w:sz="6" w:space="0" w:color="000000"/>
              <w:left w:val="nil"/>
              <w:bottom w:val="single" w:sz="12"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6 713</w:t>
            </w:r>
          </w:p>
        </w:tc>
        <w:tc>
          <w:tcPr>
            <w:tcW w:w="850" w:type="dxa"/>
            <w:tcBorders>
              <w:top w:val="single" w:sz="6" w:space="0" w:color="000000"/>
              <w:left w:val="nil"/>
              <w:bottom w:val="single" w:sz="12"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9 143</w:t>
            </w:r>
          </w:p>
        </w:tc>
        <w:tc>
          <w:tcPr>
            <w:tcW w:w="850" w:type="dxa"/>
            <w:tcBorders>
              <w:top w:val="single" w:sz="6" w:space="0" w:color="000000"/>
              <w:left w:val="nil"/>
              <w:bottom w:val="single" w:sz="12"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9 438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31141">
              <w:rPr>
                <w:rFonts w:eastAsiaTheme="minorEastAsia" w:cstheme="majorHAnsi"/>
                <w:b/>
                <w:bCs/>
                <w:color w:val="000000"/>
                <w:szCs w:val="18"/>
                <w:lang w:eastAsia="en-AU"/>
              </w:rPr>
              <w:t>Represented by:</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31141">
              <w:rPr>
                <w:rFonts w:eastAsiaTheme="minorEastAsia" w:cstheme="majorHAnsi"/>
                <w:b/>
                <w:bCs/>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4 070</w:t>
            </w:r>
          </w:p>
        </w:tc>
        <w:tc>
          <w:tcPr>
            <w:tcW w:w="4365"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Current payables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4 856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4 589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4 796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12" w:space="0" w:color="000000"/>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8"/>
                <w:lang w:eastAsia="en-AU"/>
              </w:rPr>
            </w:pPr>
            <w:r w:rsidRPr="00531141">
              <w:rPr>
                <w:rFonts w:eastAsiaTheme="minorEastAsia" w:cstheme="majorHAnsi"/>
                <w:color w:val="000000"/>
                <w:szCs w:val="18"/>
                <w:lang w:eastAsia="en-AU"/>
              </w:rPr>
              <w:t>1 652</w:t>
            </w:r>
          </w:p>
        </w:tc>
        <w:tc>
          <w:tcPr>
            <w:tcW w:w="4365" w:type="dxa"/>
            <w:tcBorders>
              <w:top w:val="nil"/>
              <w:left w:val="nil"/>
              <w:bottom w:val="single" w:sz="12" w:space="0" w:color="000000"/>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Non-current payables</w:t>
            </w:r>
          </w:p>
        </w:tc>
        <w:tc>
          <w:tcPr>
            <w:tcW w:w="850" w:type="dxa"/>
            <w:tcBorders>
              <w:top w:val="nil"/>
              <w:left w:val="nil"/>
              <w:bottom w:val="single" w:sz="12"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1 856</w:t>
            </w:r>
          </w:p>
        </w:tc>
        <w:tc>
          <w:tcPr>
            <w:tcW w:w="850" w:type="dxa"/>
            <w:tcBorders>
              <w:top w:val="nil"/>
              <w:left w:val="nil"/>
              <w:bottom w:val="single" w:sz="12"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4 554</w:t>
            </w:r>
          </w:p>
        </w:tc>
        <w:tc>
          <w:tcPr>
            <w:tcW w:w="850" w:type="dxa"/>
            <w:tcBorders>
              <w:top w:val="nil"/>
              <w:left w:val="nil"/>
              <w:bottom w:val="single" w:sz="12" w:space="0" w:color="000000"/>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31141">
              <w:rPr>
                <w:rFonts w:eastAsiaTheme="minorEastAsia" w:cstheme="majorHAnsi"/>
                <w:color w:val="000000"/>
                <w:szCs w:val="18"/>
                <w:lang w:eastAsia="en-AU"/>
              </w:rPr>
              <w:t>4 642</w:t>
            </w:r>
          </w:p>
        </w:tc>
      </w:tr>
    </w:tbl>
    <w:p w:rsidR="004B6846" w:rsidRDefault="004B6846" w:rsidP="00CC0EB7">
      <w:pPr>
        <w:pStyle w:val="Source"/>
      </w:pPr>
      <w:r w:rsidRPr="00D87D22">
        <w:t>Source: Department of Treasury and Finance</w:t>
      </w:r>
    </w:p>
    <w:p w:rsidR="004B6846" w:rsidRDefault="004B6846" w:rsidP="003C6991">
      <w:pPr>
        <w:pStyle w:val="Heading1-AppendixE0"/>
      </w:pPr>
      <w:r>
        <w:lastRenderedPageBreak/>
        <w:t>PUBLIC ACCOUNT</w:t>
      </w:r>
    </w:p>
    <w:p w:rsidR="004B6846" w:rsidRDefault="004B6846" w:rsidP="00CC0EB7">
      <w:pPr>
        <w:pStyle w:val="Heading20"/>
      </w:pPr>
      <w:r>
        <w:t>Introduction</w:t>
      </w:r>
    </w:p>
    <w:p w:rsidR="004B6846" w:rsidRDefault="004B6846" w:rsidP="00CC0EB7">
      <w:r>
        <w:t xml:space="preserve">This section discloses information in respect of the Public Account, in accordance with the requirements of the </w:t>
      </w:r>
      <w:r w:rsidRPr="000B022A">
        <w:rPr>
          <w:i/>
        </w:rPr>
        <w:t>Financial Management Act, No. 18 of 1994</w:t>
      </w:r>
      <w:r>
        <w:t xml:space="preserve"> (FMA).</w:t>
      </w:r>
    </w:p>
    <w:p w:rsidR="004B6846" w:rsidRDefault="004B6846" w:rsidP="00CC0EB7">
      <w:pPr>
        <w:pStyle w:val="Heading2"/>
      </w:pPr>
      <w:r>
        <w:t>Consolidated fund receipts and payments</w:t>
      </w:r>
    </w:p>
    <w:p w:rsidR="004B6846" w:rsidRPr="00531141" w:rsidRDefault="004B6846" w:rsidP="00CC0EB7">
      <w:pPr>
        <w:pStyle w:val="TableUnits"/>
        <w:rPr>
          <w:bCs/>
          <w:lang w:val="en-US"/>
        </w:rPr>
      </w:pPr>
      <w:r>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5216"/>
        <w:gridCol w:w="850"/>
        <w:gridCol w:w="850"/>
      </w:tblGrid>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FFFFFF"/>
          </w:tcPr>
          <w:p w:rsidR="004B6846" w:rsidRPr="00531141" w:rsidRDefault="004B6846" w:rsidP="00CC0EB7">
            <w:pPr>
              <w:autoSpaceDE w:val="0"/>
              <w:autoSpaceDN w:val="0"/>
              <w:adjustRightInd w:val="0"/>
              <w:jc w:val="right"/>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2017-18 </w:t>
            </w:r>
          </w:p>
        </w:tc>
        <w:tc>
          <w:tcPr>
            <w:tcW w:w="5216" w:type="dxa"/>
            <w:tcBorders>
              <w:top w:val="single" w:sz="6" w:space="0" w:color="000000"/>
              <w:left w:val="nil"/>
              <w:bottom w:val="nil"/>
              <w:right w:val="nil"/>
            </w:tcBorders>
            <w:shd w:val="solid" w:color="000000" w:fill="FFFFFF"/>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1700" w:type="dxa"/>
            <w:gridSpan w:val="2"/>
            <w:tcBorders>
              <w:top w:val="nil"/>
              <w:left w:val="nil"/>
              <w:bottom w:val="nil"/>
              <w:right w:val="nil"/>
            </w:tcBorders>
            <w:shd w:val="solid" w:color="000000" w:fill="FFFFFF"/>
          </w:tcPr>
          <w:p w:rsidR="004B6846" w:rsidRPr="00531141"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2018-19 </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FFFFFF"/>
          </w:tcPr>
          <w:p w:rsidR="004B6846" w:rsidRPr="00531141" w:rsidRDefault="004B6846" w:rsidP="00CC0EB7">
            <w:pPr>
              <w:keepLines w:val="0"/>
              <w:autoSpaceDE w:val="0"/>
              <w:autoSpaceDN w:val="0"/>
              <w:adjustRightInd w:val="0"/>
              <w:jc w:val="right"/>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actual </w:t>
            </w:r>
          </w:p>
        </w:tc>
        <w:tc>
          <w:tcPr>
            <w:tcW w:w="5216" w:type="dxa"/>
            <w:tcBorders>
              <w:top w:val="nil"/>
              <w:left w:val="nil"/>
              <w:bottom w:val="nil"/>
              <w:right w:val="nil"/>
            </w:tcBorders>
            <w:shd w:val="solid" w:color="000000" w:fill="FFFFFF"/>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shd w:val="solid" w:color="000000" w:fill="FFFFFF"/>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actual </w:t>
            </w:r>
          </w:p>
        </w:tc>
        <w:tc>
          <w:tcPr>
            <w:tcW w:w="850" w:type="dxa"/>
            <w:tcBorders>
              <w:top w:val="nil"/>
              <w:left w:val="nil"/>
              <w:bottom w:val="nil"/>
              <w:right w:val="nil"/>
            </w:tcBorders>
            <w:shd w:val="solid" w:color="000000" w:fill="FFFFFF"/>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revised </w:t>
            </w:r>
          </w:p>
        </w:tc>
      </w:tr>
      <w:tr w:rsidR="004B6846" w:rsidRPr="00531141"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FFFFFF"/>
          </w:tcPr>
          <w:p w:rsidR="004B6846" w:rsidRPr="00531141" w:rsidRDefault="004B6846" w:rsidP="00CC0EB7">
            <w:pPr>
              <w:keepLines w:val="0"/>
              <w:autoSpaceDE w:val="0"/>
              <w:autoSpaceDN w:val="0"/>
              <w:adjustRightInd w:val="0"/>
              <w:jc w:val="right"/>
              <w:rPr>
                <w:rFonts w:eastAsiaTheme="minorEastAsia" w:cstheme="majorHAnsi"/>
                <w:iCs/>
                <w:color w:val="FFFFFF"/>
                <w:szCs w:val="16"/>
                <w:lang w:eastAsia="en-AU"/>
              </w:rPr>
            </w:pPr>
            <w:r w:rsidRPr="00531141">
              <w:rPr>
                <w:rFonts w:eastAsiaTheme="minorEastAsia" w:cstheme="majorHAnsi"/>
                <w:iCs/>
                <w:color w:val="FFFFFF"/>
                <w:szCs w:val="16"/>
                <w:lang w:eastAsia="en-AU"/>
              </w:rPr>
              <w:t>to Sep</w:t>
            </w:r>
          </w:p>
        </w:tc>
        <w:tc>
          <w:tcPr>
            <w:tcW w:w="5216" w:type="dxa"/>
            <w:tcBorders>
              <w:top w:val="nil"/>
              <w:left w:val="nil"/>
              <w:bottom w:val="nil"/>
              <w:right w:val="nil"/>
            </w:tcBorders>
            <w:shd w:val="solid" w:color="000000" w:fill="FFFFFF"/>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shd w:val="solid" w:color="000000" w:fill="FFFFFF"/>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to Sep</w:t>
            </w:r>
          </w:p>
        </w:tc>
        <w:tc>
          <w:tcPr>
            <w:tcW w:w="850" w:type="dxa"/>
            <w:tcBorders>
              <w:top w:val="nil"/>
              <w:left w:val="nil"/>
              <w:bottom w:val="nil"/>
              <w:right w:val="nil"/>
            </w:tcBorders>
            <w:shd w:val="solid" w:color="000000" w:fill="FFFFFF"/>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5 491</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Taxation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5 999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24 275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189</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Fines and regulatory fees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184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896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4 453</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Grants received</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5 310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22 880</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1 675</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 xml:space="preserve">Sales of goods and services </w:t>
            </w:r>
            <w:r w:rsidRPr="00531141">
              <w:rPr>
                <w:rFonts w:eastAsiaTheme="minorEastAsia" w:cstheme="majorHAnsi"/>
                <w:color w:val="000000"/>
                <w:szCs w:val="16"/>
                <w:vertAlign w:val="superscript"/>
                <w:lang w:eastAsia="en-AU"/>
              </w:rPr>
              <w:t>(a)</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4 702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9 865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115</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Interest received</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110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491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48</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Dividends, income tax equivalent and rate equivalent receipts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963</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33</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 xml:space="preserve">Other receipts </w:t>
            </w:r>
            <w:r w:rsidRPr="00531141">
              <w:rPr>
                <w:rFonts w:eastAsiaTheme="minorEastAsia" w:cstheme="majorHAnsi"/>
                <w:color w:val="000000"/>
                <w:szCs w:val="16"/>
                <w:vertAlign w:val="superscript"/>
                <w:lang w:eastAsia="en-AU"/>
              </w:rPr>
              <w:t>(a)</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139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952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auto"/>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6"/>
                <w:lang w:eastAsia="en-AU"/>
              </w:rPr>
            </w:pPr>
            <w:r>
              <w:rPr>
                <w:rFonts w:eastAsiaTheme="minorEastAsia" w:cstheme="majorHAnsi"/>
                <w:b/>
                <w:bCs/>
                <w:color w:val="000000"/>
                <w:szCs w:val="16"/>
                <w:lang w:eastAsia="en-AU"/>
              </w:rPr>
              <w:t>12 003</w:t>
            </w:r>
          </w:p>
        </w:tc>
        <w:tc>
          <w:tcPr>
            <w:tcW w:w="5216" w:type="dxa"/>
            <w:tcBorders>
              <w:top w:val="single" w:sz="6" w:space="0" w:color="auto"/>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b/>
                <w:bCs/>
                <w:color w:val="000000"/>
                <w:szCs w:val="16"/>
                <w:lang w:eastAsia="en-AU"/>
              </w:rPr>
              <w:t>Total operating activities</w:t>
            </w:r>
          </w:p>
        </w:tc>
        <w:tc>
          <w:tcPr>
            <w:tcW w:w="850" w:type="dxa"/>
            <w:tcBorders>
              <w:top w:val="single" w:sz="6" w:space="0" w:color="auto"/>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16 505</w:t>
            </w:r>
          </w:p>
        </w:tc>
        <w:tc>
          <w:tcPr>
            <w:tcW w:w="850" w:type="dxa"/>
            <w:tcBorders>
              <w:top w:val="single" w:sz="6" w:space="0" w:color="auto"/>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60 322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310</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Total inflows from investing and financing</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3 656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auto"/>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6"/>
                <w:lang w:eastAsia="en-AU"/>
              </w:rPr>
            </w:pPr>
            <w:r>
              <w:rPr>
                <w:rFonts w:eastAsiaTheme="minorEastAsia" w:cstheme="majorHAnsi"/>
                <w:b/>
                <w:bCs/>
                <w:color w:val="000000"/>
                <w:szCs w:val="16"/>
                <w:lang w:eastAsia="en-AU"/>
              </w:rPr>
              <w:t>12 314</w:t>
            </w:r>
          </w:p>
        </w:tc>
        <w:tc>
          <w:tcPr>
            <w:tcW w:w="5216" w:type="dxa"/>
            <w:tcBorders>
              <w:top w:val="single" w:sz="6" w:space="0" w:color="auto"/>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b/>
                <w:bCs/>
                <w:color w:val="000000"/>
                <w:szCs w:val="16"/>
                <w:lang w:eastAsia="en-AU"/>
              </w:rPr>
              <w:t>Total receipts</w:t>
            </w:r>
          </w:p>
        </w:tc>
        <w:tc>
          <w:tcPr>
            <w:tcW w:w="850" w:type="dxa"/>
            <w:tcBorders>
              <w:top w:val="single" w:sz="6" w:space="0" w:color="auto"/>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16 528</w:t>
            </w:r>
          </w:p>
        </w:tc>
        <w:tc>
          <w:tcPr>
            <w:tcW w:w="850" w:type="dxa"/>
            <w:tcBorders>
              <w:top w:val="single" w:sz="6" w:space="0" w:color="auto"/>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63 978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b/>
                <w:bCs/>
                <w:color w:val="000000"/>
                <w:szCs w:val="16"/>
                <w:lang w:eastAsia="en-AU"/>
              </w:rPr>
              <w:t>Payments to departments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2 680</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Economic Development, Jobs, Transport and Resources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2 419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13 419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3 655</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Education and Training</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3 876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14 678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606</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Environment, Land, Water and Planning</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608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2 975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4 630</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Health and Human Services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4 972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18 415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1 846</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Justice and Regulation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2 067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8 131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125</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Premier and Cabinet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167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822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2 067</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Treasury and Finance</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2 394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7 761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61</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Parliament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231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144</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Courts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158</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735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auto"/>
              <w:left w:val="nil"/>
              <w:bottom w:val="single" w:sz="6" w:space="0" w:color="auto"/>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6"/>
                <w:lang w:eastAsia="en-AU"/>
              </w:rPr>
            </w:pPr>
            <w:r>
              <w:rPr>
                <w:rFonts w:eastAsiaTheme="minorEastAsia" w:cstheme="majorHAnsi"/>
                <w:b/>
                <w:bCs/>
                <w:color w:val="000000"/>
                <w:szCs w:val="16"/>
                <w:lang w:eastAsia="en-AU"/>
              </w:rPr>
              <w:t>15 814</w:t>
            </w:r>
          </w:p>
        </w:tc>
        <w:tc>
          <w:tcPr>
            <w:tcW w:w="5216" w:type="dxa"/>
            <w:tcBorders>
              <w:top w:val="single" w:sz="6" w:space="0" w:color="auto"/>
              <w:left w:val="nil"/>
              <w:bottom w:val="single" w:sz="6" w:space="0" w:color="auto"/>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b/>
                <w:bCs/>
                <w:color w:val="000000"/>
                <w:szCs w:val="16"/>
                <w:lang w:eastAsia="en-AU"/>
              </w:rPr>
              <w:t>Total payments</w:t>
            </w:r>
          </w:p>
        </w:tc>
        <w:tc>
          <w:tcPr>
            <w:tcW w:w="850" w:type="dxa"/>
            <w:tcBorders>
              <w:top w:val="single" w:sz="6" w:space="0" w:color="auto"/>
              <w:left w:val="nil"/>
              <w:bottom w:val="single" w:sz="6" w:space="0" w:color="auto"/>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16 717</w:t>
            </w:r>
          </w:p>
        </w:tc>
        <w:tc>
          <w:tcPr>
            <w:tcW w:w="850" w:type="dxa"/>
            <w:tcBorders>
              <w:top w:val="single" w:sz="6" w:space="0" w:color="auto"/>
              <w:left w:val="nil"/>
              <w:bottom w:val="single" w:sz="6" w:space="0" w:color="auto"/>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67 168</w:t>
            </w:r>
          </w:p>
        </w:tc>
      </w:tr>
      <w:tr w:rsidR="004B6846" w:rsidRPr="0053114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auto"/>
              <w:bottom w:val="single" w:sz="12" w:space="0" w:color="auto"/>
            </w:tcBorders>
          </w:tcPr>
          <w:p w:rsidR="004B6846" w:rsidRPr="00531141" w:rsidRDefault="004B6846" w:rsidP="00CC0EB7">
            <w:pPr>
              <w:keepLines w:val="0"/>
              <w:autoSpaceDE w:val="0"/>
              <w:autoSpaceDN w:val="0"/>
              <w:adjustRightInd w:val="0"/>
              <w:jc w:val="right"/>
              <w:rPr>
                <w:rFonts w:eastAsiaTheme="minorEastAsia" w:cstheme="majorHAnsi"/>
                <w:bCs/>
                <w:color w:val="000000"/>
                <w:szCs w:val="16"/>
                <w:lang w:eastAsia="en-AU"/>
              </w:rPr>
            </w:pPr>
            <w:r>
              <w:rPr>
                <w:rFonts w:eastAsiaTheme="minorEastAsia" w:cstheme="majorHAnsi"/>
                <w:bCs/>
                <w:color w:val="000000"/>
                <w:szCs w:val="16"/>
                <w:lang w:eastAsia="en-AU"/>
              </w:rPr>
              <w:t>(3 500)</w:t>
            </w:r>
          </w:p>
        </w:tc>
        <w:tc>
          <w:tcPr>
            <w:tcW w:w="5216" w:type="dxa"/>
            <w:tcBorders>
              <w:top w:val="single" w:sz="6" w:space="0" w:color="auto"/>
              <w:bottom w:val="single" w:sz="12" w:space="0" w:color="auto"/>
            </w:tcBorders>
          </w:tcPr>
          <w:p w:rsidR="004B6846" w:rsidRPr="00531141"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531141">
              <w:rPr>
                <w:rFonts w:eastAsiaTheme="minorEastAsia" w:cstheme="majorHAnsi"/>
                <w:bCs/>
                <w:color w:val="000000"/>
                <w:szCs w:val="16"/>
                <w:lang w:eastAsia="en-AU"/>
              </w:rPr>
              <w:t>Net receipts/(payments)</w:t>
            </w:r>
          </w:p>
        </w:tc>
        <w:tc>
          <w:tcPr>
            <w:tcW w:w="850" w:type="dxa"/>
            <w:tcBorders>
              <w:top w:val="single" w:sz="6" w:space="0" w:color="auto"/>
              <w:bottom w:val="single" w:sz="12" w:space="0" w:color="auto"/>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531141">
              <w:rPr>
                <w:rFonts w:eastAsiaTheme="minorEastAsia" w:cstheme="majorHAnsi"/>
                <w:bCs/>
                <w:color w:val="000000"/>
                <w:szCs w:val="16"/>
                <w:lang w:eastAsia="en-AU"/>
              </w:rPr>
              <w:t>(189)</w:t>
            </w:r>
          </w:p>
        </w:tc>
        <w:tc>
          <w:tcPr>
            <w:tcW w:w="850" w:type="dxa"/>
            <w:tcBorders>
              <w:top w:val="single" w:sz="6" w:space="0" w:color="auto"/>
              <w:bottom w:val="single" w:sz="12" w:space="0" w:color="auto"/>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(3 190)</w:t>
            </w:r>
          </w:p>
        </w:tc>
      </w:tr>
    </w:tbl>
    <w:p w:rsidR="004B6846" w:rsidRDefault="004B6846" w:rsidP="00CC0EB7">
      <w:pPr>
        <w:pStyle w:val="Source"/>
      </w:pPr>
      <w:r w:rsidRPr="00D87D22">
        <w:t>Source: Department of Treasury and Finance</w:t>
      </w:r>
    </w:p>
    <w:p w:rsidR="004B6846" w:rsidRDefault="004B6846" w:rsidP="00CC0EB7">
      <w:pPr>
        <w:pStyle w:val="Note"/>
      </w:pPr>
      <w:r>
        <w:t>Note:</w:t>
      </w:r>
    </w:p>
    <w:p w:rsidR="004B6846" w:rsidRDefault="004B6846" w:rsidP="00CC0EB7">
      <w:pPr>
        <w:pStyle w:val="Note"/>
      </w:pPr>
      <w:r>
        <w:t>(a)</w:t>
      </w:r>
      <w:r>
        <w:tab/>
        <w:t>The September 2017 comparative figures have been reclassified to reflect more correct classification of the transactions.</w:t>
      </w:r>
    </w:p>
    <w:p w:rsidR="004B6846" w:rsidRDefault="004B6846" w:rsidP="00CC0EB7">
      <w:pPr>
        <w:keepLines w:val="0"/>
      </w:pPr>
      <w:r>
        <w:br w:type="page"/>
      </w:r>
    </w:p>
    <w:p w:rsidR="004B6846" w:rsidRDefault="004B6846" w:rsidP="00CC0EB7">
      <w:pPr>
        <w:pStyle w:val="Heading2"/>
      </w:pPr>
      <w:r>
        <w:lastRenderedPageBreak/>
        <w:t>Trust fund cash flow statement</w:t>
      </w:r>
    </w:p>
    <w:p w:rsidR="004B6846" w:rsidRPr="00531141" w:rsidRDefault="004B6846" w:rsidP="00CC0EB7">
      <w:pPr>
        <w:pStyle w:val="TableUnits"/>
        <w:rPr>
          <w:bCs/>
          <w:lang w:val="en-US"/>
        </w:rPr>
      </w:pPr>
      <w:r>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5216"/>
        <w:gridCol w:w="850"/>
        <w:gridCol w:w="850"/>
      </w:tblGrid>
      <w:tr w:rsidR="004B6846" w:rsidRPr="00531141" w:rsidTr="00684C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FFFFFF"/>
          </w:tcPr>
          <w:p w:rsidR="004B6846" w:rsidRPr="00531141" w:rsidRDefault="004B6846" w:rsidP="00CC0EB7">
            <w:pPr>
              <w:autoSpaceDE w:val="0"/>
              <w:autoSpaceDN w:val="0"/>
              <w:adjustRightInd w:val="0"/>
              <w:jc w:val="right"/>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2017-18 </w:t>
            </w:r>
          </w:p>
        </w:tc>
        <w:tc>
          <w:tcPr>
            <w:tcW w:w="5216" w:type="dxa"/>
            <w:tcBorders>
              <w:top w:val="nil"/>
              <w:left w:val="nil"/>
              <w:bottom w:val="nil"/>
              <w:right w:val="nil"/>
            </w:tcBorders>
            <w:shd w:val="solid" w:color="000000" w:fill="FFFFFF"/>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1700" w:type="dxa"/>
            <w:gridSpan w:val="2"/>
            <w:tcBorders>
              <w:top w:val="nil"/>
              <w:left w:val="nil"/>
              <w:bottom w:val="nil"/>
              <w:right w:val="nil"/>
            </w:tcBorders>
            <w:shd w:val="solid" w:color="000000" w:fill="FFFFFF"/>
          </w:tcPr>
          <w:p w:rsidR="004B6846" w:rsidRPr="00531141"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2018-19 </w:t>
            </w:r>
          </w:p>
        </w:tc>
      </w:tr>
      <w:tr w:rsidR="004B6846" w:rsidRPr="00531141" w:rsidTr="00684C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FFFFFF"/>
          </w:tcPr>
          <w:p w:rsidR="004B6846" w:rsidRPr="00531141" w:rsidRDefault="004B6846" w:rsidP="00CC0EB7">
            <w:pPr>
              <w:keepLines w:val="0"/>
              <w:autoSpaceDE w:val="0"/>
              <w:autoSpaceDN w:val="0"/>
              <w:adjustRightInd w:val="0"/>
              <w:jc w:val="right"/>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actual </w:t>
            </w:r>
          </w:p>
        </w:tc>
        <w:tc>
          <w:tcPr>
            <w:tcW w:w="5216" w:type="dxa"/>
            <w:tcBorders>
              <w:top w:val="nil"/>
              <w:left w:val="nil"/>
              <w:bottom w:val="nil"/>
              <w:right w:val="nil"/>
            </w:tcBorders>
            <w:shd w:val="solid" w:color="000000" w:fill="FFFFFF"/>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shd w:val="solid" w:color="000000" w:fill="FFFFFF"/>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actual </w:t>
            </w:r>
          </w:p>
        </w:tc>
        <w:tc>
          <w:tcPr>
            <w:tcW w:w="850" w:type="dxa"/>
            <w:tcBorders>
              <w:top w:val="nil"/>
              <w:left w:val="nil"/>
              <w:bottom w:val="nil"/>
              <w:right w:val="nil"/>
            </w:tcBorders>
            <w:shd w:val="solid" w:color="000000" w:fill="FFFFFF"/>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revised</w:t>
            </w:r>
          </w:p>
        </w:tc>
      </w:tr>
      <w:tr w:rsidR="004B6846" w:rsidRPr="00531141" w:rsidTr="00684C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FFFFFF"/>
          </w:tcPr>
          <w:p w:rsidR="004B6846" w:rsidRPr="00531141" w:rsidRDefault="004B6846" w:rsidP="00CC0EB7">
            <w:pPr>
              <w:keepLines w:val="0"/>
              <w:autoSpaceDE w:val="0"/>
              <w:autoSpaceDN w:val="0"/>
              <w:adjustRightInd w:val="0"/>
              <w:jc w:val="right"/>
              <w:rPr>
                <w:rFonts w:eastAsiaTheme="minorEastAsia" w:cstheme="majorHAnsi"/>
                <w:iCs/>
                <w:color w:val="FFFFFF"/>
                <w:szCs w:val="16"/>
                <w:lang w:eastAsia="en-AU"/>
              </w:rPr>
            </w:pPr>
            <w:r w:rsidRPr="00531141">
              <w:rPr>
                <w:rFonts w:eastAsiaTheme="minorEastAsia" w:cstheme="majorHAnsi"/>
                <w:iCs/>
                <w:color w:val="FFFFFF"/>
                <w:szCs w:val="16"/>
                <w:lang w:eastAsia="en-AU"/>
              </w:rPr>
              <w:t>to Sep</w:t>
            </w:r>
          </w:p>
        </w:tc>
        <w:tc>
          <w:tcPr>
            <w:tcW w:w="5216" w:type="dxa"/>
            <w:tcBorders>
              <w:top w:val="nil"/>
              <w:left w:val="nil"/>
              <w:bottom w:val="nil"/>
              <w:right w:val="nil"/>
            </w:tcBorders>
            <w:shd w:val="solid" w:color="000000" w:fill="FFFFFF"/>
          </w:tcPr>
          <w:p w:rsidR="004B6846" w:rsidRPr="00531141"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shd w:val="solid" w:color="000000" w:fill="FFFFFF"/>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to Sep</w:t>
            </w:r>
          </w:p>
        </w:tc>
        <w:tc>
          <w:tcPr>
            <w:tcW w:w="850" w:type="dxa"/>
            <w:tcBorders>
              <w:top w:val="nil"/>
              <w:left w:val="nil"/>
              <w:bottom w:val="nil"/>
              <w:right w:val="nil"/>
            </w:tcBorders>
            <w:shd w:val="solid" w:color="000000" w:fill="FFFFFF"/>
          </w:tcPr>
          <w:p w:rsidR="004B6846" w:rsidRPr="00531141"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budget</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b/>
                <w:bCs/>
                <w:color w:val="000000"/>
                <w:szCs w:val="16"/>
                <w:lang w:eastAsia="en-AU"/>
              </w:rPr>
              <w:t>Cash flows from operating activities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173</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Taxation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176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385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10</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Regulatory fees and fines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4 271</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 xml:space="preserve">Grants received </w:t>
            </w:r>
            <w:r w:rsidRPr="00531141">
              <w:rPr>
                <w:rFonts w:eastAsiaTheme="minorEastAsia" w:cstheme="majorHAnsi"/>
                <w:color w:val="000000"/>
                <w:szCs w:val="16"/>
                <w:vertAlign w:val="superscript"/>
                <w:lang w:eastAsia="en-AU"/>
              </w:rPr>
              <w:t>(a)</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4 560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17 128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93</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 xml:space="preserve">Sale of goods and services </w:t>
            </w:r>
            <w:r w:rsidRPr="00531141">
              <w:rPr>
                <w:rFonts w:eastAsiaTheme="minorEastAsia" w:cstheme="majorHAnsi"/>
                <w:color w:val="000000"/>
                <w:szCs w:val="16"/>
                <w:vertAlign w:val="superscript"/>
                <w:lang w:eastAsia="en-AU"/>
              </w:rPr>
              <w:t>(b)</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24</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493</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55</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Interest received</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168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5</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Dividends received</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12</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63</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1 103</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Net transfers from consolidated fund</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1 087</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3 283</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43</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 xml:space="preserve">Other receipts </w:t>
            </w:r>
            <w:r w:rsidRPr="00531141">
              <w:rPr>
                <w:rFonts w:eastAsiaTheme="minorEastAsia" w:cstheme="majorHAnsi"/>
                <w:color w:val="000000"/>
                <w:szCs w:val="16"/>
                <w:vertAlign w:val="superscript"/>
                <w:lang w:eastAsia="en-AU"/>
              </w:rPr>
              <w:t>(b)</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89</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auto"/>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6"/>
                <w:lang w:eastAsia="en-AU"/>
              </w:rPr>
            </w:pPr>
            <w:r>
              <w:rPr>
                <w:rFonts w:eastAsiaTheme="minorEastAsia" w:cstheme="majorHAnsi"/>
                <w:b/>
                <w:bCs/>
                <w:color w:val="000000"/>
                <w:szCs w:val="16"/>
                <w:lang w:eastAsia="en-AU"/>
              </w:rPr>
              <w:t>5 753</w:t>
            </w:r>
          </w:p>
        </w:tc>
        <w:tc>
          <w:tcPr>
            <w:tcW w:w="5216" w:type="dxa"/>
            <w:tcBorders>
              <w:top w:val="single" w:sz="6" w:space="0" w:color="auto"/>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b/>
                <w:bCs/>
                <w:color w:val="000000"/>
                <w:szCs w:val="16"/>
                <w:lang w:eastAsia="en-AU"/>
              </w:rPr>
              <w:t xml:space="preserve">Total receipts </w:t>
            </w:r>
            <w:r w:rsidRPr="00531141">
              <w:rPr>
                <w:rFonts w:eastAsiaTheme="minorEastAsia" w:cstheme="majorHAnsi"/>
                <w:b/>
                <w:bCs/>
                <w:color w:val="000000"/>
                <w:szCs w:val="16"/>
                <w:vertAlign w:val="superscript"/>
                <w:lang w:eastAsia="en-AU"/>
              </w:rPr>
              <w:t>(a)</w:t>
            </w:r>
          </w:p>
        </w:tc>
        <w:tc>
          <w:tcPr>
            <w:tcW w:w="850" w:type="dxa"/>
            <w:tcBorders>
              <w:top w:val="single" w:sz="6" w:space="0" w:color="auto"/>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6 021</w:t>
            </w:r>
          </w:p>
        </w:tc>
        <w:tc>
          <w:tcPr>
            <w:tcW w:w="850" w:type="dxa"/>
            <w:tcBorders>
              <w:top w:val="single" w:sz="6" w:space="0" w:color="auto"/>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21 672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sidRPr="00531141">
              <w:rPr>
                <w:rFonts w:eastAsiaTheme="minorEastAsia" w:cstheme="majorHAnsi"/>
                <w:color w:val="000000"/>
                <w:szCs w:val="16"/>
                <w:lang w:eastAsia="en-AU"/>
              </w:rPr>
              <w:t>(50)</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Payments for employees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(66)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(229)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sidRPr="00531141">
              <w:rPr>
                <w:rFonts w:eastAsiaTheme="minorEastAsia" w:cstheme="majorHAnsi"/>
                <w:color w:val="000000"/>
                <w:szCs w:val="16"/>
                <w:lang w:eastAsia="en-AU"/>
              </w:rPr>
              <w:t>(4)</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Superannuation</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(16)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sidRPr="00531141">
              <w:rPr>
                <w:rFonts w:eastAsiaTheme="minorEastAsia" w:cstheme="majorHAnsi"/>
                <w:color w:val="000000"/>
                <w:szCs w:val="16"/>
                <w:lang w:eastAsia="en-AU"/>
              </w:rPr>
              <w:t>(1)</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Interest paid</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(4 676)</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 xml:space="preserve">Grants and subsidies </w:t>
            </w:r>
            <w:r w:rsidRPr="00531141">
              <w:rPr>
                <w:rFonts w:eastAsiaTheme="minorEastAsia" w:cstheme="majorHAnsi"/>
                <w:color w:val="000000"/>
                <w:szCs w:val="16"/>
                <w:vertAlign w:val="superscript"/>
                <w:lang w:eastAsia="en-AU"/>
              </w:rPr>
              <w:t>(a)</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(4 955)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(20 398)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6" w:space="0" w:color="auto"/>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sidRPr="00531141">
              <w:rPr>
                <w:rFonts w:eastAsiaTheme="minorEastAsia" w:cstheme="majorHAnsi"/>
                <w:color w:val="000000"/>
                <w:szCs w:val="16"/>
                <w:lang w:eastAsia="en-AU"/>
              </w:rPr>
              <w:t>(509)</w:t>
            </w:r>
          </w:p>
        </w:tc>
        <w:tc>
          <w:tcPr>
            <w:tcW w:w="5216" w:type="dxa"/>
            <w:tcBorders>
              <w:top w:val="nil"/>
              <w:left w:val="nil"/>
              <w:bottom w:val="single" w:sz="6" w:space="0" w:color="auto"/>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Goods and services</w:t>
            </w:r>
          </w:p>
        </w:tc>
        <w:tc>
          <w:tcPr>
            <w:tcW w:w="850" w:type="dxa"/>
            <w:tcBorders>
              <w:top w:val="nil"/>
              <w:left w:val="nil"/>
              <w:bottom w:val="single" w:sz="6" w:space="0" w:color="auto"/>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(542)</w:t>
            </w:r>
          </w:p>
        </w:tc>
        <w:tc>
          <w:tcPr>
            <w:tcW w:w="850" w:type="dxa"/>
            <w:tcBorders>
              <w:top w:val="nil"/>
              <w:left w:val="nil"/>
              <w:bottom w:val="single" w:sz="6" w:space="0" w:color="auto"/>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(1 578)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6"/>
                <w:lang w:eastAsia="en-AU"/>
              </w:rPr>
            </w:pPr>
            <w:r>
              <w:rPr>
                <w:rFonts w:eastAsiaTheme="minorEastAsia" w:cstheme="majorHAnsi"/>
                <w:b/>
                <w:bCs/>
                <w:color w:val="000000"/>
                <w:szCs w:val="16"/>
                <w:lang w:eastAsia="en-AU"/>
              </w:rPr>
              <w:t>(5 239)</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b/>
                <w:bCs/>
                <w:color w:val="000000"/>
                <w:szCs w:val="16"/>
                <w:lang w:eastAsia="en-AU"/>
              </w:rPr>
              <w:t xml:space="preserve">Total payments </w:t>
            </w:r>
            <w:r w:rsidRPr="00531141">
              <w:rPr>
                <w:rFonts w:eastAsiaTheme="minorEastAsia" w:cstheme="majorHAnsi"/>
                <w:b/>
                <w:bCs/>
                <w:color w:val="000000"/>
                <w:szCs w:val="16"/>
                <w:vertAlign w:val="superscript"/>
                <w:lang w:eastAsia="en-AU"/>
              </w:rPr>
              <w:t>(a)</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(5 571)</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(22 226)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auto"/>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6"/>
                <w:lang w:eastAsia="en-AU"/>
              </w:rPr>
            </w:pPr>
            <w:r>
              <w:rPr>
                <w:rFonts w:eastAsiaTheme="minorEastAsia" w:cstheme="majorHAnsi"/>
                <w:b/>
                <w:bCs/>
                <w:color w:val="000000"/>
                <w:szCs w:val="16"/>
                <w:lang w:eastAsia="en-AU"/>
              </w:rPr>
              <w:t>514</w:t>
            </w:r>
          </w:p>
        </w:tc>
        <w:tc>
          <w:tcPr>
            <w:tcW w:w="5216" w:type="dxa"/>
            <w:tcBorders>
              <w:top w:val="single" w:sz="6" w:space="0" w:color="auto"/>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b/>
                <w:bCs/>
                <w:color w:val="000000"/>
                <w:szCs w:val="16"/>
                <w:lang w:eastAsia="en-AU"/>
              </w:rPr>
              <w:t>Net cash flows from operating activities</w:t>
            </w:r>
          </w:p>
        </w:tc>
        <w:tc>
          <w:tcPr>
            <w:tcW w:w="850" w:type="dxa"/>
            <w:tcBorders>
              <w:top w:val="single" w:sz="6" w:space="0" w:color="auto"/>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450</w:t>
            </w:r>
          </w:p>
        </w:tc>
        <w:tc>
          <w:tcPr>
            <w:tcW w:w="850" w:type="dxa"/>
            <w:tcBorders>
              <w:top w:val="single" w:sz="6" w:space="0" w:color="auto"/>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b/>
                <w:bCs/>
                <w:color w:val="000000"/>
                <w:szCs w:val="16"/>
                <w:lang w:eastAsia="en-AU"/>
              </w:rPr>
              <w:t>(555)</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sidRPr="00531141">
              <w:rPr>
                <w:rFonts w:eastAsiaTheme="minorEastAsia" w:cstheme="majorHAnsi"/>
                <w:color w:val="000000"/>
                <w:szCs w:val="16"/>
                <w:lang w:eastAsia="en-AU"/>
              </w:rPr>
              <w:t>(31)</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Purchases of property, plant and equipment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(53)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(54)</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9</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Proceeds from sale of property, plant and equipment</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13</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52</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754</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Net proceeds from customer loans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826</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1 551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6" w:space="0" w:color="auto"/>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sidRPr="00531141">
              <w:rPr>
                <w:rFonts w:eastAsiaTheme="minorEastAsia" w:cstheme="majorHAnsi"/>
                <w:color w:val="000000"/>
                <w:szCs w:val="16"/>
                <w:lang w:eastAsia="en-AU"/>
              </w:rPr>
              <w:t>(459)</w:t>
            </w:r>
          </w:p>
        </w:tc>
        <w:tc>
          <w:tcPr>
            <w:tcW w:w="5216" w:type="dxa"/>
            <w:tcBorders>
              <w:top w:val="nil"/>
              <w:left w:val="nil"/>
              <w:bottom w:val="single" w:sz="6" w:space="0" w:color="auto"/>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Other investing activities</w:t>
            </w:r>
          </w:p>
        </w:tc>
        <w:tc>
          <w:tcPr>
            <w:tcW w:w="850" w:type="dxa"/>
            <w:tcBorders>
              <w:top w:val="nil"/>
              <w:left w:val="nil"/>
              <w:bottom w:val="single" w:sz="6" w:space="0" w:color="auto"/>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(731)</w:t>
            </w:r>
          </w:p>
        </w:tc>
        <w:tc>
          <w:tcPr>
            <w:tcW w:w="850" w:type="dxa"/>
            <w:tcBorders>
              <w:top w:val="nil"/>
              <w:left w:val="nil"/>
              <w:bottom w:val="single" w:sz="6" w:space="0" w:color="auto"/>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(1 898)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6"/>
                <w:lang w:eastAsia="en-AU"/>
              </w:rPr>
            </w:pPr>
            <w:r>
              <w:rPr>
                <w:rFonts w:eastAsiaTheme="minorEastAsia" w:cstheme="majorHAnsi"/>
                <w:b/>
                <w:bCs/>
                <w:color w:val="000000"/>
                <w:szCs w:val="16"/>
                <w:lang w:eastAsia="en-AU"/>
              </w:rPr>
              <w:t>273</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b/>
                <w:bCs/>
                <w:color w:val="000000"/>
                <w:szCs w:val="16"/>
                <w:lang w:eastAsia="en-AU"/>
              </w:rPr>
              <w:t>Net cash flows from investing activities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55</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b/>
                <w:bCs/>
                <w:color w:val="000000"/>
                <w:szCs w:val="16"/>
                <w:lang w:eastAsia="en-AU"/>
              </w:rPr>
              <w:t>(348)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b/>
                <w:bCs/>
                <w:color w:val="000000"/>
                <w:szCs w:val="16"/>
                <w:lang w:eastAsia="en-AU"/>
              </w:rPr>
              <w:t>Cash flows from financing activities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31141" w:rsidRDefault="004B6846" w:rsidP="00CC0EB7">
            <w:pPr>
              <w:keepLines w:val="0"/>
              <w:autoSpaceDE w:val="0"/>
              <w:autoSpaceDN w:val="0"/>
              <w:adjustRightInd w:val="0"/>
              <w:jc w:val="right"/>
              <w:rPr>
                <w:rFonts w:eastAsiaTheme="minorEastAsia" w:cstheme="majorHAnsi"/>
                <w:color w:val="000000"/>
                <w:szCs w:val="16"/>
                <w:lang w:eastAsia="en-AU"/>
              </w:rPr>
            </w:pPr>
            <w:r w:rsidRPr="00531141">
              <w:rPr>
                <w:rFonts w:eastAsiaTheme="minorEastAsia" w:cstheme="majorHAnsi"/>
                <w:color w:val="000000"/>
                <w:szCs w:val="16"/>
                <w:lang w:eastAsia="en-AU"/>
              </w:rPr>
              <w:t>(452)</w:t>
            </w:r>
          </w:p>
        </w:tc>
        <w:tc>
          <w:tcPr>
            <w:tcW w:w="5216" w:type="dxa"/>
            <w:tcBorders>
              <w:top w:val="nil"/>
              <w:left w:val="nil"/>
              <w:bottom w:val="nil"/>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Net proceeds (repayments) from borrowings</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(870)</w:t>
            </w:r>
          </w:p>
        </w:tc>
        <w:tc>
          <w:tcPr>
            <w:tcW w:w="85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(579)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auto"/>
              <w:left w:val="nil"/>
              <w:bottom w:val="single" w:sz="6" w:space="0" w:color="auto"/>
              <w:right w:val="nil"/>
            </w:tcBorders>
          </w:tcPr>
          <w:p w:rsidR="004B6846" w:rsidRPr="00531141" w:rsidRDefault="004B6846" w:rsidP="00CC0EB7">
            <w:pPr>
              <w:keepLines w:val="0"/>
              <w:autoSpaceDE w:val="0"/>
              <w:autoSpaceDN w:val="0"/>
              <w:adjustRightInd w:val="0"/>
              <w:jc w:val="right"/>
              <w:rPr>
                <w:rFonts w:eastAsiaTheme="minorEastAsia" w:cstheme="majorHAnsi"/>
                <w:b/>
                <w:bCs/>
                <w:color w:val="000000"/>
                <w:szCs w:val="16"/>
                <w:lang w:eastAsia="en-AU"/>
              </w:rPr>
            </w:pPr>
            <w:r w:rsidRPr="00531141">
              <w:rPr>
                <w:rFonts w:eastAsiaTheme="minorEastAsia" w:cstheme="majorHAnsi"/>
                <w:b/>
                <w:bCs/>
                <w:color w:val="000000"/>
                <w:szCs w:val="16"/>
                <w:lang w:eastAsia="en-AU"/>
              </w:rPr>
              <w:t>(452)</w:t>
            </w:r>
          </w:p>
        </w:tc>
        <w:tc>
          <w:tcPr>
            <w:tcW w:w="5216" w:type="dxa"/>
            <w:tcBorders>
              <w:top w:val="single" w:sz="6" w:space="0" w:color="auto"/>
              <w:left w:val="nil"/>
              <w:bottom w:val="single" w:sz="6" w:space="0" w:color="auto"/>
              <w:right w:val="nil"/>
            </w:tcBorders>
          </w:tcPr>
          <w:p w:rsidR="004B6846" w:rsidRPr="00531141"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b/>
                <w:bCs/>
                <w:color w:val="000000"/>
                <w:szCs w:val="16"/>
                <w:lang w:eastAsia="en-AU"/>
              </w:rPr>
              <w:t>Net cash flows from financing activities</w:t>
            </w:r>
          </w:p>
        </w:tc>
        <w:tc>
          <w:tcPr>
            <w:tcW w:w="850" w:type="dxa"/>
            <w:tcBorders>
              <w:top w:val="single" w:sz="6" w:space="0" w:color="auto"/>
              <w:left w:val="nil"/>
              <w:bottom w:val="single" w:sz="6" w:space="0" w:color="auto"/>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b/>
                <w:bCs/>
                <w:color w:val="000000"/>
                <w:szCs w:val="16"/>
                <w:lang w:eastAsia="en-AU"/>
              </w:rPr>
              <w:t>(870)</w:t>
            </w:r>
          </w:p>
        </w:tc>
        <w:tc>
          <w:tcPr>
            <w:tcW w:w="850" w:type="dxa"/>
            <w:tcBorders>
              <w:top w:val="single" w:sz="6" w:space="0" w:color="auto"/>
              <w:left w:val="nil"/>
              <w:bottom w:val="single" w:sz="6" w:space="0" w:color="auto"/>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b/>
                <w:bCs/>
                <w:color w:val="000000"/>
                <w:szCs w:val="16"/>
                <w:lang w:eastAsia="en-AU"/>
              </w:rPr>
              <w:t>(579)</w:t>
            </w:r>
          </w:p>
        </w:tc>
      </w:tr>
      <w:tr w:rsidR="004B6846" w:rsidRPr="0053114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auto"/>
              <w:bottom w:val="single" w:sz="12" w:space="0" w:color="auto"/>
            </w:tcBorders>
          </w:tcPr>
          <w:p w:rsidR="004B6846" w:rsidRPr="00531141" w:rsidRDefault="004B6846" w:rsidP="00CC0EB7">
            <w:pPr>
              <w:keepLines w:val="0"/>
              <w:autoSpaceDE w:val="0"/>
              <w:autoSpaceDN w:val="0"/>
              <w:adjustRightInd w:val="0"/>
              <w:jc w:val="right"/>
              <w:rPr>
                <w:rFonts w:eastAsiaTheme="minorEastAsia" w:cstheme="majorHAnsi"/>
                <w:bCs/>
                <w:color w:val="000000"/>
                <w:szCs w:val="16"/>
                <w:lang w:eastAsia="en-AU"/>
              </w:rPr>
            </w:pPr>
            <w:r>
              <w:rPr>
                <w:rFonts w:eastAsiaTheme="minorEastAsia" w:cstheme="majorHAnsi"/>
                <w:bCs/>
                <w:color w:val="000000"/>
                <w:szCs w:val="16"/>
                <w:lang w:eastAsia="en-AU"/>
              </w:rPr>
              <w:t>335</w:t>
            </w:r>
          </w:p>
        </w:tc>
        <w:tc>
          <w:tcPr>
            <w:tcW w:w="5216" w:type="dxa"/>
            <w:tcBorders>
              <w:top w:val="single" w:sz="6" w:space="0" w:color="auto"/>
              <w:bottom w:val="single" w:sz="12" w:space="0" w:color="auto"/>
            </w:tcBorders>
          </w:tcPr>
          <w:p w:rsidR="004B6846" w:rsidRPr="00531141"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531141">
              <w:rPr>
                <w:rFonts w:eastAsiaTheme="minorEastAsia" w:cstheme="majorHAnsi"/>
                <w:bCs/>
                <w:color w:val="000000"/>
                <w:szCs w:val="16"/>
                <w:lang w:eastAsia="en-AU"/>
              </w:rPr>
              <w:t xml:space="preserve">Net cash inflow/(outflow) </w:t>
            </w:r>
          </w:p>
        </w:tc>
        <w:tc>
          <w:tcPr>
            <w:tcW w:w="850" w:type="dxa"/>
            <w:tcBorders>
              <w:top w:val="single" w:sz="6" w:space="0" w:color="auto"/>
              <w:bottom w:val="single" w:sz="12" w:space="0" w:color="auto"/>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531141">
              <w:rPr>
                <w:rFonts w:eastAsiaTheme="minorEastAsia" w:cstheme="majorHAnsi"/>
                <w:bCs/>
                <w:color w:val="000000"/>
                <w:szCs w:val="16"/>
                <w:lang w:eastAsia="en-AU"/>
              </w:rPr>
              <w:t>(366)</w:t>
            </w:r>
          </w:p>
        </w:tc>
        <w:tc>
          <w:tcPr>
            <w:tcW w:w="850" w:type="dxa"/>
            <w:tcBorders>
              <w:top w:val="single" w:sz="6" w:space="0" w:color="auto"/>
              <w:bottom w:val="single" w:sz="12" w:space="0" w:color="auto"/>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(1 481)</w:t>
            </w:r>
          </w:p>
        </w:tc>
      </w:tr>
    </w:tbl>
    <w:p w:rsidR="004B6846" w:rsidRDefault="004B6846" w:rsidP="00CC0EB7">
      <w:pPr>
        <w:pStyle w:val="Source"/>
      </w:pPr>
      <w:r w:rsidRPr="00D87D22">
        <w:t>Source: Department of Treasury and Finance</w:t>
      </w:r>
    </w:p>
    <w:p w:rsidR="004B6846" w:rsidRDefault="004B6846" w:rsidP="00CC0EB7">
      <w:pPr>
        <w:pStyle w:val="Note"/>
      </w:pPr>
      <w:r>
        <w:t>Notes:</w:t>
      </w:r>
    </w:p>
    <w:p w:rsidR="004B6846" w:rsidRDefault="004B6846" w:rsidP="00CC0EB7">
      <w:pPr>
        <w:pStyle w:val="Note"/>
      </w:pPr>
      <w:r>
        <w:t>(a)</w:t>
      </w:r>
      <w:r>
        <w:tab/>
        <w:t>The September 2017 comparative figures have been restated to reflect more current information.</w:t>
      </w:r>
    </w:p>
    <w:p w:rsidR="004B6846" w:rsidRDefault="004B6846" w:rsidP="00CC0EB7">
      <w:pPr>
        <w:pStyle w:val="Note"/>
      </w:pPr>
      <w:r>
        <w:t>(b)</w:t>
      </w:r>
      <w:r>
        <w:tab/>
        <w:t>The September 2017 comparative figures have been reclassified to reflect more correct classification of the transactions.</w:t>
      </w:r>
    </w:p>
    <w:p w:rsidR="004B6846" w:rsidRDefault="004B6846" w:rsidP="00CC0EB7">
      <w:pPr>
        <w:keepLines w:val="0"/>
      </w:pPr>
      <w:r>
        <w:br w:type="page"/>
      </w:r>
    </w:p>
    <w:p w:rsidR="004B6846" w:rsidRDefault="004B6846" w:rsidP="00CC0EB7">
      <w:pPr>
        <w:pStyle w:val="Heading2"/>
      </w:pPr>
      <w:r>
        <w:lastRenderedPageBreak/>
        <w:t>Reconciliation of cash flows to balances held</w:t>
      </w:r>
    </w:p>
    <w:p w:rsidR="004B6846" w:rsidRPr="00531141" w:rsidRDefault="004B6846" w:rsidP="00CC0EB7">
      <w:pPr>
        <w:pStyle w:val="TableUnits"/>
        <w:rPr>
          <w:bCs/>
          <w:lang w:val="en-US"/>
        </w:rPr>
      </w:pPr>
      <w:r>
        <w:t>($ million)</w:t>
      </w:r>
    </w:p>
    <w:tbl>
      <w:tblPr>
        <w:tblStyle w:val="DTFTable"/>
        <w:tblW w:w="7760" w:type="dxa"/>
        <w:tblInd w:w="45" w:type="dxa"/>
        <w:tblLayout w:type="fixed"/>
        <w:tblCellMar>
          <w:left w:w="45" w:type="dxa"/>
          <w:right w:w="45" w:type="dxa"/>
        </w:tblCellMar>
        <w:tblLook w:val="06E0" w:firstRow="1" w:lastRow="1" w:firstColumn="1" w:lastColumn="0" w:noHBand="1" w:noVBand="1"/>
      </w:tblPr>
      <w:tblGrid>
        <w:gridCol w:w="4535"/>
        <w:gridCol w:w="992"/>
        <w:gridCol w:w="1003"/>
        <w:gridCol w:w="1230"/>
      </w:tblGrid>
      <w:tr w:rsidR="00CC0EB7" w:rsidRPr="00531141" w:rsidTr="00684CDB">
        <w:trPr>
          <w:cnfStyle w:val="100000000000" w:firstRow="1" w:lastRow="0" w:firstColumn="0" w:lastColumn="0" w:oddVBand="0" w:evenVBand="0" w:oddHBand="0" w:evenHBand="0" w:firstRowFirstColumn="0" w:firstRowLastColumn="0" w:lastRowFirstColumn="0" w:lastRowLastColumn="0"/>
          <w:trHeight w:val="427"/>
          <w:tblHeader/>
        </w:trPr>
        <w:tc>
          <w:tcPr>
            <w:cnfStyle w:val="001000000000" w:firstRow="0" w:lastRow="0" w:firstColumn="1" w:lastColumn="0" w:oddVBand="0" w:evenVBand="0" w:oddHBand="0" w:evenHBand="0" w:firstRowFirstColumn="0" w:firstRowLastColumn="0" w:lastRowFirstColumn="0" w:lastRowLastColumn="0"/>
            <w:tcW w:w="4535" w:type="dxa"/>
            <w:tcBorders>
              <w:top w:val="single" w:sz="6" w:space="0" w:color="969696"/>
              <w:left w:val="single" w:sz="6" w:space="0" w:color="969696"/>
              <w:right w:val="nil"/>
            </w:tcBorders>
            <w:shd w:val="solid" w:color="000000" w:fill="FFFFFF"/>
          </w:tcPr>
          <w:p w:rsidR="00CC0EB7" w:rsidRPr="00531141" w:rsidRDefault="00CC0EB7" w:rsidP="00CC0EB7">
            <w:pPr>
              <w:autoSpaceDE w:val="0"/>
              <w:autoSpaceDN w:val="0"/>
              <w:adjustRightInd w:val="0"/>
              <w:rPr>
                <w:rFonts w:eastAsiaTheme="minorEastAsia" w:cstheme="majorHAnsi"/>
                <w:color w:val="000000"/>
                <w:lang w:eastAsia="en-AU"/>
              </w:rPr>
            </w:pPr>
            <w:r w:rsidRPr="00531141">
              <w:rPr>
                <w:rFonts w:eastAsiaTheme="minorEastAsia" w:cstheme="majorHAnsi"/>
                <w:color w:val="000000"/>
                <w:lang w:eastAsia="en-AU"/>
              </w:rPr>
              <w:t xml:space="preserve"> </w:t>
            </w:r>
            <w:r>
              <w:rPr>
                <w:rFonts w:eastAsiaTheme="minorEastAsia" w:cstheme="majorHAnsi"/>
                <w:color w:val="000000"/>
                <w:lang w:eastAsia="en-AU"/>
              </w:rPr>
              <w:br/>
            </w:r>
            <w:r w:rsidRPr="00531141">
              <w:rPr>
                <w:rFonts w:eastAsiaTheme="minorEastAsia" w:cstheme="majorHAnsi"/>
                <w:color w:val="000000"/>
                <w:lang w:eastAsia="en-AU"/>
              </w:rPr>
              <w:t xml:space="preserve"> </w:t>
            </w:r>
            <w:r>
              <w:rPr>
                <w:rFonts w:eastAsiaTheme="minorEastAsia" w:cstheme="majorHAnsi"/>
                <w:color w:val="000000"/>
                <w:lang w:eastAsia="en-AU"/>
              </w:rPr>
              <w:br/>
            </w:r>
            <w:r w:rsidRPr="00531141">
              <w:rPr>
                <w:rFonts w:eastAsiaTheme="minorEastAsia" w:cstheme="majorHAnsi"/>
                <w:color w:val="000000"/>
                <w:lang w:eastAsia="en-AU"/>
              </w:rPr>
              <w:t xml:space="preserve"> </w:t>
            </w:r>
          </w:p>
        </w:tc>
        <w:tc>
          <w:tcPr>
            <w:tcW w:w="992" w:type="dxa"/>
            <w:tcBorders>
              <w:top w:val="nil"/>
              <w:left w:val="nil"/>
              <w:right w:val="nil"/>
            </w:tcBorders>
            <w:shd w:val="solid" w:color="000000" w:fill="FFFFFF"/>
          </w:tcPr>
          <w:p w:rsidR="00CC0EB7" w:rsidRPr="00531141"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Balances </w:t>
            </w:r>
            <w:r>
              <w:rPr>
                <w:rFonts w:eastAsiaTheme="minorEastAsia" w:cstheme="majorHAnsi"/>
                <w:iCs/>
                <w:color w:val="FFFFFF"/>
                <w:szCs w:val="16"/>
                <w:lang w:eastAsia="en-AU"/>
              </w:rPr>
              <w:br/>
            </w:r>
            <w:r w:rsidRPr="00531141">
              <w:rPr>
                <w:rFonts w:eastAsiaTheme="minorEastAsia" w:cstheme="majorHAnsi"/>
                <w:iCs/>
                <w:color w:val="FFFFFF"/>
                <w:szCs w:val="16"/>
                <w:lang w:eastAsia="en-AU"/>
              </w:rPr>
              <w:t xml:space="preserve">held at </w:t>
            </w:r>
            <w:r>
              <w:rPr>
                <w:rFonts w:eastAsiaTheme="minorEastAsia" w:cstheme="majorHAnsi"/>
                <w:iCs/>
                <w:color w:val="FFFFFF"/>
                <w:szCs w:val="16"/>
                <w:lang w:eastAsia="en-AU"/>
              </w:rPr>
              <w:br/>
            </w:r>
            <w:r w:rsidRPr="00531141">
              <w:rPr>
                <w:rFonts w:eastAsiaTheme="minorEastAsia" w:cstheme="majorHAnsi"/>
                <w:iCs/>
                <w:color w:val="FFFFFF"/>
                <w:szCs w:val="16"/>
                <w:lang w:eastAsia="en-AU"/>
              </w:rPr>
              <w:t>30 Jun 2018</w:t>
            </w:r>
          </w:p>
        </w:tc>
        <w:tc>
          <w:tcPr>
            <w:tcW w:w="1003" w:type="dxa"/>
            <w:tcBorders>
              <w:top w:val="nil"/>
              <w:left w:val="nil"/>
              <w:right w:val="nil"/>
            </w:tcBorders>
            <w:shd w:val="solid" w:color="000000" w:fill="FFFFFF"/>
          </w:tcPr>
          <w:p w:rsidR="00CC0EB7" w:rsidRPr="00531141"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Sep </w:t>
            </w:r>
            <w:r>
              <w:rPr>
                <w:rFonts w:eastAsiaTheme="minorEastAsia" w:cstheme="majorHAnsi"/>
                <w:iCs/>
                <w:color w:val="FFFFFF"/>
                <w:szCs w:val="16"/>
                <w:lang w:eastAsia="en-AU"/>
              </w:rPr>
              <w:br/>
            </w:r>
            <w:r w:rsidRPr="00531141">
              <w:rPr>
                <w:rFonts w:eastAsiaTheme="minorEastAsia" w:cstheme="majorHAnsi"/>
                <w:iCs/>
                <w:color w:val="FFFFFF"/>
                <w:szCs w:val="16"/>
                <w:lang w:eastAsia="en-AU"/>
              </w:rPr>
              <w:t xml:space="preserve">movement </w:t>
            </w:r>
            <w:r>
              <w:rPr>
                <w:rFonts w:eastAsiaTheme="minorEastAsia" w:cstheme="majorHAnsi"/>
                <w:iCs/>
                <w:color w:val="FFFFFF"/>
                <w:szCs w:val="16"/>
                <w:lang w:eastAsia="en-AU"/>
              </w:rPr>
              <w:br/>
            </w:r>
            <w:r w:rsidRPr="00531141">
              <w:rPr>
                <w:rFonts w:eastAsiaTheme="minorEastAsia" w:cstheme="majorHAnsi"/>
                <w:iCs/>
                <w:color w:val="FFFFFF"/>
                <w:szCs w:val="16"/>
                <w:lang w:eastAsia="en-AU"/>
              </w:rPr>
              <w:t>YTD</w:t>
            </w:r>
          </w:p>
        </w:tc>
        <w:tc>
          <w:tcPr>
            <w:tcW w:w="1230" w:type="dxa"/>
            <w:tcBorders>
              <w:top w:val="nil"/>
              <w:left w:val="nil"/>
              <w:right w:val="nil"/>
            </w:tcBorders>
            <w:shd w:val="solid" w:color="000000" w:fill="FFFFFF"/>
          </w:tcPr>
          <w:p w:rsidR="00CC0EB7" w:rsidRPr="00531141"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31141">
              <w:rPr>
                <w:rFonts w:eastAsiaTheme="minorEastAsia" w:cstheme="majorHAnsi"/>
                <w:iCs/>
                <w:color w:val="FFFFFF"/>
                <w:szCs w:val="16"/>
                <w:lang w:eastAsia="en-AU"/>
              </w:rPr>
              <w:t xml:space="preserve">Balances </w:t>
            </w:r>
            <w:r>
              <w:rPr>
                <w:rFonts w:eastAsiaTheme="minorEastAsia" w:cstheme="majorHAnsi"/>
                <w:iCs/>
                <w:color w:val="FFFFFF"/>
                <w:szCs w:val="16"/>
                <w:lang w:eastAsia="en-AU"/>
              </w:rPr>
              <w:br/>
            </w:r>
            <w:r w:rsidRPr="00531141">
              <w:rPr>
                <w:rFonts w:eastAsiaTheme="minorEastAsia" w:cstheme="majorHAnsi"/>
                <w:iCs/>
                <w:color w:val="FFFFFF"/>
                <w:szCs w:val="16"/>
                <w:lang w:eastAsia="en-AU"/>
              </w:rPr>
              <w:t xml:space="preserve">held at </w:t>
            </w:r>
            <w:r>
              <w:rPr>
                <w:rFonts w:eastAsiaTheme="minorEastAsia" w:cstheme="majorHAnsi"/>
                <w:iCs/>
                <w:color w:val="FFFFFF"/>
                <w:szCs w:val="16"/>
                <w:lang w:eastAsia="en-AU"/>
              </w:rPr>
              <w:br/>
            </w:r>
            <w:r w:rsidRPr="00531141">
              <w:rPr>
                <w:rFonts w:eastAsiaTheme="minorEastAsia" w:cstheme="majorHAnsi"/>
                <w:iCs/>
                <w:color w:val="FFFFFF"/>
                <w:szCs w:val="16"/>
                <w:lang w:eastAsia="en-AU"/>
              </w:rPr>
              <w:t>30 Sep 2019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4B6846" w:rsidRPr="00531141" w:rsidRDefault="004B6846" w:rsidP="00CC0EB7">
            <w:pPr>
              <w:keepLines w:val="0"/>
              <w:autoSpaceDE w:val="0"/>
              <w:autoSpaceDN w:val="0"/>
              <w:adjustRightInd w:val="0"/>
              <w:rPr>
                <w:rFonts w:eastAsiaTheme="minorEastAsia" w:cstheme="majorHAnsi"/>
                <w:b/>
                <w:bCs/>
                <w:color w:val="000000"/>
                <w:szCs w:val="16"/>
                <w:lang w:eastAsia="en-AU"/>
              </w:rPr>
            </w:pPr>
            <w:r w:rsidRPr="00531141">
              <w:rPr>
                <w:rFonts w:eastAsiaTheme="minorEastAsia" w:cstheme="majorHAnsi"/>
                <w:b/>
                <w:bCs/>
                <w:color w:val="000000"/>
                <w:szCs w:val="16"/>
                <w:lang w:eastAsia="en-AU"/>
              </w:rPr>
              <w:t>Cash and deposits</w:t>
            </w:r>
          </w:p>
        </w:tc>
        <w:tc>
          <w:tcPr>
            <w:tcW w:w="992"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1003"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c>
          <w:tcPr>
            <w:tcW w:w="123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4B6846" w:rsidRPr="00531141" w:rsidRDefault="004B6846" w:rsidP="00CC0EB7">
            <w:pPr>
              <w:keepLines w:val="0"/>
              <w:autoSpaceDE w:val="0"/>
              <w:autoSpaceDN w:val="0"/>
              <w:adjustRightInd w:val="0"/>
              <w:rPr>
                <w:rFonts w:eastAsiaTheme="minorEastAsia" w:cstheme="majorHAnsi"/>
                <w:color w:val="000000"/>
                <w:szCs w:val="16"/>
                <w:lang w:eastAsia="en-AU"/>
              </w:rPr>
            </w:pPr>
            <w:r w:rsidRPr="00531141">
              <w:rPr>
                <w:rFonts w:eastAsiaTheme="minorEastAsia" w:cstheme="majorHAnsi"/>
                <w:color w:val="000000"/>
                <w:szCs w:val="16"/>
                <w:lang w:eastAsia="en-AU"/>
              </w:rPr>
              <w:t>Cash and balances outside of the Public Account</w:t>
            </w:r>
          </w:p>
        </w:tc>
        <w:tc>
          <w:tcPr>
            <w:tcW w:w="992"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(1)</w:t>
            </w:r>
          </w:p>
        </w:tc>
        <w:tc>
          <w:tcPr>
            <w:tcW w:w="1003"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(1)</w:t>
            </w:r>
          </w:p>
        </w:tc>
        <w:tc>
          <w:tcPr>
            <w:tcW w:w="123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4B6846" w:rsidRPr="00531141" w:rsidRDefault="004B6846" w:rsidP="00CC0EB7">
            <w:pPr>
              <w:keepLines w:val="0"/>
              <w:autoSpaceDE w:val="0"/>
              <w:autoSpaceDN w:val="0"/>
              <w:adjustRightInd w:val="0"/>
              <w:rPr>
                <w:rFonts w:eastAsiaTheme="minorEastAsia" w:cstheme="majorHAnsi"/>
                <w:color w:val="000000"/>
                <w:szCs w:val="16"/>
                <w:lang w:eastAsia="en-AU"/>
              </w:rPr>
            </w:pPr>
            <w:r w:rsidRPr="00531141">
              <w:rPr>
                <w:rFonts w:eastAsiaTheme="minorEastAsia" w:cstheme="majorHAnsi"/>
                <w:color w:val="000000"/>
                <w:szCs w:val="16"/>
                <w:lang w:eastAsia="en-AU"/>
              </w:rPr>
              <w:t>Deposits held with the Public Account – specific trusts</w:t>
            </w:r>
          </w:p>
        </w:tc>
        <w:tc>
          <w:tcPr>
            <w:tcW w:w="992"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697</w:t>
            </w:r>
          </w:p>
        </w:tc>
        <w:tc>
          <w:tcPr>
            <w:tcW w:w="1003"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329</w:t>
            </w:r>
          </w:p>
        </w:tc>
        <w:tc>
          <w:tcPr>
            <w:tcW w:w="123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1 026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4B6846" w:rsidRPr="00531141" w:rsidRDefault="004B6846" w:rsidP="00CC0EB7">
            <w:pPr>
              <w:keepLines w:val="0"/>
              <w:autoSpaceDE w:val="0"/>
              <w:autoSpaceDN w:val="0"/>
              <w:adjustRightInd w:val="0"/>
              <w:rPr>
                <w:rFonts w:eastAsiaTheme="minorEastAsia" w:cstheme="majorHAnsi"/>
                <w:color w:val="000000"/>
                <w:szCs w:val="16"/>
                <w:lang w:eastAsia="en-AU"/>
              </w:rPr>
            </w:pPr>
            <w:r w:rsidRPr="00531141">
              <w:rPr>
                <w:rFonts w:eastAsiaTheme="minorEastAsia" w:cstheme="majorHAnsi"/>
                <w:color w:val="000000"/>
                <w:szCs w:val="16"/>
                <w:lang w:eastAsia="en-AU"/>
              </w:rPr>
              <w:t>Other balances held in the Public Account</w:t>
            </w:r>
          </w:p>
        </w:tc>
        <w:tc>
          <w:tcPr>
            <w:tcW w:w="992"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3 212</w:t>
            </w:r>
          </w:p>
        </w:tc>
        <w:tc>
          <w:tcPr>
            <w:tcW w:w="1003"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color w:val="000000"/>
                <w:szCs w:val="16"/>
                <w:lang w:eastAsia="en-AU"/>
              </w:rPr>
              <w:t>(984)</w:t>
            </w:r>
          </w:p>
        </w:tc>
        <w:tc>
          <w:tcPr>
            <w:tcW w:w="123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2 228</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4535" w:type="dxa"/>
            <w:tcBorders>
              <w:top w:val="single" w:sz="6" w:space="0" w:color="auto"/>
              <w:left w:val="nil"/>
              <w:bottom w:val="nil"/>
              <w:right w:val="nil"/>
            </w:tcBorders>
          </w:tcPr>
          <w:p w:rsidR="004B6846" w:rsidRPr="00531141" w:rsidRDefault="004B6846" w:rsidP="00CC0EB7">
            <w:pPr>
              <w:keepLines w:val="0"/>
              <w:autoSpaceDE w:val="0"/>
              <w:autoSpaceDN w:val="0"/>
              <w:adjustRightInd w:val="0"/>
              <w:rPr>
                <w:rFonts w:eastAsiaTheme="minorEastAsia" w:cstheme="majorHAnsi"/>
                <w:color w:val="000000"/>
                <w:szCs w:val="16"/>
                <w:lang w:eastAsia="en-AU"/>
              </w:rPr>
            </w:pPr>
            <w:r w:rsidRPr="00531141">
              <w:rPr>
                <w:rFonts w:eastAsiaTheme="minorEastAsia" w:cstheme="majorHAnsi"/>
                <w:b/>
                <w:bCs/>
                <w:color w:val="000000"/>
                <w:szCs w:val="16"/>
                <w:lang w:eastAsia="en-AU"/>
              </w:rPr>
              <w:t>Total cash and deposits</w:t>
            </w:r>
          </w:p>
        </w:tc>
        <w:tc>
          <w:tcPr>
            <w:tcW w:w="992" w:type="dxa"/>
            <w:tcBorders>
              <w:top w:val="single" w:sz="6" w:space="0" w:color="auto"/>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b/>
                <w:bCs/>
                <w:color w:val="000000"/>
                <w:szCs w:val="16"/>
                <w:lang w:eastAsia="en-AU"/>
              </w:rPr>
              <w:t>3 908</w:t>
            </w:r>
          </w:p>
        </w:tc>
        <w:tc>
          <w:tcPr>
            <w:tcW w:w="1003" w:type="dxa"/>
            <w:tcBorders>
              <w:top w:val="single" w:sz="6" w:space="0" w:color="auto"/>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b/>
                <w:bCs/>
                <w:color w:val="000000"/>
                <w:szCs w:val="16"/>
                <w:lang w:eastAsia="en-AU"/>
              </w:rPr>
              <w:t>(656)</w:t>
            </w:r>
          </w:p>
        </w:tc>
        <w:tc>
          <w:tcPr>
            <w:tcW w:w="1230" w:type="dxa"/>
            <w:tcBorders>
              <w:top w:val="single" w:sz="6" w:space="0" w:color="auto"/>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b/>
                <w:bCs/>
                <w:color w:val="000000"/>
                <w:szCs w:val="16"/>
                <w:lang w:eastAsia="en-AU"/>
              </w:rPr>
              <w:t>3 253</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4B6846" w:rsidRPr="00531141" w:rsidRDefault="004B6846" w:rsidP="00CC0EB7">
            <w:pPr>
              <w:keepLines w:val="0"/>
              <w:autoSpaceDE w:val="0"/>
              <w:autoSpaceDN w:val="0"/>
              <w:adjustRightInd w:val="0"/>
              <w:rPr>
                <w:rFonts w:eastAsiaTheme="minorEastAsia" w:cstheme="majorHAnsi"/>
                <w:b/>
                <w:bCs/>
                <w:color w:val="000000"/>
                <w:szCs w:val="16"/>
                <w:lang w:eastAsia="en-AU"/>
              </w:rPr>
            </w:pPr>
            <w:r w:rsidRPr="00531141">
              <w:rPr>
                <w:rFonts w:eastAsiaTheme="minorEastAsia" w:cstheme="majorHAnsi"/>
                <w:b/>
                <w:bCs/>
                <w:color w:val="000000"/>
                <w:szCs w:val="16"/>
                <w:lang w:eastAsia="en-AU"/>
              </w:rPr>
              <w:t>Investments</w:t>
            </w:r>
          </w:p>
        </w:tc>
        <w:tc>
          <w:tcPr>
            <w:tcW w:w="992"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color w:val="000000"/>
                <w:lang w:eastAsia="en-AU"/>
              </w:rPr>
              <w:t xml:space="preserve"> </w:t>
            </w:r>
          </w:p>
        </w:tc>
        <w:tc>
          <w:tcPr>
            <w:tcW w:w="1003"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p>
        </w:tc>
        <w:tc>
          <w:tcPr>
            <w:tcW w:w="123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4B6846" w:rsidRPr="00531141" w:rsidRDefault="004B6846" w:rsidP="00CC0EB7">
            <w:pPr>
              <w:keepLines w:val="0"/>
              <w:autoSpaceDE w:val="0"/>
              <w:autoSpaceDN w:val="0"/>
              <w:adjustRightInd w:val="0"/>
              <w:rPr>
                <w:rFonts w:eastAsiaTheme="minorEastAsia" w:cstheme="majorHAnsi"/>
                <w:b/>
                <w:bCs/>
                <w:color w:val="000000"/>
                <w:szCs w:val="16"/>
                <w:lang w:eastAsia="en-AU"/>
              </w:rPr>
            </w:pPr>
            <w:r w:rsidRPr="00531141">
              <w:rPr>
                <w:rFonts w:eastAsiaTheme="minorEastAsia" w:cstheme="majorHAnsi"/>
                <w:color w:val="000000"/>
                <w:szCs w:val="16"/>
                <w:lang w:eastAsia="en-AU"/>
              </w:rPr>
              <w:t xml:space="preserve">Investments held with the Public Account – specific trusts </w:t>
            </w:r>
          </w:p>
        </w:tc>
        <w:tc>
          <w:tcPr>
            <w:tcW w:w="992"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Pr>
                <w:rFonts w:eastAsiaTheme="minorEastAsia" w:cstheme="majorHAnsi"/>
                <w:color w:val="000000"/>
                <w:szCs w:val="16"/>
                <w:lang w:eastAsia="en-AU"/>
              </w:rPr>
              <w:t>1 500</w:t>
            </w:r>
          </w:p>
        </w:tc>
        <w:tc>
          <w:tcPr>
            <w:tcW w:w="1003"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szCs w:val="16"/>
                <w:lang w:eastAsia="en-AU"/>
              </w:rPr>
              <w:t>(105)</w:t>
            </w:r>
          </w:p>
        </w:tc>
        <w:tc>
          <w:tcPr>
            <w:tcW w:w="123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Pr>
                <w:rFonts w:eastAsiaTheme="minorEastAsia" w:cstheme="majorHAnsi"/>
                <w:color w:val="000000"/>
                <w:szCs w:val="16"/>
                <w:lang w:eastAsia="en-AU"/>
              </w:rPr>
              <w:t>1 396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single" w:sz="6" w:space="0" w:color="auto"/>
              <w:right w:val="nil"/>
            </w:tcBorders>
          </w:tcPr>
          <w:p w:rsidR="004B6846" w:rsidRPr="00531141" w:rsidRDefault="004B6846" w:rsidP="00CC0EB7">
            <w:pPr>
              <w:keepLines w:val="0"/>
              <w:autoSpaceDE w:val="0"/>
              <w:autoSpaceDN w:val="0"/>
              <w:adjustRightInd w:val="0"/>
              <w:rPr>
                <w:rFonts w:eastAsiaTheme="minorEastAsia" w:cstheme="majorHAnsi"/>
                <w:color w:val="000000"/>
                <w:szCs w:val="16"/>
                <w:lang w:eastAsia="en-AU"/>
              </w:rPr>
            </w:pPr>
            <w:r w:rsidRPr="00531141">
              <w:rPr>
                <w:rFonts w:eastAsiaTheme="minorEastAsia" w:cstheme="majorHAnsi"/>
                <w:b/>
                <w:bCs/>
                <w:color w:val="000000"/>
                <w:szCs w:val="16"/>
                <w:lang w:eastAsia="en-AU"/>
              </w:rPr>
              <w:t xml:space="preserve">Total investments </w:t>
            </w:r>
          </w:p>
        </w:tc>
        <w:tc>
          <w:tcPr>
            <w:tcW w:w="992" w:type="dxa"/>
            <w:tcBorders>
              <w:top w:val="nil"/>
              <w:left w:val="nil"/>
              <w:bottom w:val="single" w:sz="6" w:space="0" w:color="auto"/>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b/>
                <w:bCs/>
                <w:color w:val="000000"/>
                <w:szCs w:val="16"/>
                <w:lang w:eastAsia="en-AU"/>
              </w:rPr>
              <w:t>1 500</w:t>
            </w:r>
          </w:p>
        </w:tc>
        <w:tc>
          <w:tcPr>
            <w:tcW w:w="1003" w:type="dxa"/>
            <w:tcBorders>
              <w:top w:val="nil"/>
              <w:left w:val="nil"/>
              <w:bottom w:val="single" w:sz="6" w:space="0" w:color="auto"/>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b/>
                <w:bCs/>
                <w:color w:val="000000"/>
                <w:szCs w:val="16"/>
                <w:lang w:eastAsia="en-AU"/>
              </w:rPr>
              <w:t>(105)</w:t>
            </w:r>
          </w:p>
        </w:tc>
        <w:tc>
          <w:tcPr>
            <w:tcW w:w="1230" w:type="dxa"/>
            <w:tcBorders>
              <w:top w:val="nil"/>
              <w:left w:val="nil"/>
              <w:bottom w:val="single" w:sz="6" w:space="0" w:color="auto"/>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b/>
                <w:bCs/>
                <w:color w:val="000000"/>
                <w:szCs w:val="16"/>
                <w:lang w:eastAsia="en-AU"/>
              </w:rPr>
              <w:t>1 396</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4B6846" w:rsidRPr="00531141" w:rsidRDefault="004B6846" w:rsidP="00CC0EB7">
            <w:pPr>
              <w:keepLines w:val="0"/>
              <w:autoSpaceDE w:val="0"/>
              <w:autoSpaceDN w:val="0"/>
              <w:adjustRightInd w:val="0"/>
              <w:rPr>
                <w:rFonts w:eastAsiaTheme="minorEastAsia" w:cstheme="majorHAnsi"/>
                <w:b/>
                <w:bCs/>
                <w:color w:val="000000"/>
                <w:szCs w:val="16"/>
                <w:lang w:eastAsia="en-AU"/>
              </w:rPr>
            </w:pPr>
            <w:r w:rsidRPr="00531141">
              <w:rPr>
                <w:rFonts w:eastAsiaTheme="minorEastAsia" w:cstheme="majorHAnsi"/>
                <w:b/>
                <w:bCs/>
                <w:color w:val="000000"/>
                <w:szCs w:val="16"/>
                <w:lang w:eastAsia="en-AU"/>
              </w:rPr>
              <w:t xml:space="preserve">Total fund balances </w:t>
            </w:r>
          </w:p>
        </w:tc>
        <w:tc>
          <w:tcPr>
            <w:tcW w:w="992"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5 409</w:t>
            </w:r>
          </w:p>
        </w:tc>
        <w:tc>
          <w:tcPr>
            <w:tcW w:w="1003"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b/>
                <w:bCs/>
                <w:color w:val="000000"/>
                <w:szCs w:val="16"/>
                <w:lang w:eastAsia="en-AU"/>
              </w:rPr>
              <w:t>(760)</w:t>
            </w:r>
          </w:p>
        </w:tc>
        <w:tc>
          <w:tcPr>
            <w:tcW w:w="123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4 649</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4B6846" w:rsidRPr="00531141" w:rsidRDefault="004B6846" w:rsidP="00CC0EB7">
            <w:pPr>
              <w:keepLines w:val="0"/>
              <w:autoSpaceDE w:val="0"/>
              <w:autoSpaceDN w:val="0"/>
              <w:adjustRightInd w:val="0"/>
              <w:rPr>
                <w:rFonts w:eastAsiaTheme="minorEastAsia" w:cstheme="majorHAnsi"/>
                <w:b/>
                <w:bCs/>
                <w:color w:val="000000"/>
                <w:szCs w:val="16"/>
                <w:lang w:eastAsia="en-AU"/>
              </w:rPr>
            </w:pPr>
            <w:r w:rsidRPr="00531141">
              <w:rPr>
                <w:rFonts w:eastAsiaTheme="minorEastAsia" w:cstheme="majorHAnsi"/>
                <w:b/>
                <w:bCs/>
                <w:color w:val="000000"/>
                <w:szCs w:val="16"/>
                <w:lang w:eastAsia="en-AU"/>
              </w:rPr>
              <w:t>Less funds held outside the public account</w:t>
            </w:r>
          </w:p>
        </w:tc>
        <w:tc>
          <w:tcPr>
            <w:tcW w:w="992"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color w:val="000000"/>
                <w:lang w:eastAsia="en-AU"/>
              </w:rPr>
              <w:t xml:space="preserve"> </w:t>
            </w:r>
          </w:p>
        </w:tc>
        <w:tc>
          <w:tcPr>
            <w:tcW w:w="1003"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p>
        </w:tc>
        <w:tc>
          <w:tcPr>
            <w:tcW w:w="123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31141">
              <w:rPr>
                <w:rFonts w:eastAsiaTheme="minorEastAsia" w:cstheme="majorHAnsi"/>
                <w:color w:val="000000"/>
                <w:lang w:eastAsia="en-AU"/>
              </w:rPr>
              <w:t xml:space="preserve"> </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4B6846" w:rsidRPr="00531141" w:rsidRDefault="004B6846" w:rsidP="00CC0EB7">
            <w:pPr>
              <w:keepLines w:val="0"/>
              <w:autoSpaceDE w:val="0"/>
              <w:autoSpaceDN w:val="0"/>
              <w:adjustRightInd w:val="0"/>
              <w:rPr>
                <w:rFonts w:eastAsiaTheme="minorEastAsia" w:cstheme="majorHAnsi"/>
                <w:b/>
                <w:bCs/>
                <w:color w:val="000000"/>
                <w:szCs w:val="16"/>
                <w:lang w:eastAsia="en-AU"/>
              </w:rPr>
            </w:pPr>
            <w:r w:rsidRPr="00531141">
              <w:rPr>
                <w:rFonts w:eastAsiaTheme="minorEastAsia" w:cstheme="majorHAnsi"/>
                <w:color w:val="000000"/>
                <w:szCs w:val="16"/>
                <w:lang w:eastAsia="en-AU"/>
              </w:rPr>
              <w:t>Cash</w:t>
            </w:r>
          </w:p>
        </w:tc>
        <w:tc>
          <w:tcPr>
            <w:tcW w:w="992"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szCs w:val="16"/>
                <w:lang w:eastAsia="en-AU"/>
              </w:rPr>
              <w:t>(1)</w:t>
            </w:r>
          </w:p>
        </w:tc>
        <w:tc>
          <w:tcPr>
            <w:tcW w:w="1003"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szCs w:val="16"/>
                <w:lang w:eastAsia="en-AU"/>
              </w:rPr>
              <w:t>(1)</w:t>
            </w:r>
          </w:p>
        </w:tc>
        <w:tc>
          <w:tcPr>
            <w:tcW w:w="123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31141">
              <w:rPr>
                <w:rFonts w:eastAsiaTheme="minorEastAsia" w:cstheme="majorHAnsi"/>
                <w:color w:val="000000"/>
                <w:szCs w:val="16"/>
                <w:lang w:eastAsia="en-AU"/>
              </w:rPr>
              <w:t>(1)</w:t>
            </w:r>
          </w:p>
        </w:tc>
      </w:tr>
      <w:tr w:rsidR="004B6846" w:rsidRPr="00531141" w:rsidTr="00CC0EB7">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4B6846" w:rsidRPr="00531141" w:rsidRDefault="004B6846" w:rsidP="00CC0EB7">
            <w:pPr>
              <w:keepLines w:val="0"/>
              <w:autoSpaceDE w:val="0"/>
              <w:autoSpaceDN w:val="0"/>
              <w:adjustRightInd w:val="0"/>
              <w:rPr>
                <w:rFonts w:eastAsiaTheme="minorEastAsia" w:cstheme="majorHAnsi"/>
                <w:color w:val="000000"/>
                <w:szCs w:val="16"/>
                <w:lang w:eastAsia="en-AU"/>
              </w:rPr>
            </w:pPr>
            <w:r w:rsidRPr="00531141">
              <w:rPr>
                <w:rFonts w:eastAsiaTheme="minorEastAsia" w:cstheme="majorHAnsi"/>
                <w:b/>
                <w:bCs/>
                <w:color w:val="000000"/>
                <w:szCs w:val="16"/>
                <w:lang w:eastAsia="en-AU"/>
              </w:rPr>
              <w:t>Total fund balances held outside the Public Account</w:t>
            </w:r>
          </w:p>
        </w:tc>
        <w:tc>
          <w:tcPr>
            <w:tcW w:w="992"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b/>
                <w:bCs/>
                <w:color w:val="000000"/>
                <w:szCs w:val="16"/>
                <w:lang w:eastAsia="en-AU"/>
              </w:rPr>
              <w:t>(1)</w:t>
            </w:r>
          </w:p>
        </w:tc>
        <w:tc>
          <w:tcPr>
            <w:tcW w:w="1003"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b/>
                <w:bCs/>
                <w:color w:val="000000"/>
                <w:szCs w:val="16"/>
                <w:lang w:eastAsia="en-AU"/>
              </w:rPr>
              <w:t>(1)</w:t>
            </w:r>
          </w:p>
        </w:tc>
        <w:tc>
          <w:tcPr>
            <w:tcW w:w="1230" w:type="dxa"/>
            <w:tcBorders>
              <w:top w:val="nil"/>
              <w:left w:val="nil"/>
              <w:bottom w:val="nil"/>
              <w:right w:val="nil"/>
            </w:tcBorders>
          </w:tcPr>
          <w:p w:rsidR="004B6846" w:rsidRPr="00531141"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31141">
              <w:rPr>
                <w:rFonts w:eastAsiaTheme="minorEastAsia" w:cstheme="majorHAnsi"/>
                <w:b/>
                <w:bCs/>
                <w:color w:val="000000"/>
                <w:szCs w:val="16"/>
                <w:lang w:eastAsia="en-AU"/>
              </w:rPr>
              <w:t>(1)</w:t>
            </w:r>
          </w:p>
        </w:tc>
      </w:tr>
      <w:tr w:rsidR="004B6846" w:rsidRPr="00531141"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Borders>
              <w:top w:val="single" w:sz="6" w:space="0" w:color="auto"/>
              <w:bottom w:val="single" w:sz="12" w:space="0" w:color="auto"/>
            </w:tcBorders>
          </w:tcPr>
          <w:p w:rsidR="004B6846" w:rsidRPr="00531141" w:rsidRDefault="004B6846" w:rsidP="00CC0EB7">
            <w:pPr>
              <w:keepLines w:val="0"/>
              <w:autoSpaceDE w:val="0"/>
              <w:autoSpaceDN w:val="0"/>
              <w:adjustRightInd w:val="0"/>
              <w:rPr>
                <w:rFonts w:eastAsiaTheme="minorEastAsia" w:cstheme="majorHAnsi"/>
                <w:b w:val="0"/>
                <w:bCs/>
                <w:color w:val="000000"/>
                <w:szCs w:val="16"/>
                <w:lang w:eastAsia="en-AU"/>
              </w:rPr>
            </w:pPr>
            <w:r w:rsidRPr="00531141">
              <w:rPr>
                <w:rFonts w:eastAsiaTheme="minorEastAsia" w:cstheme="majorHAnsi"/>
                <w:bCs/>
                <w:color w:val="000000"/>
                <w:szCs w:val="16"/>
                <w:lang w:eastAsia="en-AU"/>
              </w:rPr>
              <w:t xml:space="preserve">Total fund balances held in the Public Account </w:t>
            </w:r>
          </w:p>
        </w:tc>
        <w:tc>
          <w:tcPr>
            <w:tcW w:w="992" w:type="dxa"/>
            <w:tcBorders>
              <w:top w:val="single" w:sz="6" w:space="0" w:color="auto"/>
              <w:bottom w:val="single" w:sz="12" w:space="0" w:color="auto"/>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16"/>
                <w:lang w:eastAsia="en-AU"/>
              </w:rPr>
            </w:pPr>
            <w:r>
              <w:rPr>
                <w:rFonts w:eastAsiaTheme="minorEastAsia" w:cstheme="majorHAnsi"/>
                <w:bCs/>
                <w:color w:val="000000"/>
                <w:szCs w:val="16"/>
                <w:lang w:eastAsia="en-AU"/>
              </w:rPr>
              <w:t>5 409</w:t>
            </w:r>
          </w:p>
        </w:tc>
        <w:tc>
          <w:tcPr>
            <w:tcW w:w="1003" w:type="dxa"/>
            <w:tcBorders>
              <w:top w:val="single" w:sz="6" w:space="0" w:color="auto"/>
              <w:bottom w:val="single" w:sz="12" w:space="0" w:color="auto"/>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16"/>
                <w:lang w:eastAsia="en-AU"/>
              </w:rPr>
            </w:pPr>
            <w:r w:rsidRPr="00531141">
              <w:rPr>
                <w:rFonts w:eastAsiaTheme="minorEastAsia" w:cstheme="majorHAnsi"/>
                <w:bCs/>
                <w:color w:val="000000"/>
                <w:szCs w:val="16"/>
                <w:lang w:eastAsia="en-AU"/>
              </w:rPr>
              <w:t>(760)</w:t>
            </w:r>
          </w:p>
        </w:tc>
        <w:tc>
          <w:tcPr>
            <w:tcW w:w="1230" w:type="dxa"/>
            <w:tcBorders>
              <w:top w:val="single" w:sz="6" w:space="0" w:color="auto"/>
              <w:bottom w:val="single" w:sz="12" w:space="0" w:color="auto"/>
            </w:tcBorders>
          </w:tcPr>
          <w:p w:rsidR="004B6846" w:rsidRPr="00531141"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 w:val="0"/>
                <w:bCs/>
                <w:color w:val="000000"/>
                <w:szCs w:val="16"/>
                <w:lang w:eastAsia="en-AU"/>
              </w:rPr>
            </w:pPr>
            <w:r>
              <w:rPr>
                <w:rFonts w:eastAsiaTheme="minorEastAsia" w:cstheme="majorHAnsi"/>
                <w:bCs/>
                <w:color w:val="000000"/>
                <w:szCs w:val="16"/>
                <w:lang w:eastAsia="en-AU"/>
              </w:rPr>
              <w:t>4 650</w:t>
            </w:r>
          </w:p>
        </w:tc>
      </w:tr>
    </w:tbl>
    <w:p w:rsidR="004B6846" w:rsidRDefault="004B6846" w:rsidP="00CC0EB7">
      <w:pPr>
        <w:pStyle w:val="Source"/>
      </w:pPr>
      <w:r w:rsidRPr="00D87D22">
        <w:t>Source: Department of Treasury and Finance</w:t>
      </w:r>
    </w:p>
    <w:p w:rsidR="004B6846" w:rsidRDefault="004B6846" w:rsidP="00CC0EB7"/>
    <w:p w:rsidR="004B6846" w:rsidRDefault="004B6846" w:rsidP="00CC0EB7">
      <w:pPr>
        <w:pStyle w:val="Heading2"/>
      </w:pPr>
      <w:r>
        <w:t>Details of securities held</w:t>
      </w:r>
    </w:p>
    <w:p w:rsidR="004B6846" w:rsidRPr="005D5BD9" w:rsidRDefault="004B6846" w:rsidP="00CC0EB7">
      <w:pPr>
        <w:pStyle w:val="TableUnits"/>
        <w:rPr>
          <w:bCs/>
          <w:lang w:val="en-US"/>
        </w:rPr>
      </w:pPr>
      <w:r>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5216"/>
        <w:gridCol w:w="850"/>
        <w:gridCol w:w="850"/>
      </w:tblGrid>
      <w:tr w:rsidR="004B6846" w:rsidRPr="005D5BD9"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FFFFFF"/>
          </w:tcPr>
          <w:p w:rsidR="004B6846" w:rsidRPr="005D5BD9" w:rsidRDefault="004B6846" w:rsidP="00CC0EB7">
            <w:pPr>
              <w:autoSpaceDE w:val="0"/>
              <w:autoSpaceDN w:val="0"/>
              <w:adjustRightInd w:val="0"/>
              <w:jc w:val="right"/>
              <w:rPr>
                <w:rFonts w:eastAsiaTheme="minorEastAsia" w:cstheme="majorHAnsi"/>
                <w:iCs/>
                <w:color w:val="FFFFFF"/>
                <w:szCs w:val="16"/>
                <w:lang w:eastAsia="en-AU"/>
              </w:rPr>
            </w:pPr>
            <w:r w:rsidRPr="005D5BD9">
              <w:rPr>
                <w:rFonts w:eastAsiaTheme="minorEastAsia" w:cstheme="majorHAnsi"/>
                <w:iCs/>
                <w:color w:val="FFFFFF"/>
                <w:szCs w:val="16"/>
                <w:lang w:eastAsia="en-AU"/>
              </w:rPr>
              <w:t xml:space="preserve">2017-18 </w:t>
            </w:r>
          </w:p>
        </w:tc>
        <w:tc>
          <w:tcPr>
            <w:tcW w:w="5216" w:type="dxa"/>
            <w:tcBorders>
              <w:top w:val="nil"/>
              <w:left w:val="nil"/>
              <w:bottom w:val="nil"/>
              <w:right w:val="nil"/>
            </w:tcBorders>
            <w:shd w:val="solid" w:color="000000" w:fill="FFFFFF"/>
          </w:tcPr>
          <w:p w:rsidR="004B6846" w:rsidRPr="005D5BD9"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 xml:space="preserve"> </w:t>
            </w:r>
          </w:p>
        </w:tc>
        <w:tc>
          <w:tcPr>
            <w:tcW w:w="1700" w:type="dxa"/>
            <w:gridSpan w:val="2"/>
            <w:tcBorders>
              <w:top w:val="nil"/>
              <w:left w:val="nil"/>
              <w:bottom w:val="nil"/>
              <w:right w:val="nil"/>
            </w:tcBorders>
            <w:shd w:val="solid" w:color="000000" w:fill="FFFFFF"/>
          </w:tcPr>
          <w:p w:rsidR="004B6846" w:rsidRPr="005D5BD9"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5BD9">
              <w:rPr>
                <w:rFonts w:eastAsiaTheme="minorEastAsia" w:cstheme="majorHAnsi"/>
                <w:iCs/>
                <w:color w:val="FFFFFF"/>
                <w:szCs w:val="16"/>
                <w:lang w:eastAsia="en-AU"/>
              </w:rPr>
              <w:t>2018-19</w:t>
            </w:r>
          </w:p>
        </w:tc>
      </w:tr>
      <w:tr w:rsidR="004B6846" w:rsidRPr="005D5BD9"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FFFFFF"/>
          </w:tcPr>
          <w:p w:rsidR="004B6846" w:rsidRPr="005D5BD9" w:rsidRDefault="004B6846" w:rsidP="00CC0EB7">
            <w:pPr>
              <w:keepLines w:val="0"/>
              <w:autoSpaceDE w:val="0"/>
              <w:autoSpaceDN w:val="0"/>
              <w:adjustRightInd w:val="0"/>
              <w:jc w:val="right"/>
              <w:rPr>
                <w:rFonts w:eastAsiaTheme="minorEastAsia" w:cstheme="majorHAnsi"/>
                <w:iCs/>
                <w:color w:val="FFFFFF"/>
                <w:szCs w:val="16"/>
                <w:lang w:eastAsia="en-AU"/>
              </w:rPr>
            </w:pPr>
            <w:r w:rsidRPr="005D5BD9">
              <w:rPr>
                <w:rFonts w:eastAsiaTheme="minorEastAsia" w:cstheme="majorHAnsi"/>
                <w:iCs/>
                <w:color w:val="FFFFFF"/>
                <w:szCs w:val="16"/>
                <w:lang w:eastAsia="en-AU"/>
              </w:rPr>
              <w:t xml:space="preserve">actual </w:t>
            </w:r>
          </w:p>
        </w:tc>
        <w:tc>
          <w:tcPr>
            <w:tcW w:w="5216" w:type="dxa"/>
            <w:tcBorders>
              <w:top w:val="nil"/>
              <w:left w:val="nil"/>
              <w:bottom w:val="nil"/>
              <w:right w:val="nil"/>
            </w:tcBorders>
            <w:shd w:val="solid" w:color="000000" w:fill="FFFFFF"/>
          </w:tcPr>
          <w:p w:rsidR="004B6846" w:rsidRPr="005D5BD9"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 xml:space="preserve"> </w:t>
            </w:r>
          </w:p>
        </w:tc>
        <w:tc>
          <w:tcPr>
            <w:tcW w:w="850" w:type="dxa"/>
            <w:tcBorders>
              <w:top w:val="nil"/>
              <w:left w:val="nil"/>
              <w:bottom w:val="nil"/>
              <w:right w:val="nil"/>
            </w:tcBorders>
            <w:shd w:val="solid" w:color="000000" w:fill="FFFFFF"/>
          </w:tcPr>
          <w:p w:rsidR="004B6846" w:rsidRPr="005D5BD9"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5BD9">
              <w:rPr>
                <w:rFonts w:eastAsiaTheme="minorEastAsia" w:cstheme="majorHAnsi"/>
                <w:iCs/>
                <w:color w:val="FFFFFF"/>
                <w:szCs w:val="16"/>
                <w:lang w:eastAsia="en-AU"/>
              </w:rPr>
              <w:t>opening</w:t>
            </w:r>
          </w:p>
        </w:tc>
        <w:tc>
          <w:tcPr>
            <w:tcW w:w="850" w:type="dxa"/>
            <w:tcBorders>
              <w:top w:val="nil"/>
              <w:left w:val="nil"/>
              <w:bottom w:val="nil"/>
              <w:right w:val="nil"/>
            </w:tcBorders>
            <w:shd w:val="solid" w:color="000000" w:fill="FFFFFF"/>
          </w:tcPr>
          <w:p w:rsidR="004B6846" w:rsidRPr="005D5BD9"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5BD9">
              <w:rPr>
                <w:rFonts w:eastAsiaTheme="minorEastAsia" w:cstheme="majorHAnsi"/>
                <w:iCs/>
                <w:color w:val="FFFFFF"/>
                <w:szCs w:val="16"/>
                <w:lang w:eastAsia="en-AU"/>
              </w:rPr>
              <w:t xml:space="preserve">actual </w:t>
            </w:r>
          </w:p>
        </w:tc>
      </w:tr>
      <w:tr w:rsidR="004B6846" w:rsidRPr="005D5BD9"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FFFFFF"/>
          </w:tcPr>
          <w:p w:rsidR="004B6846" w:rsidRPr="005D5BD9" w:rsidRDefault="004B6846" w:rsidP="00CC0EB7">
            <w:pPr>
              <w:keepLines w:val="0"/>
              <w:autoSpaceDE w:val="0"/>
              <w:autoSpaceDN w:val="0"/>
              <w:adjustRightInd w:val="0"/>
              <w:jc w:val="right"/>
              <w:rPr>
                <w:rFonts w:eastAsiaTheme="minorEastAsia" w:cstheme="majorHAnsi"/>
                <w:iCs/>
                <w:color w:val="FFFFFF"/>
                <w:szCs w:val="16"/>
                <w:lang w:eastAsia="en-AU"/>
              </w:rPr>
            </w:pPr>
            <w:r w:rsidRPr="005D5BD9">
              <w:rPr>
                <w:rFonts w:eastAsiaTheme="minorEastAsia" w:cstheme="majorHAnsi"/>
                <w:iCs/>
                <w:color w:val="FFFFFF"/>
                <w:szCs w:val="16"/>
                <w:lang w:eastAsia="en-AU"/>
              </w:rPr>
              <w:t>30 Sep</w:t>
            </w:r>
          </w:p>
        </w:tc>
        <w:tc>
          <w:tcPr>
            <w:tcW w:w="5216" w:type="dxa"/>
            <w:tcBorders>
              <w:top w:val="nil"/>
              <w:left w:val="nil"/>
              <w:bottom w:val="nil"/>
              <w:right w:val="nil"/>
            </w:tcBorders>
            <w:shd w:val="solid" w:color="000000" w:fill="FFFFFF"/>
          </w:tcPr>
          <w:p w:rsidR="004B6846" w:rsidRPr="005D5BD9"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 xml:space="preserve"> </w:t>
            </w:r>
          </w:p>
        </w:tc>
        <w:tc>
          <w:tcPr>
            <w:tcW w:w="850" w:type="dxa"/>
            <w:tcBorders>
              <w:top w:val="nil"/>
              <w:left w:val="nil"/>
              <w:bottom w:val="nil"/>
              <w:right w:val="nil"/>
            </w:tcBorders>
            <w:shd w:val="solid" w:color="000000" w:fill="FFFFFF"/>
          </w:tcPr>
          <w:p w:rsidR="004B6846" w:rsidRPr="005D5BD9"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5BD9">
              <w:rPr>
                <w:rFonts w:eastAsiaTheme="minorEastAsia" w:cstheme="majorHAnsi"/>
                <w:iCs/>
                <w:color w:val="FFFFFF"/>
                <w:szCs w:val="16"/>
                <w:lang w:eastAsia="en-AU"/>
              </w:rPr>
              <w:t>1 Jul</w:t>
            </w:r>
          </w:p>
        </w:tc>
        <w:tc>
          <w:tcPr>
            <w:tcW w:w="850" w:type="dxa"/>
            <w:tcBorders>
              <w:top w:val="nil"/>
              <w:left w:val="nil"/>
              <w:bottom w:val="nil"/>
              <w:right w:val="nil"/>
            </w:tcBorders>
            <w:shd w:val="solid" w:color="000000" w:fill="FFFFFF"/>
          </w:tcPr>
          <w:p w:rsidR="004B6846" w:rsidRPr="005D5BD9"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5BD9">
              <w:rPr>
                <w:rFonts w:eastAsiaTheme="minorEastAsia" w:cstheme="majorHAnsi"/>
                <w:iCs/>
                <w:color w:val="FFFFFF"/>
                <w:szCs w:val="16"/>
                <w:lang w:eastAsia="en-AU"/>
              </w:rPr>
              <w:t>30 Sep</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2 125</w:t>
            </w:r>
          </w:p>
        </w:tc>
        <w:tc>
          <w:tcPr>
            <w:tcW w:w="521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5BD9">
              <w:rPr>
                <w:rFonts w:eastAsiaTheme="minorEastAsia" w:cstheme="majorHAnsi"/>
                <w:color w:val="000000"/>
                <w:szCs w:val="16"/>
                <w:lang w:eastAsia="en-AU"/>
              </w:rPr>
              <w:t xml:space="preserve">Amounts invested on behalf of specific trust accounts </w:t>
            </w:r>
            <w:r w:rsidRPr="005D5BD9">
              <w:rPr>
                <w:rFonts w:eastAsiaTheme="minorEastAsia" w:cstheme="majorHAnsi"/>
                <w:color w:val="000000"/>
                <w:szCs w:val="16"/>
                <w:vertAlign w:val="superscript"/>
                <w:lang w:eastAsia="en-AU"/>
              </w:rPr>
              <w:t>(a)</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2 198</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2 422</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szCs w:val="16"/>
                <w:lang w:eastAsia="en-AU"/>
              </w:rPr>
            </w:pPr>
            <w:r w:rsidRPr="005D5BD9">
              <w:rPr>
                <w:rFonts w:eastAsiaTheme="minorEastAsia" w:cstheme="majorHAnsi"/>
                <w:color w:val="000000"/>
                <w:szCs w:val="16"/>
                <w:lang w:eastAsia="en-AU"/>
              </w:rPr>
              <w:t>(226)</w:t>
            </w:r>
          </w:p>
        </w:tc>
        <w:tc>
          <w:tcPr>
            <w:tcW w:w="521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5BD9">
              <w:rPr>
                <w:rFonts w:eastAsiaTheme="minorEastAsia" w:cstheme="majorHAnsi"/>
                <w:color w:val="000000"/>
                <w:szCs w:val="16"/>
                <w:lang w:eastAsia="en-AU"/>
              </w:rPr>
              <w:t>General account balances</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3 211</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2 228</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left w:val="nil"/>
              <w:bottom w:val="single" w:sz="6" w:space="0" w:color="000000"/>
              <w:right w:val="nil"/>
            </w:tcBorders>
          </w:tcPr>
          <w:p w:rsidR="004B6846" w:rsidRPr="005D5BD9" w:rsidRDefault="004B6846" w:rsidP="00CC0EB7">
            <w:pPr>
              <w:keepLines w:val="0"/>
              <w:autoSpaceDE w:val="0"/>
              <w:autoSpaceDN w:val="0"/>
              <w:adjustRightInd w:val="0"/>
              <w:jc w:val="right"/>
              <w:rPr>
                <w:rFonts w:eastAsiaTheme="minorEastAsia" w:cstheme="majorHAnsi"/>
                <w:b/>
                <w:bCs/>
                <w:color w:val="000000"/>
                <w:szCs w:val="16"/>
                <w:lang w:eastAsia="en-AU"/>
              </w:rPr>
            </w:pPr>
            <w:r>
              <w:rPr>
                <w:rFonts w:eastAsiaTheme="minorEastAsia" w:cstheme="majorHAnsi"/>
                <w:b/>
                <w:bCs/>
                <w:color w:val="000000"/>
                <w:szCs w:val="16"/>
                <w:lang w:eastAsia="en-AU"/>
              </w:rPr>
              <w:t>1 899</w:t>
            </w:r>
          </w:p>
        </w:tc>
        <w:tc>
          <w:tcPr>
            <w:tcW w:w="5216" w:type="dxa"/>
            <w:tcBorders>
              <w:top w:val="single" w:sz="6" w:space="0" w:color="000000"/>
              <w:left w:val="nil"/>
              <w:bottom w:val="single" w:sz="6" w:space="0" w:color="000000"/>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5BD9">
              <w:rPr>
                <w:rFonts w:eastAsiaTheme="minorEastAsia" w:cstheme="majorHAnsi"/>
                <w:b/>
                <w:bCs/>
                <w:color w:val="000000"/>
                <w:szCs w:val="16"/>
                <w:lang w:eastAsia="en-AU"/>
              </w:rPr>
              <w:t xml:space="preserve">Total Public Account </w:t>
            </w:r>
            <w:r w:rsidRPr="005D5BD9">
              <w:rPr>
                <w:rFonts w:eastAsiaTheme="minorEastAsia" w:cstheme="majorHAnsi"/>
                <w:b/>
                <w:bCs/>
                <w:color w:val="000000"/>
                <w:szCs w:val="16"/>
                <w:vertAlign w:val="superscript"/>
                <w:lang w:eastAsia="en-AU"/>
              </w:rPr>
              <w:t>(a)</w:t>
            </w:r>
          </w:p>
        </w:tc>
        <w:tc>
          <w:tcPr>
            <w:tcW w:w="850" w:type="dxa"/>
            <w:tcBorders>
              <w:top w:val="single" w:sz="6" w:space="0" w:color="000000"/>
              <w:left w:val="nil"/>
              <w:bottom w:val="single" w:sz="6" w:space="0" w:color="000000"/>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5 409</w:t>
            </w:r>
          </w:p>
        </w:tc>
        <w:tc>
          <w:tcPr>
            <w:tcW w:w="850" w:type="dxa"/>
            <w:tcBorders>
              <w:top w:val="single" w:sz="6" w:space="0" w:color="000000"/>
              <w:left w:val="nil"/>
              <w:bottom w:val="single" w:sz="6" w:space="0" w:color="000000"/>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4 650</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lang w:eastAsia="en-AU"/>
              </w:rPr>
            </w:pPr>
            <w:r w:rsidRPr="005D5BD9">
              <w:rPr>
                <w:rFonts w:eastAsiaTheme="minorEastAsia" w:cstheme="majorHAnsi"/>
                <w:color w:val="000000"/>
                <w:lang w:eastAsia="en-AU"/>
              </w:rPr>
              <w:t xml:space="preserve"> </w:t>
            </w:r>
          </w:p>
        </w:tc>
        <w:tc>
          <w:tcPr>
            <w:tcW w:w="521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5BD9">
              <w:rPr>
                <w:rFonts w:eastAsiaTheme="minorEastAsia" w:cstheme="majorHAnsi"/>
                <w:b/>
                <w:bCs/>
                <w:color w:val="000000"/>
                <w:szCs w:val="16"/>
                <w:lang w:eastAsia="en-AU"/>
              </w:rPr>
              <w:t>Represented by:</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 xml:space="preserve"> </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1 266</w:t>
            </w:r>
          </w:p>
        </w:tc>
        <w:tc>
          <w:tcPr>
            <w:tcW w:w="521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5BD9">
              <w:rPr>
                <w:rFonts w:eastAsiaTheme="minorEastAsia" w:cstheme="majorHAnsi"/>
                <w:color w:val="000000"/>
                <w:szCs w:val="16"/>
                <w:lang w:eastAsia="en-AU"/>
              </w:rPr>
              <w:t xml:space="preserve">Stock, securities, cash and investments </w:t>
            </w:r>
            <w:r w:rsidRPr="005D5BD9">
              <w:rPr>
                <w:rFonts w:eastAsiaTheme="minorEastAsia" w:cstheme="majorHAnsi"/>
                <w:color w:val="000000"/>
                <w:szCs w:val="16"/>
                <w:vertAlign w:val="superscript"/>
                <w:lang w:eastAsia="en-AU"/>
              </w:rPr>
              <w:t>(a)</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3 630</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3 766</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szCs w:val="16"/>
                <w:lang w:eastAsia="en-AU"/>
              </w:rPr>
            </w:pPr>
            <w:r w:rsidRPr="005D5BD9">
              <w:rPr>
                <w:rFonts w:eastAsiaTheme="minorEastAsia" w:cstheme="majorHAnsi"/>
                <w:color w:val="000000"/>
                <w:szCs w:val="16"/>
                <w:lang w:eastAsia="en-AU"/>
              </w:rPr>
              <w:t xml:space="preserve"> </w:t>
            </w:r>
          </w:p>
        </w:tc>
        <w:tc>
          <w:tcPr>
            <w:tcW w:w="521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5BD9">
              <w:rPr>
                <w:rFonts w:eastAsiaTheme="minorEastAsia" w:cstheme="majorHAnsi"/>
                <w:color w:val="000000"/>
                <w:szCs w:val="16"/>
                <w:lang w:eastAsia="en-AU"/>
              </w:rPr>
              <w:t>Add cash advanced for:</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5BD9">
              <w:rPr>
                <w:rFonts w:eastAsiaTheme="minorEastAsia" w:cstheme="majorHAnsi"/>
                <w:color w:val="000000"/>
                <w:szCs w:val="16"/>
                <w:lang w:eastAsia="en-AU"/>
              </w:rPr>
              <w:t xml:space="preserve"> </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5BD9">
              <w:rPr>
                <w:rFonts w:eastAsiaTheme="minorEastAsia" w:cstheme="majorHAnsi"/>
                <w:color w:val="000000"/>
                <w:szCs w:val="16"/>
                <w:lang w:eastAsia="en-AU"/>
              </w:rPr>
              <w:t xml:space="preserve"> </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szCs w:val="16"/>
                <w:lang w:eastAsia="en-AU"/>
              </w:rPr>
            </w:pPr>
            <w:r w:rsidRPr="005D5BD9">
              <w:rPr>
                <w:rFonts w:eastAsiaTheme="minorEastAsia" w:cstheme="majorHAnsi"/>
                <w:color w:val="000000"/>
                <w:szCs w:val="16"/>
                <w:lang w:eastAsia="en-AU"/>
              </w:rPr>
              <w:t>..</w:t>
            </w:r>
          </w:p>
        </w:tc>
        <w:tc>
          <w:tcPr>
            <w:tcW w:w="521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i/>
                <w:iCs/>
                <w:color w:val="000000"/>
                <w:szCs w:val="16"/>
                <w:lang w:eastAsia="en-AU"/>
              </w:rPr>
            </w:pPr>
            <w:r w:rsidRPr="005D5BD9">
              <w:rPr>
                <w:rFonts w:eastAsiaTheme="minorEastAsia" w:cstheme="majorHAnsi"/>
                <w:color w:val="000000"/>
                <w:szCs w:val="16"/>
                <w:lang w:eastAsia="en-AU"/>
              </w:rPr>
              <w:t xml:space="preserve">Temporary Advance from the Treasury Corporation of Victoria to the Consolidated Fund pursuant to Section 38 of the </w:t>
            </w:r>
            <w:r w:rsidRPr="005D5BD9">
              <w:rPr>
                <w:rFonts w:eastAsiaTheme="minorEastAsia" w:cstheme="majorHAnsi"/>
                <w:i/>
                <w:iCs/>
                <w:color w:val="000000"/>
                <w:szCs w:val="16"/>
                <w:lang w:eastAsia="en-AU"/>
              </w:rPr>
              <w:t>Financial Management Act 1994</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850</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5BD9">
              <w:rPr>
                <w:rFonts w:eastAsiaTheme="minorEastAsia" w:cstheme="majorHAnsi"/>
                <w:color w:val="000000"/>
                <w:szCs w:val="16"/>
                <w:lang w:eastAsia="en-AU"/>
              </w:rPr>
              <w:t>..</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szCs w:val="16"/>
                <w:lang w:eastAsia="en-AU"/>
              </w:rPr>
            </w:pPr>
            <w:r>
              <w:rPr>
                <w:rFonts w:eastAsiaTheme="minorEastAsia" w:cstheme="majorHAnsi"/>
                <w:color w:val="000000"/>
                <w:szCs w:val="16"/>
                <w:lang w:eastAsia="en-AU"/>
              </w:rPr>
              <w:t>633</w:t>
            </w:r>
          </w:p>
        </w:tc>
        <w:tc>
          <w:tcPr>
            <w:tcW w:w="521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i/>
                <w:iCs/>
                <w:color w:val="000000"/>
                <w:szCs w:val="16"/>
                <w:lang w:eastAsia="en-AU"/>
              </w:rPr>
            </w:pPr>
            <w:r w:rsidRPr="005D5BD9">
              <w:rPr>
                <w:rFonts w:eastAsiaTheme="minorEastAsia" w:cstheme="majorHAnsi"/>
                <w:color w:val="000000"/>
                <w:szCs w:val="16"/>
                <w:lang w:eastAsia="en-AU"/>
              </w:rPr>
              <w:t xml:space="preserve">Advances pursuant to sections 36 and 37 of the </w:t>
            </w:r>
            <w:r w:rsidRPr="005D5BD9">
              <w:rPr>
                <w:rFonts w:eastAsiaTheme="minorEastAsia" w:cstheme="majorHAnsi"/>
                <w:i/>
                <w:iCs/>
                <w:color w:val="000000"/>
                <w:szCs w:val="16"/>
                <w:lang w:eastAsia="en-AU"/>
              </w:rPr>
              <w:t>Financial Management Act 1994</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929</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884</w:t>
            </w:r>
          </w:p>
        </w:tc>
      </w:tr>
      <w:tr w:rsidR="004B6846" w:rsidRPr="005D5BD9"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5D5BD9" w:rsidRDefault="004B6846" w:rsidP="00CC0EB7">
            <w:pPr>
              <w:keepLines w:val="0"/>
              <w:autoSpaceDE w:val="0"/>
              <w:autoSpaceDN w:val="0"/>
              <w:adjustRightInd w:val="0"/>
              <w:jc w:val="right"/>
              <w:rPr>
                <w:rFonts w:eastAsiaTheme="minorEastAsia" w:cstheme="majorHAnsi"/>
                <w:bCs/>
                <w:color w:val="000000"/>
                <w:szCs w:val="16"/>
                <w:lang w:eastAsia="en-AU"/>
              </w:rPr>
            </w:pPr>
            <w:r>
              <w:rPr>
                <w:rFonts w:eastAsiaTheme="minorEastAsia" w:cstheme="majorHAnsi"/>
                <w:bCs/>
                <w:color w:val="000000"/>
                <w:szCs w:val="16"/>
                <w:lang w:eastAsia="en-AU"/>
              </w:rPr>
              <w:t>1 899</w:t>
            </w:r>
          </w:p>
        </w:tc>
        <w:tc>
          <w:tcPr>
            <w:tcW w:w="5216" w:type="dxa"/>
            <w:tcBorders>
              <w:top w:val="single" w:sz="6" w:space="0" w:color="000000"/>
              <w:bottom w:val="single" w:sz="12" w:space="0" w:color="000000"/>
            </w:tcBorders>
          </w:tcPr>
          <w:p w:rsidR="004B6846" w:rsidRPr="005D5BD9"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5D5BD9">
              <w:rPr>
                <w:rFonts w:eastAsiaTheme="minorEastAsia" w:cstheme="majorHAnsi"/>
                <w:bCs/>
                <w:color w:val="000000"/>
                <w:szCs w:val="16"/>
                <w:lang w:eastAsia="en-AU"/>
              </w:rPr>
              <w:t xml:space="preserve">Total Public Account </w:t>
            </w:r>
            <w:r w:rsidRPr="005D5BD9">
              <w:rPr>
                <w:rFonts w:eastAsiaTheme="minorEastAsia" w:cstheme="majorHAnsi"/>
                <w:bCs/>
                <w:color w:val="000000"/>
                <w:szCs w:val="16"/>
                <w:vertAlign w:val="superscript"/>
                <w:lang w:eastAsia="en-AU"/>
              </w:rPr>
              <w:t>(a)</w:t>
            </w:r>
          </w:p>
        </w:tc>
        <w:tc>
          <w:tcPr>
            <w:tcW w:w="850" w:type="dxa"/>
            <w:tcBorders>
              <w:top w:val="single" w:sz="6" w:space="0" w:color="000000"/>
              <w:bottom w:val="single" w:sz="12" w:space="0" w:color="000000"/>
            </w:tcBorders>
          </w:tcPr>
          <w:p w:rsidR="004B6846" w:rsidRPr="005D5BD9"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5 409</w:t>
            </w:r>
          </w:p>
        </w:tc>
        <w:tc>
          <w:tcPr>
            <w:tcW w:w="850" w:type="dxa"/>
            <w:tcBorders>
              <w:top w:val="single" w:sz="6" w:space="0" w:color="000000"/>
              <w:bottom w:val="single" w:sz="12" w:space="0" w:color="000000"/>
            </w:tcBorders>
          </w:tcPr>
          <w:p w:rsidR="004B6846" w:rsidRPr="005D5BD9"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4 650</w:t>
            </w:r>
          </w:p>
        </w:tc>
      </w:tr>
    </w:tbl>
    <w:p w:rsidR="004B6846" w:rsidRDefault="004B6846" w:rsidP="00CC0EB7">
      <w:pPr>
        <w:pStyle w:val="Source"/>
      </w:pPr>
      <w:r w:rsidRPr="00D87D22">
        <w:t>Source: Department of Treasury and Finance</w:t>
      </w:r>
    </w:p>
    <w:p w:rsidR="004B6846" w:rsidRDefault="004B6846" w:rsidP="00CC0EB7">
      <w:pPr>
        <w:pStyle w:val="Note"/>
      </w:pPr>
      <w:r>
        <w:t>Note:</w:t>
      </w:r>
    </w:p>
    <w:p w:rsidR="004B6846" w:rsidRDefault="004B6846" w:rsidP="00CC0EB7">
      <w:pPr>
        <w:pStyle w:val="Note"/>
      </w:pPr>
      <w:r>
        <w:t>(a)</w:t>
      </w:r>
      <w:r>
        <w:tab/>
        <w:t>The September 2017 comparative figures have been restated to reflect more current information.</w:t>
      </w:r>
    </w:p>
    <w:p w:rsidR="004B6846" w:rsidRDefault="004B6846" w:rsidP="00CC0EB7"/>
    <w:p w:rsidR="004B6846" w:rsidRDefault="004B6846" w:rsidP="00CC0EB7"/>
    <w:p w:rsidR="004B6846" w:rsidRDefault="004B6846">
      <w:pPr>
        <w:keepLines w:val="0"/>
      </w:pPr>
      <w:r>
        <w:br w:type="page"/>
      </w:r>
    </w:p>
    <w:p w:rsidR="004B6846" w:rsidRDefault="004B6846" w:rsidP="00CB74DA">
      <w:pPr>
        <w:pStyle w:val="Heading1-AppendixE0"/>
      </w:pPr>
      <w:r>
        <w:lastRenderedPageBreak/>
        <w:t>OTHER DISCLOSURES</w:t>
      </w:r>
    </w:p>
    <w:p w:rsidR="004B6846" w:rsidRDefault="004B6846" w:rsidP="00CC0EB7">
      <w:pPr>
        <w:pStyle w:val="Heading20"/>
      </w:pPr>
      <w:r>
        <w:t>Introduction</w:t>
      </w:r>
    </w:p>
    <w:p w:rsidR="004B6846" w:rsidRDefault="004B6846" w:rsidP="00CC0EB7">
      <w:r>
        <w:t>This section includes several additional disclosures that assist the understanding of this financial report.</w:t>
      </w:r>
    </w:p>
    <w:p w:rsidR="004B6846" w:rsidRDefault="004B6846" w:rsidP="00CC0EB7">
      <w:pPr>
        <w:pStyle w:val="Heading2"/>
      </w:pPr>
      <w:r>
        <w:t>Other gains/(losses) from other economic flows</w:t>
      </w:r>
    </w:p>
    <w:p w:rsidR="004B6846" w:rsidRPr="005D5BD9" w:rsidRDefault="004B6846" w:rsidP="00CC0EB7">
      <w:pPr>
        <w:pStyle w:val="TableUnits"/>
        <w:rPr>
          <w:bCs/>
          <w:lang w:val="en-US"/>
        </w:rPr>
      </w:pPr>
      <w:r>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5216"/>
        <w:gridCol w:w="850"/>
        <w:gridCol w:w="850"/>
      </w:tblGrid>
      <w:tr w:rsidR="004B6846" w:rsidRPr="005D5BD9"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D5BD9" w:rsidRDefault="004B6846" w:rsidP="00CC0EB7">
            <w:pPr>
              <w:autoSpaceDE w:val="0"/>
              <w:autoSpaceDN w:val="0"/>
              <w:adjustRightInd w:val="0"/>
              <w:jc w:val="right"/>
              <w:rPr>
                <w:rFonts w:eastAsiaTheme="minorEastAsia" w:cstheme="majorHAnsi"/>
                <w:iCs/>
                <w:color w:val="FFFFFF"/>
                <w:szCs w:val="18"/>
                <w:lang w:eastAsia="en-AU"/>
              </w:rPr>
            </w:pPr>
            <w:r w:rsidRPr="005D5BD9">
              <w:rPr>
                <w:rFonts w:eastAsiaTheme="minorEastAsia" w:cstheme="majorHAnsi"/>
                <w:iCs/>
                <w:color w:val="FFFFFF"/>
                <w:szCs w:val="18"/>
                <w:lang w:eastAsia="en-AU"/>
              </w:rPr>
              <w:t>2017-18</w:t>
            </w:r>
          </w:p>
        </w:tc>
        <w:tc>
          <w:tcPr>
            <w:tcW w:w="5216" w:type="dxa"/>
            <w:tcBorders>
              <w:top w:val="nil"/>
              <w:left w:val="nil"/>
              <w:bottom w:val="nil"/>
              <w:right w:val="nil"/>
            </w:tcBorders>
            <w:shd w:val="solid" w:color="000000" w:fill="auto"/>
          </w:tcPr>
          <w:p w:rsidR="004B6846" w:rsidRPr="005D5BD9"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D5BD9">
              <w:rPr>
                <w:rFonts w:eastAsiaTheme="minorEastAsia" w:cstheme="majorHAnsi"/>
                <w:iCs/>
                <w:color w:val="FFFFFF"/>
                <w:lang w:eastAsia="en-AU"/>
              </w:rPr>
              <w:t xml:space="preserve"> </w:t>
            </w:r>
          </w:p>
        </w:tc>
        <w:tc>
          <w:tcPr>
            <w:tcW w:w="1700" w:type="dxa"/>
            <w:gridSpan w:val="2"/>
            <w:tcBorders>
              <w:top w:val="nil"/>
              <w:left w:val="nil"/>
              <w:bottom w:val="nil"/>
              <w:right w:val="nil"/>
            </w:tcBorders>
            <w:shd w:val="solid" w:color="000000" w:fill="auto"/>
          </w:tcPr>
          <w:p w:rsidR="004B6846" w:rsidRPr="005D5BD9" w:rsidRDefault="004B6846" w:rsidP="00CC0EB7">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D5BD9">
              <w:rPr>
                <w:rFonts w:eastAsiaTheme="minorEastAsia" w:cstheme="majorHAnsi"/>
                <w:iCs/>
                <w:color w:val="FFFFFF"/>
                <w:szCs w:val="18"/>
                <w:lang w:eastAsia="en-AU"/>
              </w:rPr>
              <w:t>2018-19</w:t>
            </w:r>
          </w:p>
        </w:tc>
      </w:tr>
      <w:tr w:rsidR="004B6846" w:rsidRPr="005D5BD9"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D5BD9" w:rsidRDefault="004B6846" w:rsidP="00CC0EB7">
            <w:pPr>
              <w:keepLines w:val="0"/>
              <w:autoSpaceDE w:val="0"/>
              <w:autoSpaceDN w:val="0"/>
              <w:adjustRightInd w:val="0"/>
              <w:jc w:val="right"/>
              <w:rPr>
                <w:rFonts w:eastAsiaTheme="minorEastAsia" w:cstheme="majorHAnsi"/>
                <w:iCs/>
                <w:color w:val="FFFFFF"/>
                <w:szCs w:val="18"/>
                <w:lang w:eastAsia="en-AU"/>
              </w:rPr>
            </w:pPr>
            <w:r w:rsidRPr="005D5BD9">
              <w:rPr>
                <w:rFonts w:eastAsiaTheme="minorEastAsia" w:cstheme="majorHAnsi"/>
                <w:iCs/>
                <w:color w:val="FFFFFF"/>
                <w:szCs w:val="18"/>
                <w:lang w:eastAsia="en-AU"/>
              </w:rPr>
              <w:t>actual</w:t>
            </w:r>
          </w:p>
        </w:tc>
        <w:tc>
          <w:tcPr>
            <w:tcW w:w="5216" w:type="dxa"/>
            <w:tcBorders>
              <w:top w:val="nil"/>
              <w:left w:val="nil"/>
              <w:bottom w:val="nil"/>
              <w:right w:val="nil"/>
            </w:tcBorders>
            <w:shd w:val="solid" w:color="000000" w:fill="auto"/>
          </w:tcPr>
          <w:p w:rsidR="004B6846" w:rsidRPr="005D5BD9"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D5BD9">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D5BD9"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D5BD9">
              <w:rPr>
                <w:rFonts w:eastAsiaTheme="minorEastAsia" w:cstheme="majorHAnsi"/>
                <w:iCs/>
                <w:color w:val="FFFFFF"/>
                <w:szCs w:val="18"/>
                <w:lang w:eastAsia="en-AU"/>
              </w:rPr>
              <w:t>actual</w:t>
            </w:r>
          </w:p>
        </w:tc>
        <w:tc>
          <w:tcPr>
            <w:tcW w:w="850" w:type="dxa"/>
            <w:tcBorders>
              <w:top w:val="nil"/>
              <w:left w:val="nil"/>
              <w:bottom w:val="nil"/>
              <w:right w:val="nil"/>
            </w:tcBorders>
            <w:shd w:val="solid" w:color="000000" w:fill="auto"/>
          </w:tcPr>
          <w:p w:rsidR="004B6846" w:rsidRPr="005D5BD9"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D5BD9">
              <w:rPr>
                <w:rFonts w:eastAsiaTheme="minorEastAsia" w:cstheme="majorHAnsi"/>
                <w:iCs/>
                <w:color w:val="FFFFFF"/>
                <w:szCs w:val="18"/>
                <w:lang w:eastAsia="en-AU"/>
              </w:rPr>
              <w:t>revised</w:t>
            </w:r>
          </w:p>
        </w:tc>
      </w:tr>
      <w:tr w:rsidR="004B6846" w:rsidRPr="005D5BD9"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solid" w:color="000000" w:fill="auto"/>
          </w:tcPr>
          <w:p w:rsidR="004B6846" w:rsidRPr="005D5BD9" w:rsidRDefault="004B6846" w:rsidP="00CC0EB7">
            <w:pPr>
              <w:keepLines w:val="0"/>
              <w:autoSpaceDE w:val="0"/>
              <w:autoSpaceDN w:val="0"/>
              <w:adjustRightInd w:val="0"/>
              <w:jc w:val="right"/>
              <w:rPr>
                <w:rFonts w:eastAsiaTheme="minorEastAsia" w:cstheme="majorHAnsi"/>
                <w:iCs/>
                <w:color w:val="FFFFFF"/>
                <w:szCs w:val="18"/>
                <w:lang w:eastAsia="en-AU"/>
              </w:rPr>
            </w:pPr>
            <w:r w:rsidRPr="005D5BD9">
              <w:rPr>
                <w:rFonts w:eastAsiaTheme="minorEastAsia" w:cstheme="majorHAnsi"/>
                <w:iCs/>
                <w:color w:val="FFFFFF"/>
                <w:szCs w:val="18"/>
                <w:lang w:eastAsia="en-AU"/>
              </w:rPr>
              <w:t>30 Sep</w:t>
            </w:r>
          </w:p>
        </w:tc>
        <w:tc>
          <w:tcPr>
            <w:tcW w:w="5216" w:type="dxa"/>
            <w:tcBorders>
              <w:top w:val="nil"/>
              <w:left w:val="nil"/>
              <w:bottom w:val="nil"/>
              <w:right w:val="nil"/>
            </w:tcBorders>
            <w:shd w:val="solid" w:color="000000" w:fill="auto"/>
          </w:tcPr>
          <w:p w:rsidR="004B6846" w:rsidRPr="005D5BD9"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D5BD9">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4B6846" w:rsidRPr="005D5BD9"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D5BD9">
              <w:rPr>
                <w:rFonts w:eastAsiaTheme="minorEastAsia" w:cstheme="majorHAnsi"/>
                <w:iCs/>
                <w:color w:val="FFFFFF"/>
                <w:szCs w:val="18"/>
                <w:lang w:eastAsia="en-AU"/>
              </w:rPr>
              <w:t>30 Sep</w:t>
            </w:r>
          </w:p>
        </w:tc>
        <w:tc>
          <w:tcPr>
            <w:tcW w:w="850" w:type="dxa"/>
            <w:tcBorders>
              <w:top w:val="nil"/>
              <w:left w:val="nil"/>
              <w:bottom w:val="nil"/>
              <w:right w:val="nil"/>
            </w:tcBorders>
            <w:shd w:val="solid" w:color="000000" w:fill="auto"/>
          </w:tcPr>
          <w:p w:rsidR="004B6846" w:rsidRPr="005D5BD9"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D5BD9">
              <w:rPr>
                <w:rFonts w:eastAsiaTheme="minorEastAsia" w:cstheme="majorHAnsi"/>
                <w:iCs/>
                <w:color w:val="FFFFFF"/>
                <w:szCs w:val="18"/>
                <w:lang w:eastAsia="en-AU"/>
              </w:rPr>
              <w:t>budget</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(61)</w:t>
            </w:r>
          </w:p>
        </w:tc>
        <w:tc>
          <w:tcPr>
            <w:tcW w:w="521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5BD9">
              <w:rPr>
                <w:rFonts w:eastAsiaTheme="minorEastAsia" w:cstheme="majorHAnsi"/>
                <w:color w:val="000000"/>
                <w:szCs w:val="18"/>
                <w:lang w:eastAsia="en-AU"/>
              </w:rPr>
              <w:t>Net (increase)/decrease in provision for doubtful receivables</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(109)</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(212)</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(2)</w:t>
            </w:r>
          </w:p>
        </w:tc>
        <w:tc>
          <w:tcPr>
            <w:tcW w:w="521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5BD9">
              <w:rPr>
                <w:rFonts w:eastAsiaTheme="minorEastAsia" w:cstheme="majorHAnsi"/>
                <w:color w:val="000000"/>
                <w:szCs w:val="18"/>
                <w:lang w:eastAsia="en-AU"/>
              </w:rPr>
              <w:t>Amortisation of intangible non-produced assets</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(4)</w:t>
            </w:r>
          </w:p>
        </w:tc>
        <w:tc>
          <w:tcPr>
            <w:tcW w:w="521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5BD9">
              <w:rPr>
                <w:rFonts w:eastAsiaTheme="minorEastAsia" w:cstheme="majorHAnsi"/>
                <w:color w:val="000000"/>
                <w:szCs w:val="18"/>
                <w:lang w:eastAsia="en-AU"/>
              </w:rPr>
              <w:t>Bad debts written off</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(129)</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11</w:t>
            </w:r>
          </w:p>
        </w:tc>
        <w:tc>
          <w:tcPr>
            <w:tcW w:w="521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5BD9">
              <w:rPr>
                <w:rFonts w:eastAsiaTheme="minorEastAsia" w:cstheme="majorHAnsi"/>
                <w:color w:val="000000"/>
                <w:szCs w:val="18"/>
                <w:lang w:eastAsia="en-AU"/>
              </w:rPr>
              <w:t>Other gains/(losses)</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w:t>
            </w:r>
          </w:p>
        </w:tc>
      </w:tr>
      <w:tr w:rsidR="004B6846" w:rsidRPr="005D5BD9"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5D5BD9" w:rsidRDefault="004B6846" w:rsidP="00CC0EB7">
            <w:pPr>
              <w:keepLines w:val="0"/>
              <w:autoSpaceDE w:val="0"/>
              <w:autoSpaceDN w:val="0"/>
              <w:adjustRightInd w:val="0"/>
              <w:jc w:val="right"/>
              <w:rPr>
                <w:rFonts w:eastAsiaTheme="minorEastAsia" w:cstheme="majorHAnsi"/>
                <w:bCs/>
                <w:color w:val="000000"/>
                <w:szCs w:val="18"/>
                <w:lang w:eastAsia="en-AU"/>
              </w:rPr>
            </w:pPr>
            <w:r>
              <w:rPr>
                <w:rFonts w:eastAsiaTheme="minorEastAsia" w:cstheme="majorHAnsi"/>
                <w:bCs/>
                <w:color w:val="000000"/>
                <w:szCs w:val="18"/>
                <w:lang w:eastAsia="en-AU"/>
              </w:rPr>
              <w:t>(56)</w:t>
            </w:r>
          </w:p>
        </w:tc>
        <w:tc>
          <w:tcPr>
            <w:tcW w:w="5216" w:type="dxa"/>
            <w:tcBorders>
              <w:top w:val="single" w:sz="6" w:space="0" w:color="000000"/>
              <w:bottom w:val="single" w:sz="12" w:space="0" w:color="000000"/>
            </w:tcBorders>
          </w:tcPr>
          <w:p w:rsidR="004B6846" w:rsidRPr="005D5BD9"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D5BD9">
              <w:rPr>
                <w:rFonts w:eastAsiaTheme="minorEastAsia" w:cstheme="majorHAnsi"/>
                <w:bCs/>
                <w:color w:val="000000"/>
                <w:szCs w:val="18"/>
                <w:lang w:eastAsia="en-AU"/>
              </w:rPr>
              <w:t>Total other gains/(losses) from other economic flows</w:t>
            </w:r>
          </w:p>
        </w:tc>
        <w:tc>
          <w:tcPr>
            <w:tcW w:w="850" w:type="dxa"/>
            <w:tcBorders>
              <w:top w:val="single" w:sz="6" w:space="0" w:color="000000"/>
              <w:bottom w:val="single" w:sz="12" w:space="0" w:color="000000"/>
            </w:tcBorders>
          </w:tcPr>
          <w:p w:rsidR="004B6846" w:rsidRPr="005D5BD9"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(116)</w:t>
            </w:r>
          </w:p>
        </w:tc>
        <w:tc>
          <w:tcPr>
            <w:tcW w:w="850" w:type="dxa"/>
            <w:tcBorders>
              <w:top w:val="single" w:sz="6" w:space="0" w:color="000000"/>
              <w:bottom w:val="single" w:sz="12" w:space="0" w:color="000000"/>
            </w:tcBorders>
          </w:tcPr>
          <w:p w:rsidR="004B6846" w:rsidRPr="005D5BD9"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Pr>
                <w:rFonts w:eastAsiaTheme="minorEastAsia" w:cstheme="majorHAnsi"/>
                <w:bCs/>
                <w:color w:val="000000"/>
                <w:szCs w:val="18"/>
                <w:lang w:eastAsia="en-AU"/>
              </w:rPr>
              <w:t>(347)</w:t>
            </w:r>
          </w:p>
        </w:tc>
      </w:tr>
    </w:tbl>
    <w:p w:rsidR="004B6846" w:rsidRDefault="004B6846" w:rsidP="00CC0EB7">
      <w:pPr>
        <w:pStyle w:val="Source"/>
      </w:pPr>
      <w:r w:rsidRPr="00D87D22">
        <w:t>Source: Department of Treasury and Finance</w:t>
      </w:r>
    </w:p>
    <w:p w:rsidR="004B6846" w:rsidRDefault="004B6846" w:rsidP="00CC0EB7"/>
    <w:p w:rsidR="004B6846" w:rsidRDefault="004B6846" w:rsidP="00CC0EB7">
      <w:pPr>
        <w:pStyle w:val="Heading2"/>
      </w:pPr>
      <w:r>
        <w:t>Reconciliation of cash and cash equivalents</w:t>
      </w:r>
    </w:p>
    <w:p w:rsidR="004B6846" w:rsidRPr="005D5BD9" w:rsidRDefault="004B6846" w:rsidP="00CC0EB7">
      <w:pPr>
        <w:pStyle w:val="TableUnits"/>
        <w:rPr>
          <w:bCs/>
          <w:lang w:val="en-US"/>
        </w:rPr>
      </w:pPr>
      <w:r>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6066"/>
        <w:gridCol w:w="850"/>
      </w:tblGrid>
      <w:tr w:rsidR="00CC0EB7" w:rsidRPr="005D5BD9" w:rsidTr="00684CDB">
        <w:trPr>
          <w:cnfStyle w:val="100000000000" w:firstRow="1" w:lastRow="0" w:firstColumn="0" w:lastColumn="0" w:oddVBand="0" w:evenVBand="0" w:oddHBand="0" w:evenHBand="0" w:firstRowFirstColumn="0" w:firstRowLastColumn="0" w:lastRowFirstColumn="0" w:lastRowLastColumn="0"/>
          <w:trHeight w:val="388"/>
          <w:tblHeader/>
        </w:trPr>
        <w:tc>
          <w:tcPr>
            <w:cnfStyle w:val="001000000000" w:firstRow="0" w:lastRow="0" w:firstColumn="1" w:lastColumn="0" w:oddVBand="0" w:evenVBand="0" w:oddHBand="0" w:evenHBand="0" w:firstRowFirstColumn="0" w:firstRowLastColumn="0" w:lastRowFirstColumn="0" w:lastRowLastColumn="0"/>
            <w:tcW w:w="850" w:type="dxa"/>
            <w:tcBorders>
              <w:top w:val="nil"/>
              <w:left w:val="nil"/>
              <w:right w:val="nil"/>
            </w:tcBorders>
            <w:shd w:val="solid" w:color="000000" w:fill="auto"/>
          </w:tcPr>
          <w:p w:rsidR="00CC0EB7" w:rsidRPr="005D5BD9" w:rsidRDefault="00CC0EB7" w:rsidP="00CC0EB7">
            <w:pPr>
              <w:autoSpaceDE w:val="0"/>
              <w:autoSpaceDN w:val="0"/>
              <w:adjustRightInd w:val="0"/>
              <w:jc w:val="right"/>
              <w:rPr>
                <w:rFonts w:eastAsiaTheme="minorEastAsia" w:cstheme="majorHAnsi"/>
                <w:iCs/>
                <w:color w:val="FFFFFF"/>
                <w:szCs w:val="18"/>
                <w:lang w:eastAsia="en-AU"/>
              </w:rPr>
            </w:pPr>
            <w:r w:rsidRPr="005D5BD9">
              <w:rPr>
                <w:rFonts w:eastAsiaTheme="minorEastAsia" w:cstheme="majorHAnsi"/>
                <w:iCs/>
                <w:color w:val="FFFFFF"/>
                <w:szCs w:val="18"/>
                <w:lang w:eastAsia="en-AU"/>
              </w:rPr>
              <w:t>2017-18</w:t>
            </w:r>
            <w:r>
              <w:rPr>
                <w:rFonts w:eastAsiaTheme="minorEastAsia" w:cstheme="majorHAnsi"/>
                <w:iCs/>
                <w:color w:val="FFFFFF"/>
                <w:szCs w:val="18"/>
                <w:lang w:eastAsia="en-AU"/>
              </w:rPr>
              <w:br/>
            </w:r>
            <w:r w:rsidRPr="005D5BD9">
              <w:rPr>
                <w:rFonts w:eastAsiaTheme="minorEastAsia" w:cstheme="majorHAnsi"/>
                <w:iCs/>
                <w:color w:val="FFFFFF"/>
                <w:szCs w:val="18"/>
                <w:lang w:eastAsia="en-AU"/>
              </w:rPr>
              <w:t>actual</w:t>
            </w:r>
            <w:r>
              <w:rPr>
                <w:rFonts w:eastAsiaTheme="minorEastAsia" w:cstheme="majorHAnsi"/>
                <w:iCs/>
                <w:color w:val="FFFFFF"/>
                <w:szCs w:val="18"/>
                <w:lang w:eastAsia="en-AU"/>
              </w:rPr>
              <w:br/>
            </w:r>
            <w:r w:rsidRPr="005D5BD9">
              <w:rPr>
                <w:rFonts w:eastAsiaTheme="minorEastAsia" w:cstheme="majorHAnsi"/>
                <w:iCs/>
                <w:color w:val="FFFFFF"/>
                <w:szCs w:val="18"/>
                <w:lang w:eastAsia="en-AU"/>
              </w:rPr>
              <w:t>30 Sep</w:t>
            </w:r>
          </w:p>
        </w:tc>
        <w:tc>
          <w:tcPr>
            <w:tcW w:w="6066" w:type="dxa"/>
            <w:tcBorders>
              <w:top w:val="nil"/>
              <w:left w:val="nil"/>
              <w:right w:val="nil"/>
            </w:tcBorders>
            <w:shd w:val="solid" w:color="000000" w:fill="auto"/>
          </w:tcPr>
          <w:p w:rsidR="00CC0EB7" w:rsidRPr="005D5BD9" w:rsidRDefault="00CC0EB7"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D5BD9">
              <w:rPr>
                <w:rFonts w:eastAsiaTheme="minorEastAsia" w:cstheme="majorHAnsi"/>
                <w:iCs/>
                <w:color w:val="FFFFFF"/>
                <w:lang w:eastAsia="en-AU"/>
              </w:rPr>
              <w:t xml:space="preserve"> </w:t>
            </w:r>
            <w:r>
              <w:rPr>
                <w:rFonts w:eastAsiaTheme="minorEastAsia" w:cstheme="majorHAnsi"/>
                <w:iCs/>
                <w:color w:val="FFFFFF"/>
                <w:lang w:eastAsia="en-AU"/>
              </w:rPr>
              <w:br/>
            </w:r>
            <w:r w:rsidRPr="005D5BD9">
              <w:rPr>
                <w:rFonts w:eastAsiaTheme="minorEastAsia" w:cstheme="majorHAnsi"/>
                <w:iCs/>
                <w:color w:val="FFFFFF"/>
                <w:lang w:eastAsia="en-AU"/>
              </w:rPr>
              <w:t xml:space="preserve"> </w:t>
            </w:r>
            <w:r>
              <w:rPr>
                <w:rFonts w:eastAsiaTheme="minorEastAsia" w:cstheme="majorHAnsi"/>
                <w:iCs/>
                <w:color w:val="FFFFFF"/>
                <w:lang w:eastAsia="en-AU"/>
              </w:rPr>
              <w:br/>
            </w:r>
            <w:r w:rsidRPr="005D5BD9">
              <w:rPr>
                <w:rFonts w:eastAsiaTheme="minorEastAsia" w:cstheme="majorHAnsi"/>
                <w:iCs/>
                <w:color w:val="FFFFFF"/>
                <w:lang w:eastAsia="en-AU"/>
              </w:rPr>
              <w:t xml:space="preserve"> </w:t>
            </w:r>
          </w:p>
        </w:tc>
        <w:tc>
          <w:tcPr>
            <w:tcW w:w="850" w:type="dxa"/>
            <w:tcBorders>
              <w:top w:val="nil"/>
              <w:left w:val="nil"/>
              <w:right w:val="nil"/>
            </w:tcBorders>
            <w:shd w:val="solid" w:color="000000" w:fill="auto"/>
          </w:tcPr>
          <w:p w:rsidR="00CC0EB7" w:rsidRPr="005D5BD9" w:rsidRDefault="00CC0EB7"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D5BD9">
              <w:rPr>
                <w:rFonts w:eastAsiaTheme="minorEastAsia" w:cstheme="majorHAnsi"/>
                <w:iCs/>
                <w:color w:val="FFFFFF"/>
                <w:szCs w:val="18"/>
                <w:lang w:eastAsia="en-AU"/>
              </w:rPr>
              <w:t>2018-19</w:t>
            </w:r>
            <w:r>
              <w:rPr>
                <w:rFonts w:eastAsiaTheme="minorEastAsia" w:cstheme="majorHAnsi"/>
                <w:iCs/>
                <w:color w:val="FFFFFF"/>
                <w:szCs w:val="18"/>
                <w:lang w:eastAsia="en-AU"/>
              </w:rPr>
              <w:br/>
            </w:r>
            <w:r w:rsidRPr="005D5BD9">
              <w:rPr>
                <w:rFonts w:eastAsiaTheme="minorEastAsia" w:cstheme="majorHAnsi"/>
                <w:iCs/>
                <w:color w:val="FFFFFF"/>
                <w:szCs w:val="18"/>
                <w:lang w:eastAsia="en-AU"/>
              </w:rPr>
              <w:t>actual</w:t>
            </w:r>
            <w:r>
              <w:rPr>
                <w:rFonts w:eastAsiaTheme="minorEastAsia" w:cstheme="majorHAnsi"/>
                <w:iCs/>
                <w:color w:val="FFFFFF"/>
                <w:szCs w:val="18"/>
                <w:lang w:eastAsia="en-AU"/>
              </w:rPr>
              <w:br/>
            </w:r>
            <w:r w:rsidRPr="005D5BD9">
              <w:rPr>
                <w:rFonts w:eastAsiaTheme="minorEastAsia" w:cstheme="majorHAnsi"/>
                <w:iCs/>
                <w:color w:val="FFFFFF"/>
                <w:szCs w:val="18"/>
                <w:lang w:eastAsia="en-AU"/>
              </w:rPr>
              <w:t>30 Sep</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szCs w:val="18"/>
                <w:lang w:eastAsia="en-AU"/>
              </w:rPr>
            </w:pPr>
            <w:r w:rsidRPr="005D5BD9">
              <w:rPr>
                <w:rFonts w:eastAsiaTheme="minorEastAsia" w:cstheme="majorHAnsi"/>
                <w:color w:val="000000"/>
                <w:szCs w:val="18"/>
                <w:lang w:eastAsia="en-AU"/>
              </w:rPr>
              <w:t>1 429</w:t>
            </w:r>
          </w:p>
        </w:tc>
        <w:tc>
          <w:tcPr>
            <w:tcW w:w="606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5BD9">
              <w:rPr>
                <w:rFonts w:eastAsiaTheme="minorEastAsia" w:cstheme="majorHAnsi"/>
                <w:color w:val="000000"/>
                <w:szCs w:val="18"/>
                <w:lang w:eastAsia="en-AU"/>
              </w:rPr>
              <w:t>Cash</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5BD9">
              <w:rPr>
                <w:rFonts w:eastAsiaTheme="minorEastAsia" w:cstheme="majorHAnsi"/>
                <w:color w:val="000000"/>
                <w:szCs w:val="18"/>
                <w:lang w:eastAsia="en-AU"/>
              </w:rPr>
              <w:t>1 748</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single" w:sz="6" w:space="0" w:color="000000"/>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szCs w:val="18"/>
                <w:lang w:eastAsia="en-AU"/>
              </w:rPr>
            </w:pPr>
            <w:r w:rsidRPr="005D5BD9">
              <w:rPr>
                <w:rFonts w:eastAsiaTheme="minorEastAsia" w:cstheme="majorHAnsi"/>
                <w:color w:val="000000"/>
                <w:szCs w:val="18"/>
                <w:lang w:eastAsia="en-AU"/>
              </w:rPr>
              <w:t>2 717</w:t>
            </w:r>
          </w:p>
        </w:tc>
        <w:tc>
          <w:tcPr>
            <w:tcW w:w="6066" w:type="dxa"/>
            <w:tcBorders>
              <w:top w:val="nil"/>
              <w:left w:val="nil"/>
              <w:bottom w:val="single" w:sz="6" w:space="0" w:color="000000"/>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5BD9">
              <w:rPr>
                <w:rFonts w:eastAsiaTheme="minorEastAsia" w:cstheme="majorHAnsi"/>
                <w:color w:val="000000"/>
                <w:szCs w:val="18"/>
                <w:lang w:eastAsia="en-AU"/>
              </w:rPr>
              <w:t>Deposits at call</w:t>
            </w:r>
          </w:p>
        </w:tc>
        <w:tc>
          <w:tcPr>
            <w:tcW w:w="850" w:type="dxa"/>
            <w:tcBorders>
              <w:top w:val="nil"/>
              <w:left w:val="nil"/>
              <w:bottom w:val="single" w:sz="6" w:space="0" w:color="000000"/>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5BD9">
              <w:rPr>
                <w:rFonts w:eastAsiaTheme="minorEastAsia" w:cstheme="majorHAnsi"/>
                <w:color w:val="000000"/>
                <w:szCs w:val="18"/>
                <w:lang w:eastAsia="en-AU"/>
              </w:rPr>
              <w:t>4 191</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b/>
                <w:bCs/>
                <w:color w:val="000000"/>
                <w:szCs w:val="18"/>
                <w:lang w:eastAsia="en-AU"/>
              </w:rPr>
            </w:pPr>
            <w:r w:rsidRPr="005D5BD9">
              <w:rPr>
                <w:rFonts w:eastAsiaTheme="minorEastAsia" w:cstheme="majorHAnsi"/>
                <w:b/>
                <w:bCs/>
                <w:color w:val="000000"/>
                <w:szCs w:val="18"/>
                <w:lang w:eastAsia="en-AU"/>
              </w:rPr>
              <w:t>4 146</w:t>
            </w:r>
          </w:p>
        </w:tc>
        <w:tc>
          <w:tcPr>
            <w:tcW w:w="606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5BD9">
              <w:rPr>
                <w:rFonts w:eastAsiaTheme="minorEastAsia" w:cstheme="majorHAnsi"/>
                <w:b/>
                <w:bCs/>
                <w:color w:val="000000"/>
                <w:szCs w:val="18"/>
                <w:lang w:eastAsia="en-AU"/>
              </w:rPr>
              <w:t>Cash and cash equivalents</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5BD9">
              <w:rPr>
                <w:rFonts w:eastAsiaTheme="minorEastAsia" w:cstheme="majorHAnsi"/>
                <w:b/>
                <w:bCs/>
                <w:color w:val="000000"/>
                <w:szCs w:val="18"/>
                <w:lang w:eastAsia="en-AU"/>
              </w:rPr>
              <w:t>5 940</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szCs w:val="18"/>
                <w:lang w:eastAsia="en-AU"/>
              </w:rPr>
            </w:pPr>
            <w:r>
              <w:rPr>
                <w:rFonts w:eastAsiaTheme="minorEastAsia" w:cstheme="majorHAnsi"/>
                <w:color w:val="000000"/>
                <w:szCs w:val="18"/>
                <w:lang w:eastAsia="en-AU"/>
              </w:rPr>
              <w:t>..</w:t>
            </w:r>
            <w:r w:rsidRPr="005D5BD9">
              <w:rPr>
                <w:rFonts w:eastAsiaTheme="minorEastAsia" w:cstheme="majorHAnsi"/>
                <w:color w:val="000000"/>
                <w:szCs w:val="18"/>
                <w:lang w:eastAsia="en-AU"/>
              </w:rPr>
              <w:t xml:space="preserve"> </w:t>
            </w:r>
          </w:p>
        </w:tc>
        <w:tc>
          <w:tcPr>
            <w:tcW w:w="606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5BD9">
              <w:rPr>
                <w:rFonts w:eastAsiaTheme="minorEastAsia" w:cstheme="majorHAnsi"/>
                <w:color w:val="000000"/>
                <w:szCs w:val="18"/>
                <w:lang w:eastAsia="en-AU"/>
              </w:rPr>
              <w:t>Bank overdraft</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r w:rsidRPr="005D5BD9">
              <w:rPr>
                <w:rFonts w:eastAsiaTheme="minorEastAsia" w:cstheme="majorHAnsi"/>
                <w:color w:val="000000"/>
                <w:szCs w:val="18"/>
                <w:lang w:eastAsia="en-AU"/>
              </w:rPr>
              <w:t xml:space="preserve"> </w:t>
            </w:r>
          </w:p>
        </w:tc>
      </w:tr>
      <w:tr w:rsidR="004B6846" w:rsidRPr="005D5BD9"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000000"/>
              <w:bottom w:val="single" w:sz="12" w:space="0" w:color="000000"/>
            </w:tcBorders>
          </w:tcPr>
          <w:p w:rsidR="004B6846" w:rsidRPr="005D5BD9" w:rsidRDefault="004B6846" w:rsidP="00CC0EB7">
            <w:pPr>
              <w:keepLines w:val="0"/>
              <w:autoSpaceDE w:val="0"/>
              <w:autoSpaceDN w:val="0"/>
              <w:adjustRightInd w:val="0"/>
              <w:jc w:val="right"/>
              <w:rPr>
                <w:rFonts w:eastAsiaTheme="minorEastAsia" w:cstheme="majorHAnsi"/>
                <w:bCs/>
                <w:color w:val="000000"/>
                <w:szCs w:val="18"/>
                <w:lang w:eastAsia="en-AU"/>
              </w:rPr>
            </w:pPr>
            <w:r w:rsidRPr="005D5BD9">
              <w:rPr>
                <w:rFonts w:eastAsiaTheme="minorEastAsia" w:cstheme="majorHAnsi"/>
                <w:bCs/>
                <w:color w:val="000000"/>
                <w:szCs w:val="18"/>
                <w:lang w:eastAsia="en-AU"/>
              </w:rPr>
              <w:t>4 146</w:t>
            </w:r>
          </w:p>
        </w:tc>
        <w:tc>
          <w:tcPr>
            <w:tcW w:w="6066" w:type="dxa"/>
            <w:tcBorders>
              <w:top w:val="single" w:sz="6" w:space="0" w:color="000000"/>
              <w:bottom w:val="single" w:sz="12" w:space="0" w:color="000000"/>
            </w:tcBorders>
          </w:tcPr>
          <w:p w:rsidR="004B6846" w:rsidRPr="005D5BD9"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D5BD9">
              <w:rPr>
                <w:rFonts w:eastAsiaTheme="minorEastAsia" w:cstheme="majorHAnsi"/>
                <w:bCs/>
                <w:color w:val="000000"/>
                <w:szCs w:val="18"/>
                <w:lang w:eastAsia="en-AU"/>
              </w:rPr>
              <w:t>Balances as per cash flow statement</w:t>
            </w:r>
          </w:p>
        </w:tc>
        <w:tc>
          <w:tcPr>
            <w:tcW w:w="850" w:type="dxa"/>
            <w:tcBorders>
              <w:top w:val="single" w:sz="6" w:space="0" w:color="000000"/>
              <w:bottom w:val="single" w:sz="12" w:space="0" w:color="000000"/>
            </w:tcBorders>
          </w:tcPr>
          <w:p w:rsidR="004B6846" w:rsidRPr="005D5BD9"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5D5BD9">
              <w:rPr>
                <w:rFonts w:eastAsiaTheme="minorEastAsia" w:cstheme="majorHAnsi"/>
                <w:bCs/>
                <w:color w:val="000000"/>
                <w:szCs w:val="18"/>
                <w:lang w:eastAsia="en-AU"/>
              </w:rPr>
              <w:t>5 940</w:t>
            </w:r>
          </w:p>
        </w:tc>
      </w:tr>
    </w:tbl>
    <w:p w:rsidR="004B6846" w:rsidRDefault="004B6846" w:rsidP="00CC0EB7">
      <w:pPr>
        <w:pStyle w:val="Source"/>
      </w:pPr>
      <w:r w:rsidRPr="00D87D22">
        <w:t>Source: Department of Treasury and Finance</w:t>
      </w:r>
    </w:p>
    <w:p w:rsidR="004B6846" w:rsidRDefault="004B6846" w:rsidP="00CC0EB7"/>
    <w:p w:rsidR="004B6846" w:rsidRDefault="004B6846" w:rsidP="00CC0EB7">
      <w:pPr>
        <w:keepLines w:val="0"/>
      </w:pPr>
      <w:r>
        <w:br w:type="page"/>
      </w:r>
    </w:p>
    <w:p w:rsidR="004B6846" w:rsidRDefault="004B6846" w:rsidP="00CC0EB7">
      <w:pPr>
        <w:pStyle w:val="Heading2"/>
      </w:pPr>
      <w:r>
        <w:lastRenderedPageBreak/>
        <w:t>Reconciliation of net result to net cash flows from operating activities</w:t>
      </w:r>
    </w:p>
    <w:p w:rsidR="004B6846" w:rsidRPr="005D5BD9" w:rsidRDefault="004B6846" w:rsidP="00CC0EB7">
      <w:pPr>
        <w:pStyle w:val="TableUnits"/>
        <w:rPr>
          <w:bCs/>
          <w:lang w:val="en-US"/>
        </w:rPr>
      </w:pPr>
      <w:r>
        <w:t xml:space="preserve">($ million) </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850"/>
        <w:gridCol w:w="6066"/>
        <w:gridCol w:w="850"/>
      </w:tblGrid>
      <w:tr w:rsidR="004B6846" w:rsidRPr="005D5BD9"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auto"/>
              <w:left w:val="single" w:sz="6" w:space="0" w:color="auto"/>
              <w:bottom w:val="nil"/>
              <w:right w:val="nil"/>
            </w:tcBorders>
            <w:shd w:val="solid" w:color="000000" w:fill="auto"/>
          </w:tcPr>
          <w:p w:rsidR="004B6846" w:rsidRPr="005D5BD9" w:rsidRDefault="004B6846" w:rsidP="00CC0EB7">
            <w:pPr>
              <w:autoSpaceDE w:val="0"/>
              <w:autoSpaceDN w:val="0"/>
              <w:adjustRightInd w:val="0"/>
              <w:jc w:val="right"/>
              <w:rPr>
                <w:rFonts w:eastAsiaTheme="minorEastAsia" w:cstheme="majorHAnsi"/>
                <w:iCs/>
                <w:color w:val="FFFFFF"/>
                <w:lang w:eastAsia="en-AU"/>
              </w:rPr>
            </w:pPr>
            <w:r w:rsidRPr="005D5BD9">
              <w:rPr>
                <w:rFonts w:eastAsiaTheme="minorEastAsia" w:cstheme="majorHAnsi"/>
                <w:iCs/>
                <w:color w:val="FFFFFF"/>
                <w:lang w:eastAsia="en-AU"/>
              </w:rPr>
              <w:t>2017-18</w:t>
            </w:r>
          </w:p>
          <w:p w:rsidR="004B6846" w:rsidRPr="005D5BD9" w:rsidRDefault="004B6846" w:rsidP="00CC0EB7">
            <w:pPr>
              <w:keepLines w:val="0"/>
              <w:autoSpaceDE w:val="0"/>
              <w:autoSpaceDN w:val="0"/>
              <w:adjustRightInd w:val="0"/>
              <w:jc w:val="right"/>
              <w:rPr>
                <w:rFonts w:eastAsiaTheme="minorEastAsia" w:cstheme="majorHAnsi"/>
                <w:iCs/>
                <w:color w:val="FFFFFF"/>
                <w:lang w:eastAsia="en-AU"/>
              </w:rPr>
            </w:pPr>
            <w:r w:rsidRPr="005D5BD9">
              <w:rPr>
                <w:rFonts w:eastAsiaTheme="minorEastAsia" w:cstheme="majorHAnsi"/>
                <w:iCs/>
                <w:color w:val="FFFFFF"/>
                <w:lang w:eastAsia="en-AU"/>
              </w:rPr>
              <w:t>actual</w:t>
            </w:r>
          </w:p>
          <w:p w:rsidR="004B6846" w:rsidRPr="005D5BD9" w:rsidRDefault="004B6846" w:rsidP="00CC0EB7">
            <w:pPr>
              <w:keepLines w:val="0"/>
              <w:autoSpaceDE w:val="0"/>
              <w:autoSpaceDN w:val="0"/>
              <w:adjustRightInd w:val="0"/>
              <w:jc w:val="right"/>
              <w:rPr>
                <w:rFonts w:eastAsiaTheme="minorEastAsia" w:cstheme="majorHAnsi"/>
                <w:iCs/>
                <w:color w:val="FFFFFF"/>
                <w:lang w:eastAsia="en-AU"/>
              </w:rPr>
            </w:pPr>
            <w:r w:rsidRPr="005D5BD9">
              <w:rPr>
                <w:rFonts w:eastAsiaTheme="minorEastAsia" w:cstheme="majorHAnsi"/>
                <w:iCs/>
                <w:color w:val="FFFFFF"/>
                <w:lang w:eastAsia="en-AU"/>
              </w:rPr>
              <w:t>to Sep</w:t>
            </w:r>
          </w:p>
        </w:tc>
        <w:tc>
          <w:tcPr>
            <w:tcW w:w="6066" w:type="dxa"/>
            <w:tcBorders>
              <w:top w:val="single" w:sz="6" w:space="0" w:color="auto"/>
              <w:left w:val="nil"/>
              <w:bottom w:val="nil"/>
              <w:right w:val="nil"/>
            </w:tcBorders>
            <w:shd w:val="solid" w:color="000000" w:fill="auto"/>
          </w:tcPr>
          <w:p w:rsidR="004B6846" w:rsidRPr="005D5BD9" w:rsidRDefault="004B6846" w:rsidP="00CC0EB7">
            <w:pPr>
              <w:keepLines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 xml:space="preserve"> </w:t>
            </w:r>
          </w:p>
        </w:tc>
        <w:tc>
          <w:tcPr>
            <w:tcW w:w="850" w:type="dxa"/>
            <w:tcBorders>
              <w:top w:val="single" w:sz="6" w:space="0" w:color="auto"/>
              <w:left w:val="nil"/>
              <w:bottom w:val="nil"/>
              <w:right w:val="nil"/>
            </w:tcBorders>
            <w:shd w:val="solid" w:color="000000" w:fill="auto"/>
          </w:tcPr>
          <w:p w:rsidR="004B6846" w:rsidRPr="005D5BD9"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D5BD9">
              <w:rPr>
                <w:rFonts w:eastAsiaTheme="minorEastAsia" w:cstheme="majorHAnsi"/>
                <w:iCs/>
                <w:color w:val="FFFFFF"/>
                <w:lang w:eastAsia="en-AU"/>
              </w:rPr>
              <w:t>2018-19</w:t>
            </w:r>
          </w:p>
          <w:p w:rsidR="004B6846" w:rsidRPr="005D5BD9"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D5BD9">
              <w:rPr>
                <w:rFonts w:eastAsiaTheme="minorEastAsia" w:cstheme="majorHAnsi"/>
                <w:iCs/>
                <w:color w:val="FFFFFF"/>
                <w:lang w:eastAsia="en-AU"/>
              </w:rPr>
              <w:t>actual</w:t>
            </w:r>
          </w:p>
          <w:p w:rsidR="004B6846" w:rsidRPr="005D5BD9"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lang w:eastAsia="en-AU"/>
              </w:rPr>
            </w:pPr>
            <w:r w:rsidRPr="005D5BD9">
              <w:rPr>
                <w:rFonts w:eastAsiaTheme="minorEastAsia" w:cstheme="majorHAnsi"/>
                <w:iCs/>
                <w:color w:val="FFFFFF"/>
                <w:lang w:eastAsia="en-AU"/>
              </w:rPr>
              <w:t xml:space="preserve"> to Sep</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b/>
                <w:bCs/>
                <w:color w:val="000000"/>
                <w:lang w:eastAsia="en-AU"/>
              </w:rPr>
            </w:pPr>
            <w:r>
              <w:rPr>
                <w:rFonts w:eastAsiaTheme="minorEastAsia" w:cstheme="majorHAnsi"/>
                <w:b/>
                <w:bCs/>
                <w:color w:val="000000"/>
                <w:lang w:eastAsia="en-AU"/>
              </w:rPr>
              <w:t>497</w:t>
            </w:r>
          </w:p>
        </w:tc>
        <w:tc>
          <w:tcPr>
            <w:tcW w:w="606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5BD9">
              <w:rPr>
                <w:rFonts w:eastAsiaTheme="minorEastAsia" w:cstheme="majorHAnsi"/>
                <w:b/>
                <w:bCs/>
                <w:color w:val="000000"/>
                <w:lang w:eastAsia="en-AU"/>
              </w:rPr>
              <w:t>Net result</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Pr>
                <w:rFonts w:eastAsiaTheme="minorEastAsia" w:cstheme="majorHAnsi"/>
                <w:b/>
                <w:bCs/>
                <w:color w:val="000000"/>
                <w:lang w:eastAsia="en-AU"/>
              </w:rPr>
              <w:t>718</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rPr>
                <w:rFonts w:eastAsiaTheme="minorEastAsia" w:cstheme="majorHAnsi"/>
                <w:color w:val="000000"/>
                <w:lang w:eastAsia="en-AU"/>
              </w:rPr>
            </w:pPr>
            <w:r w:rsidRPr="005D5BD9">
              <w:rPr>
                <w:rFonts w:eastAsiaTheme="minorEastAsia" w:cstheme="majorHAnsi"/>
                <w:color w:val="000000"/>
                <w:lang w:eastAsia="en-AU"/>
              </w:rPr>
              <w:t xml:space="preserve"> </w:t>
            </w:r>
          </w:p>
        </w:tc>
        <w:tc>
          <w:tcPr>
            <w:tcW w:w="606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5BD9">
              <w:rPr>
                <w:rFonts w:eastAsiaTheme="minorEastAsia" w:cstheme="majorHAnsi"/>
                <w:b/>
                <w:bCs/>
                <w:color w:val="000000"/>
                <w:lang w:eastAsia="en-AU"/>
              </w:rPr>
              <w:t>Non-cash movements</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 xml:space="preserve"> </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lang w:eastAsia="en-AU"/>
              </w:rPr>
            </w:pPr>
            <w:r>
              <w:rPr>
                <w:rFonts w:eastAsiaTheme="minorEastAsia" w:cstheme="majorHAnsi"/>
                <w:color w:val="000000"/>
                <w:lang w:eastAsia="en-AU"/>
              </w:rPr>
              <w:t>657</w:t>
            </w:r>
          </w:p>
        </w:tc>
        <w:tc>
          <w:tcPr>
            <w:tcW w:w="606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Depreciation and amortisation</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Pr>
                <w:rFonts w:eastAsiaTheme="minorEastAsia" w:cstheme="majorHAnsi"/>
                <w:color w:val="000000"/>
                <w:lang w:eastAsia="en-AU"/>
              </w:rPr>
              <w:t>681</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lang w:eastAsia="en-AU"/>
              </w:rPr>
            </w:pPr>
            <w:r>
              <w:rPr>
                <w:rFonts w:eastAsiaTheme="minorEastAsia" w:cstheme="majorHAnsi"/>
                <w:color w:val="000000"/>
                <w:lang w:eastAsia="en-AU"/>
              </w:rPr>
              <w:t>2</w:t>
            </w:r>
          </w:p>
        </w:tc>
        <w:tc>
          <w:tcPr>
            <w:tcW w:w="606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Revaluation of investments</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Pr>
                <w:rFonts w:eastAsiaTheme="minorEastAsia" w:cstheme="majorHAnsi"/>
                <w:color w:val="000000"/>
                <w:lang w:eastAsia="en-AU"/>
              </w:rPr>
              <w:t>4</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lang w:eastAsia="en-AU"/>
              </w:rPr>
            </w:pPr>
            <w:r>
              <w:rPr>
                <w:rFonts w:eastAsiaTheme="minorEastAsia" w:cstheme="majorHAnsi"/>
                <w:color w:val="000000"/>
                <w:lang w:eastAsia="en-AU"/>
              </w:rPr>
              <w:t>(1)</w:t>
            </w:r>
          </w:p>
        </w:tc>
        <w:tc>
          <w:tcPr>
            <w:tcW w:w="606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Assets (received)/provided free of charge</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Pr>
                <w:rFonts w:eastAsiaTheme="minorEastAsia" w:cstheme="majorHAnsi"/>
                <w:color w:val="000000"/>
                <w:lang w:eastAsia="en-AU"/>
              </w:rPr>
              <w:t>..</w:t>
            </w:r>
            <w:r w:rsidRPr="005D5BD9">
              <w:rPr>
                <w:rFonts w:eastAsiaTheme="minorEastAsia" w:cstheme="majorHAnsi"/>
                <w:color w:val="000000"/>
                <w:lang w:eastAsia="en-AU"/>
              </w:rPr>
              <w:t xml:space="preserve"> </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rPr>
                <w:rFonts w:eastAsiaTheme="minorEastAsia" w:cstheme="majorHAnsi"/>
                <w:color w:val="000000"/>
                <w:lang w:eastAsia="en-AU"/>
              </w:rPr>
            </w:pPr>
            <w:r w:rsidRPr="005D5BD9">
              <w:rPr>
                <w:rFonts w:eastAsiaTheme="minorEastAsia" w:cstheme="majorHAnsi"/>
                <w:color w:val="000000"/>
                <w:lang w:eastAsia="en-AU"/>
              </w:rPr>
              <w:t xml:space="preserve"> </w:t>
            </w:r>
          </w:p>
        </w:tc>
        <w:tc>
          <w:tcPr>
            <w:tcW w:w="606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5BD9">
              <w:rPr>
                <w:rFonts w:eastAsiaTheme="minorEastAsia" w:cstheme="majorHAnsi"/>
                <w:b/>
                <w:bCs/>
                <w:color w:val="000000"/>
                <w:lang w:eastAsia="en-AU"/>
              </w:rPr>
              <w:t>Movements included in investing and financing activities</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 xml:space="preserve"> </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lang w:eastAsia="en-AU"/>
              </w:rPr>
            </w:pPr>
            <w:r>
              <w:rPr>
                <w:rFonts w:eastAsiaTheme="minorEastAsia" w:cstheme="majorHAnsi"/>
                <w:color w:val="000000"/>
                <w:lang w:eastAsia="en-AU"/>
              </w:rPr>
              <w:t>1</w:t>
            </w:r>
          </w:p>
        </w:tc>
        <w:tc>
          <w:tcPr>
            <w:tcW w:w="606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Net gain/loss from sale of investments</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Pr>
                <w:rFonts w:eastAsiaTheme="minorEastAsia" w:cstheme="majorHAnsi"/>
                <w:color w:val="000000"/>
                <w:lang w:eastAsia="en-AU"/>
              </w:rPr>
              <w:t>(5)</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rPr>
                <w:rFonts w:eastAsiaTheme="minorEastAsia" w:cstheme="majorHAnsi"/>
                <w:color w:val="000000"/>
                <w:lang w:eastAsia="en-AU"/>
              </w:rPr>
            </w:pPr>
            <w:r w:rsidRPr="005D5BD9">
              <w:rPr>
                <w:rFonts w:eastAsiaTheme="minorEastAsia" w:cstheme="majorHAnsi"/>
                <w:color w:val="000000"/>
                <w:lang w:eastAsia="en-AU"/>
              </w:rPr>
              <w:t xml:space="preserve"> </w:t>
            </w:r>
          </w:p>
        </w:tc>
        <w:tc>
          <w:tcPr>
            <w:tcW w:w="606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5BD9">
              <w:rPr>
                <w:rFonts w:eastAsiaTheme="minorEastAsia" w:cstheme="majorHAnsi"/>
                <w:b/>
                <w:bCs/>
                <w:color w:val="000000"/>
                <w:lang w:eastAsia="en-AU"/>
              </w:rPr>
              <w:t>Movements in assets and liabilities</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 xml:space="preserve"> </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lang w:eastAsia="en-AU"/>
              </w:rPr>
            </w:pPr>
            <w:r>
              <w:rPr>
                <w:rFonts w:eastAsiaTheme="minorEastAsia" w:cstheme="majorHAnsi"/>
                <w:color w:val="000000"/>
                <w:lang w:eastAsia="en-AU"/>
              </w:rPr>
              <w:t>2</w:t>
            </w:r>
          </w:p>
        </w:tc>
        <w:tc>
          <w:tcPr>
            <w:tcW w:w="606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Increase/(decrease) in provision for doubtful debts</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Pr>
                <w:rFonts w:eastAsiaTheme="minorEastAsia" w:cstheme="majorHAnsi"/>
                <w:color w:val="000000"/>
                <w:lang w:eastAsia="en-AU"/>
              </w:rPr>
              <w:t>102</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lang w:eastAsia="en-AU"/>
              </w:rPr>
            </w:pPr>
            <w:r>
              <w:rPr>
                <w:rFonts w:eastAsiaTheme="minorEastAsia" w:cstheme="majorHAnsi"/>
                <w:color w:val="000000"/>
                <w:lang w:eastAsia="en-AU"/>
              </w:rPr>
              <w:t>(165)</w:t>
            </w:r>
          </w:p>
        </w:tc>
        <w:tc>
          <w:tcPr>
            <w:tcW w:w="606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Increase/(decrease) in payables</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2 560</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lang w:eastAsia="en-AU"/>
              </w:rPr>
            </w:pPr>
            <w:r>
              <w:rPr>
                <w:rFonts w:eastAsiaTheme="minorEastAsia" w:cstheme="majorHAnsi"/>
                <w:color w:val="000000"/>
                <w:lang w:eastAsia="en-AU"/>
              </w:rPr>
              <w:t>(177)</w:t>
            </w:r>
          </w:p>
        </w:tc>
        <w:tc>
          <w:tcPr>
            <w:tcW w:w="606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Increase/(decrease) in employee benefits</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Pr>
                <w:rFonts w:eastAsiaTheme="minorEastAsia" w:cstheme="majorHAnsi"/>
                <w:color w:val="000000"/>
                <w:lang w:eastAsia="en-AU"/>
              </w:rPr>
              <w:t>(127)</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lang w:eastAsia="en-AU"/>
              </w:rPr>
            </w:pPr>
            <w:r>
              <w:rPr>
                <w:rFonts w:eastAsiaTheme="minorEastAsia" w:cstheme="majorHAnsi"/>
                <w:color w:val="000000"/>
                <w:lang w:eastAsia="en-AU"/>
              </w:rPr>
              <w:t>261</w:t>
            </w:r>
          </w:p>
        </w:tc>
        <w:tc>
          <w:tcPr>
            <w:tcW w:w="606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Increase/(decrease) in superannuation</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Pr>
                <w:rFonts w:eastAsiaTheme="minorEastAsia" w:cstheme="majorHAnsi"/>
                <w:color w:val="000000"/>
                <w:lang w:eastAsia="en-AU"/>
              </w:rPr>
              <w:t>265</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lang w:eastAsia="en-AU"/>
              </w:rPr>
            </w:pPr>
            <w:r>
              <w:rPr>
                <w:rFonts w:eastAsiaTheme="minorEastAsia" w:cstheme="majorHAnsi"/>
                <w:color w:val="000000"/>
                <w:lang w:eastAsia="en-AU"/>
              </w:rPr>
              <w:t>(235)</w:t>
            </w:r>
          </w:p>
        </w:tc>
        <w:tc>
          <w:tcPr>
            <w:tcW w:w="606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Increase/(decrease) in other provisions</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Pr>
                <w:rFonts w:eastAsiaTheme="minorEastAsia" w:cstheme="majorHAnsi"/>
                <w:color w:val="000000"/>
                <w:lang w:eastAsia="en-AU"/>
              </w:rPr>
              <w:t>(70)</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lang w:eastAsia="en-AU"/>
              </w:rPr>
            </w:pPr>
            <w:r>
              <w:rPr>
                <w:rFonts w:eastAsiaTheme="minorEastAsia" w:cstheme="majorHAnsi"/>
                <w:color w:val="000000"/>
                <w:lang w:eastAsia="en-AU"/>
              </w:rPr>
              <w:t>(352)</w:t>
            </w:r>
          </w:p>
        </w:tc>
        <w:tc>
          <w:tcPr>
            <w:tcW w:w="606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(Increase)/decrease in receivables</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Pr>
                <w:rFonts w:eastAsiaTheme="minorEastAsia" w:cstheme="majorHAnsi"/>
                <w:color w:val="000000"/>
                <w:lang w:eastAsia="en-AU"/>
              </w:rPr>
              <w:t>(8)</w:t>
            </w:r>
          </w:p>
        </w:tc>
      </w:tr>
      <w:tr w:rsidR="004B6846" w:rsidRPr="005D5BD9" w:rsidTr="00CC0EB7">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tcPr>
          <w:p w:rsidR="004B6846" w:rsidRPr="005D5BD9" w:rsidRDefault="004B6846" w:rsidP="00CC0EB7">
            <w:pPr>
              <w:keepLines w:val="0"/>
              <w:autoSpaceDE w:val="0"/>
              <w:autoSpaceDN w:val="0"/>
              <w:adjustRightInd w:val="0"/>
              <w:jc w:val="right"/>
              <w:rPr>
                <w:rFonts w:eastAsiaTheme="minorEastAsia" w:cstheme="majorHAnsi"/>
                <w:color w:val="000000"/>
                <w:lang w:eastAsia="en-AU"/>
              </w:rPr>
            </w:pPr>
            <w:r>
              <w:rPr>
                <w:rFonts w:eastAsiaTheme="minorEastAsia" w:cstheme="majorHAnsi"/>
                <w:color w:val="000000"/>
                <w:lang w:eastAsia="en-AU"/>
              </w:rPr>
              <w:t>(462)</w:t>
            </w:r>
          </w:p>
        </w:tc>
        <w:tc>
          <w:tcPr>
            <w:tcW w:w="6066" w:type="dxa"/>
            <w:tcBorders>
              <w:top w:val="nil"/>
              <w:left w:val="nil"/>
              <w:bottom w:val="nil"/>
              <w:right w:val="nil"/>
            </w:tcBorders>
          </w:tcPr>
          <w:p w:rsidR="004B6846" w:rsidRPr="005D5BD9" w:rsidRDefault="004B6846" w:rsidP="00CC0EB7">
            <w:pPr>
              <w:keepLines w:val="0"/>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5BD9">
              <w:rPr>
                <w:rFonts w:eastAsiaTheme="minorEastAsia" w:cstheme="majorHAnsi"/>
                <w:color w:val="000000"/>
                <w:lang w:eastAsia="en-AU"/>
              </w:rPr>
              <w:t>(Increase)/decrease in other non-financial assets</w:t>
            </w:r>
          </w:p>
        </w:tc>
        <w:tc>
          <w:tcPr>
            <w:tcW w:w="850" w:type="dxa"/>
            <w:tcBorders>
              <w:top w:val="nil"/>
              <w:left w:val="nil"/>
              <w:bottom w:val="nil"/>
              <w:right w:val="nil"/>
            </w:tcBorders>
          </w:tcPr>
          <w:p w:rsidR="004B6846" w:rsidRPr="005D5BD9"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Pr>
                <w:rFonts w:eastAsiaTheme="minorEastAsia" w:cstheme="majorHAnsi"/>
                <w:color w:val="000000"/>
                <w:lang w:eastAsia="en-AU"/>
              </w:rPr>
              <w:t>(544)</w:t>
            </w:r>
          </w:p>
        </w:tc>
      </w:tr>
      <w:tr w:rsidR="004B6846" w:rsidRPr="005D5BD9"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6" w:space="0" w:color="auto"/>
              <w:bottom w:val="single" w:sz="12" w:space="0" w:color="auto"/>
            </w:tcBorders>
          </w:tcPr>
          <w:p w:rsidR="004B6846" w:rsidRPr="005D5BD9" w:rsidRDefault="004B6846" w:rsidP="00CC0EB7">
            <w:pPr>
              <w:keepLines w:val="0"/>
              <w:autoSpaceDE w:val="0"/>
              <w:autoSpaceDN w:val="0"/>
              <w:adjustRightInd w:val="0"/>
              <w:jc w:val="right"/>
              <w:rPr>
                <w:rFonts w:eastAsiaTheme="minorEastAsia" w:cstheme="majorHAnsi"/>
                <w:bCs/>
                <w:color w:val="000000"/>
                <w:lang w:eastAsia="en-AU"/>
              </w:rPr>
            </w:pPr>
            <w:r>
              <w:rPr>
                <w:rFonts w:eastAsiaTheme="minorEastAsia" w:cstheme="majorHAnsi"/>
                <w:bCs/>
                <w:color w:val="000000"/>
                <w:lang w:eastAsia="en-AU"/>
              </w:rPr>
              <w:t>28</w:t>
            </w:r>
          </w:p>
        </w:tc>
        <w:tc>
          <w:tcPr>
            <w:tcW w:w="6066" w:type="dxa"/>
            <w:tcBorders>
              <w:top w:val="single" w:sz="6" w:space="0" w:color="auto"/>
              <w:bottom w:val="single" w:sz="12" w:space="0" w:color="auto"/>
            </w:tcBorders>
          </w:tcPr>
          <w:p w:rsidR="004B6846" w:rsidRPr="005D5BD9" w:rsidRDefault="004B6846" w:rsidP="00CC0EB7">
            <w:pPr>
              <w:keepLines w:val="0"/>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5D5BD9">
              <w:rPr>
                <w:rFonts w:eastAsiaTheme="minorEastAsia" w:cstheme="majorHAnsi"/>
                <w:bCs/>
                <w:color w:val="000000"/>
                <w:lang w:eastAsia="en-AU"/>
              </w:rPr>
              <w:t>Net cash flows from operating activities</w:t>
            </w:r>
          </w:p>
        </w:tc>
        <w:tc>
          <w:tcPr>
            <w:tcW w:w="850" w:type="dxa"/>
            <w:tcBorders>
              <w:top w:val="single" w:sz="6" w:space="0" w:color="auto"/>
              <w:bottom w:val="single" w:sz="12" w:space="0" w:color="auto"/>
            </w:tcBorders>
          </w:tcPr>
          <w:p w:rsidR="004B6846" w:rsidRPr="005D5BD9"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lang w:eastAsia="en-AU"/>
              </w:rPr>
            </w:pPr>
            <w:r w:rsidRPr="005D5BD9">
              <w:rPr>
                <w:rFonts w:eastAsiaTheme="minorEastAsia" w:cstheme="majorHAnsi"/>
                <w:bCs/>
                <w:color w:val="000000"/>
                <w:lang w:eastAsia="en-AU"/>
              </w:rPr>
              <w:t>3 577</w:t>
            </w:r>
          </w:p>
        </w:tc>
      </w:tr>
    </w:tbl>
    <w:p w:rsidR="004B6846" w:rsidRDefault="004B6846" w:rsidP="00CC0EB7">
      <w:pPr>
        <w:pStyle w:val="Source"/>
      </w:pPr>
      <w:r w:rsidRPr="00D87D22">
        <w:t>Source: Department of Treasury and Finance</w:t>
      </w:r>
    </w:p>
    <w:p w:rsidR="004B6846" w:rsidRDefault="004B6846" w:rsidP="00CC0EB7"/>
    <w:p w:rsidR="004B6846" w:rsidRDefault="004B6846" w:rsidP="00CC0EB7">
      <w:pPr>
        <w:pStyle w:val="Heading2"/>
      </w:pPr>
      <w:r>
        <w:t>Controlled entities</w:t>
      </w:r>
    </w:p>
    <w:p w:rsidR="004B6846" w:rsidRDefault="004B6846" w:rsidP="00CC0EB7">
      <w:r>
        <w:t xml:space="preserve">Note 9.8 Controlled entities in the </w:t>
      </w:r>
      <w:r w:rsidRPr="009E7844">
        <w:rPr>
          <w:i/>
        </w:rPr>
        <w:t>2017-18 Financial Report</w:t>
      </w:r>
      <w:r>
        <w:t xml:space="preserve"> for the State of Victoria lists significant controlled entities, which were consolidated in that financial report. </w:t>
      </w:r>
    </w:p>
    <w:p w:rsidR="004B6846" w:rsidRDefault="004B6846" w:rsidP="00CC0EB7">
      <w:r w:rsidRPr="00B02B28">
        <w:t>Refer to Note 4.7.5 of Chapter 4 of this budget update for changes to general government sector entities since 1 July 2018.</w:t>
      </w:r>
    </w:p>
    <w:p w:rsidR="004B6846" w:rsidRDefault="004B6846" w:rsidP="00CC0EB7"/>
    <w:p w:rsidR="004B6846" w:rsidRDefault="004B6846" w:rsidP="00CC0EB7">
      <w:pPr>
        <w:pStyle w:val="Heading2"/>
      </w:pPr>
      <w:r>
        <w:t>Glossary of technical terms</w:t>
      </w:r>
    </w:p>
    <w:p w:rsidR="004B6846" w:rsidRDefault="004B6846" w:rsidP="00CC0EB7">
      <w:r>
        <w:t xml:space="preserve">The </w:t>
      </w:r>
      <w:r w:rsidRPr="009E7844">
        <w:rPr>
          <w:i/>
        </w:rPr>
        <w:t>2017-18 Financial Report</w:t>
      </w:r>
      <w:r>
        <w:t xml:space="preserve"> for the State of Victoria (Note 9.9) summarises the major technical terms used in this report.</w:t>
      </w:r>
    </w:p>
    <w:p w:rsidR="004B6846" w:rsidRDefault="004B6846" w:rsidP="00CC0EB7">
      <w:pPr>
        <w:pStyle w:val="Heading10"/>
      </w:pPr>
      <w:r>
        <w:br w:type="page"/>
      </w:r>
    </w:p>
    <w:p w:rsidR="004B6846" w:rsidRDefault="004B6846" w:rsidP="00CB74DA">
      <w:pPr>
        <w:pStyle w:val="Heading1-AppendixE0"/>
      </w:pPr>
      <w:r>
        <w:lastRenderedPageBreak/>
        <w:t>RESULTS QUARTER BY QUARTER – VICTORIAN GENERAL GOVERNMENT SECTOR</w:t>
      </w:r>
    </w:p>
    <w:p w:rsidR="004B6846" w:rsidRDefault="004B6846" w:rsidP="00CC0EB7">
      <w:pPr>
        <w:pStyle w:val="Heading20"/>
      </w:pPr>
      <w:r>
        <w:t>Introduction</w:t>
      </w:r>
    </w:p>
    <w:p w:rsidR="004B6846" w:rsidRDefault="004B6846" w:rsidP="00CC0EB7">
      <w:r>
        <w:t xml:space="preserve">This section includes the comprehensive operating statement, balance sheet and cash flow statement for the past five quarters in accordance with the requirements of the </w:t>
      </w:r>
      <w:r w:rsidRPr="004C25A8">
        <w:rPr>
          <w:i/>
        </w:rPr>
        <w:t>Financial Management Act 1994</w:t>
      </w:r>
      <w:r>
        <w:t>.</w:t>
      </w:r>
    </w:p>
    <w:p w:rsidR="004B6846" w:rsidRPr="005D3A12" w:rsidRDefault="004B6846" w:rsidP="00CC0EB7">
      <w:pPr>
        <w:pStyle w:val="TableHeading"/>
        <w:rPr>
          <w:bCs/>
          <w:lang w:val="en-US"/>
        </w:rPr>
      </w:pPr>
      <w:r>
        <w:t>Consolidated comprehensive operating statement for the past five quarters</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171"/>
        <w:gridCol w:w="679"/>
        <w:gridCol w:w="850"/>
        <w:gridCol w:w="850"/>
        <w:gridCol w:w="850"/>
        <w:gridCol w:w="850"/>
      </w:tblGrid>
      <w:tr w:rsidR="004B6846" w:rsidRPr="005D3A12"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4B6846" w:rsidRPr="005D3A12" w:rsidRDefault="004B6846" w:rsidP="00CC0EB7">
            <w:pPr>
              <w:autoSpaceDE w:val="0"/>
              <w:autoSpaceDN w:val="0"/>
              <w:adjustRightInd w:val="0"/>
              <w:rPr>
                <w:rFonts w:eastAsiaTheme="minorEastAsia" w:cstheme="majorHAnsi"/>
                <w:iCs/>
                <w:color w:val="FFFFFF"/>
                <w:lang w:eastAsia="en-AU"/>
              </w:rPr>
            </w:pPr>
            <w:r w:rsidRPr="005D3A12">
              <w:rPr>
                <w:rFonts w:eastAsiaTheme="minorEastAsia" w:cstheme="majorHAnsi"/>
                <w:iCs/>
                <w:color w:val="FFFFFF"/>
                <w:lang w:eastAsia="en-AU"/>
              </w:rPr>
              <w:t xml:space="preserve"> </w:t>
            </w:r>
          </w:p>
        </w:tc>
        <w:tc>
          <w:tcPr>
            <w:tcW w:w="850" w:type="dxa"/>
            <w:gridSpan w:val="2"/>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2017-18</w:t>
            </w:r>
          </w:p>
        </w:tc>
        <w:tc>
          <w:tcPr>
            <w:tcW w:w="850" w:type="dxa"/>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 xml:space="preserve"> </w:t>
            </w:r>
          </w:p>
        </w:tc>
        <w:tc>
          <w:tcPr>
            <w:tcW w:w="850" w:type="dxa"/>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 xml:space="preserve"> </w:t>
            </w:r>
          </w:p>
        </w:tc>
        <w:tc>
          <w:tcPr>
            <w:tcW w:w="850" w:type="dxa"/>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 xml:space="preserve"> </w:t>
            </w:r>
          </w:p>
        </w:tc>
        <w:tc>
          <w:tcPr>
            <w:tcW w:w="850" w:type="dxa"/>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2018-19</w:t>
            </w:r>
          </w:p>
        </w:tc>
      </w:tr>
      <w:tr w:rsidR="004B6846" w:rsidRPr="005D3A12"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rPr>
                <w:rFonts w:eastAsiaTheme="minorEastAsia" w:cstheme="majorHAnsi"/>
                <w:iCs/>
                <w:color w:val="FFFFFF"/>
                <w:lang w:eastAsia="en-AU"/>
              </w:rPr>
            </w:pPr>
            <w:r w:rsidRPr="005D3A12">
              <w:rPr>
                <w:rFonts w:eastAsiaTheme="minorEastAsia" w:cstheme="majorHAnsi"/>
                <w:iCs/>
                <w:color w:val="FFFFFF"/>
                <w:lang w:eastAsia="en-AU"/>
              </w:rPr>
              <w:t xml:space="preserve"> </w:t>
            </w:r>
          </w:p>
        </w:tc>
        <w:tc>
          <w:tcPr>
            <w:tcW w:w="850" w:type="dxa"/>
            <w:gridSpan w:val="2"/>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D3A12">
              <w:rPr>
                <w:rFonts w:eastAsiaTheme="minorEastAsia" w:cstheme="majorHAnsi"/>
                <w:iCs/>
                <w:color w:val="FFFFFF"/>
                <w:szCs w:val="18"/>
                <w:lang w:eastAsia="en-AU"/>
              </w:rPr>
              <w:t>Sep</w:t>
            </w:r>
          </w:p>
        </w:tc>
        <w:tc>
          <w:tcPr>
            <w:tcW w:w="850" w:type="dxa"/>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D3A12">
              <w:rPr>
                <w:rFonts w:eastAsiaTheme="minorEastAsia" w:cstheme="majorHAnsi"/>
                <w:iCs/>
                <w:color w:val="FFFFFF"/>
                <w:szCs w:val="18"/>
                <w:lang w:eastAsia="en-AU"/>
              </w:rPr>
              <w:t>Dec</w:t>
            </w:r>
          </w:p>
        </w:tc>
        <w:tc>
          <w:tcPr>
            <w:tcW w:w="850" w:type="dxa"/>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D3A12">
              <w:rPr>
                <w:rFonts w:eastAsiaTheme="minorEastAsia" w:cstheme="majorHAnsi"/>
                <w:iCs/>
                <w:color w:val="FFFFFF"/>
                <w:szCs w:val="18"/>
                <w:lang w:eastAsia="en-AU"/>
              </w:rPr>
              <w:t>Mar</w:t>
            </w:r>
          </w:p>
        </w:tc>
        <w:tc>
          <w:tcPr>
            <w:tcW w:w="850" w:type="dxa"/>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D3A12">
              <w:rPr>
                <w:rFonts w:eastAsiaTheme="minorEastAsia" w:cstheme="majorHAnsi"/>
                <w:iCs/>
                <w:color w:val="FFFFFF"/>
                <w:szCs w:val="18"/>
                <w:lang w:eastAsia="en-AU"/>
              </w:rPr>
              <w:t>Jun</w:t>
            </w:r>
          </w:p>
        </w:tc>
        <w:tc>
          <w:tcPr>
            <w:tcW w:w="850" w:type="dxa"/>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D3A12">
              <w:rPr>
                <w:rFonts w:eastAsiaTheme="minorEastAsia" w:cstheme="majorHAnsi"/>
                <w:iCs/>
                <w:color w:val="FFFFFF"/>
                <w:szCs w:val="18"/>
                <w:lang w:eastAsia="en-AU"/>
              </w:rPr>
              <w:t>Sep</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8"/>
                <w:lang w:eastAsia="en-AU"/>
              </w:rPr>
            </w:pPr>
            <w:r w:rsidRPr="005D3A12">
              <w:rPr>
                <w:rFonts w:eastAsiaTheme="minorEastAsia" w:cstheme="majorHAnsi"/>
                <w:b/>
                <w:bCs/>
                <w:color w:val="000000"/>
                <w:szCs w:val="18"/>
                <w:lang w:eastAsia="en-AU"/>
              </w:rPr>
              <w:t>Revenue from transactions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Taxation revenue</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5 722</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4 986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6 980</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5 241</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5 896</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Interest revenue</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210</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202</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228</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210</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Dividends, income tax equivalent and rate equivalent revenue</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57</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376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263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82</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Sales of goods and services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1 766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1 871</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1 801</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1 901</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1 905</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Grant revenue</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6 899</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7 328</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8 162</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7 538</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7 923</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Other revenue</w:t>
            </w:r>
          </w:p>
        </w:tc>
        <w:tc>
          <w:tcPr>
            <w:tcW w:w="850" w:type="dxa"/>
            <w:gridSpan w:val="2"/>
            <w:tcBorders>
              <w:top w:val="nil"/>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544</w:t>
            </w:r>
          </w:p>
        </w:tc>
        <w:tc>
          <w:tcPr>
            <w:tcW w:w="850" w:type="dxa"/>
            <w:tcBorders>
              <w:top w:val="nil"/>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626</w:t>
            </w:r>
          </w:p>
        </w:tc>
        <w:tc>
          <w:tcPr>
            <w:tcW w:w="850" w:type="dxa"/>
            <w:tcBorders>
              <w:top w:val="nil"/>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566</w:t>
            </w:r>
          </w:p>
        </w:tc>
        <w:tc>
          <w:tcPr>
            <w:tcW w:w="850" w:type="dxa"/>
            <w:tcBorders>
              <w:top w:val="nil"/>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1 031</w:t>
            </w:r>
          </w:p>
        </w:tc>
        <w:tc>
          <w:tcPr>
            <w:tcW w:w="850" w:type="dxa"/>
            <w:tcBorders>
              <w:top w:val="nil"/>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573</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8"/>
                <w:lang w:eastAsia="en-AU"/>
              </w:rPr>
            </w:pPr>
            <w:r w:rsidRPr="005D3A12">
              <w:rPr>
                <w:rFonts w:eastAsiaTheme="minorEastAsia" w:cstheme="majorHAnsi"/>
                <w:b/>
                <w:bCs/>
                <w:color w:val="000000"/>
                <w:szCs w:val="18"/>
                <w:lang w:eastAsia="en-AU"/>
              </w:rPr>
              <w:t>Total revenue from transactions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3A12">
              <w:rPr>
                <w:rFonts w:eastAsiaTheme="minorEastAsia" w:cstheme="majorHAnsi"/>
                <w:b/>
                <w:bCs/>
                <w:color w:val="000000"/>
                <w:szCs w:val="18"/>
                <w:lang w:eastAsia="en-AU"/>
              </w:rPr>
              <w:t>15 198</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3A12">
              <w:rPr>
                <w:rFonts w:eastAsiaTheme="minorEastAsia" w:cstheme="majorHAnsi"/>
                <w:b/>
                <w:bCs/>
                <w:color w:val="000000"/>
                <w:szCs w:val="18"/>
                <w:lang w:eastAsia="en-AU"/>
              </w:rPr>
              <w:t>15 393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3A12">
              <w:rPr>
                <w:rFonts w:eastAsiaTheme="minorEastAsia" w:cstheme="majorHAnsi"/>
                <w:b/>
                <w:bCs/>
                <w:color w:val="000000"/>
                <w:szCs w:val="18"/>
                <w:lang w:eastAsia="en-AU"/>
              </w:rPr>
              <w:t>17 796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3A12">
              <w:rPr>
                <w:rFonts w:eastAsiaTheme="minorEastAsia" w:cstheme="majorHAnsi"/>
                <w:b/>
                <w:bCs/>
                <w:color w:val="000000"/>
                <w:szCs w:val="18"/>
                <w:lang w:eastAsia="en-AU"/>
              </w:rPr>
              <w:t>16 202</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3A12">
              <w:rPr>
                <w:rFonts w:eastAsiaTheme="minorEastAsia" w:cstheme="majorHAnsi"/>
                <w:b/>
                <w:bCs/>
                <w:color w:val="000000"/>
                <w:szCs w:val="18"/>
                <w:lang w:eastAsia="en-AU"/>
              </w:rPr>
              <w:t>16 589</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8"/>
                <w:lang w:eastAsia="en-AU"/>
              </w:rPr>
            </w:pPr>
            <w:r w:rsidRPr="005D3A12">
              <w:rPr>
                <w:rFonts w:eastAsiaTheme="minorEastAsia" w:cstheme="majorHAnsi"/>
                <w:b/>
                <w:bCs/>
                <w:color w:val="000000"/>
                <w:szCs w:val="18"/>
                <w:lang w:eastAsia="en-AU"/>
              </w:rPr>
              <w:t>Expenses from transactions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Employee expenses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5 581</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5 715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5 698</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6 276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6 081</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Net superannuation interest expense</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192</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168</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176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178</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167</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Other superannuation</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598</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657</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631</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649</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671</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Depreciation</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655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657</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666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767</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680</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Interest expense</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454</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555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513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570</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493</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Grant expense</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2 559</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2 505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3 346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2 719</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2 853</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Other operating expenses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4 604</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4 741</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4 709</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5 736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4 812</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8"/>
                <w:lang w:eastAsia="en-AU"/>
              </w:rPr>
            </w:pPr>
            <w:r w:rsidRPr="005D3A12">
              <w:rPr>
                <w:rFonts w:eastAsiaTheme="minorEastAsia" w:cstheme="majorHAnsi"/>
                <w:b/>
                <w:bCs/>
                <w:color w:val="000000"/>
                <w:szCs w:val="18"/>
                <w:lang w:eastAsia="en-AU"/>
              </w:rPr>
              <w:t>Total expenses from transactions</w:t>
            </w:r>
          </w:p>
        </w:tc>
        <w:tc>
          <w:tcPr>
            <w:tcW w:w="850" w:type="dxa"/>
            <w:gridSpan w:val="2"/>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3A12">
              <w:rPr>
                <w:rFonts w:eastAsiaTheme="minorEastAsia" w:cstheme="majorHAnsi"/>
                <w:b/>
                <w:bCs/>
                <w:color w:val="000000"/>
                <w:szCs w:val="18"/>
                <w:lang w:eastAsia="en-AU"/>
              </w:rPr>
              <w:t>14 643</w:t>
            </w:r>
          </w:p>
        </w:tc>
        <w:tc>
          <w:tcPr>
            <w:tcW w:w="850"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3A12">
              <w:rPr>
                <w:rFonts w:eastAsiaTheme="minorEastAsia" w:cstheme="majorHAnsi"/>
                <w:b/>
                <w:bCs/>
                <w:color w:val="000000"/>
                <w:szCs w:val="18"/>
                <w:lang w:eastAsia="en-AU"/>
              </w:rPr>
              <w:t>14 998</w:t>
            </w:r>
          </w:p>
        </w:tc>
        <w:tc>
          <w:tcPr>
            <w:tcW w:w="850"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3A12">
              <w:rPr>
                <w:rFonts w:eastAsiaTheme="minorEastAsia" w:cstheme="majorHAnsi"/>
                <w:b/>
                <w:bCs/>
                <w:color w:val="000000"/>
                <w:szCs w:val="18"/>
                <w:lang w:eastAsia="en-AU"/>
              </w:rPr>
              <w:t>15 739</w:t>
            </w:r>
          </w:p>
        </w:tc>
        <w:tc>
          <w:tcPr>
            <w:tcW w:w="850"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3A12">
              <w:rPr>
                <w:rFonts w:eastAsiaTheme="minorEastAsia" w:cstheme="majorHAnsi"/>
                <w:b/>
                <w:bCs/>
                <w:color w:val="000000"/>
                <w:szCs w:val="18"/>
                <w:lang w:eastAsia="en-AU"/>
              </w:rPr>
              <w:t>16 896</w:t>
            </w:r>
          </w:p>
        </w:tc>
        <w:tc>
          <w:tcPr>
            <w:tcW w:w="850"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3A12">
              <w:rPr>
                <w:rFonts w:eastAsiaTheme="minorEastAsia" w:cstheme="majorHAnsi"/>
                <w:b/>
                <w:bCs/>
                <w:color w:val="000000"/>
                <w:szCs w:val="18"/>
                <w:lang w:eastAsia="en-AU"/>
              </w:rPr>
              <w:t>15 757</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8"/>
                <w:lang w:eastAsia="en-AU"/>
              </w:rPr>
            </w:pPr>
            <w:r w:rsidRPr="005D3A12">
              <w:rPr>
                <w:rFonts w:eastAsiaTheme="minorEastAsia" w:cstheme="majorHAnsi"/>
                <w:b/>
                <w:bCs/>
                <w:color w:val="000000"/>
                <w:szCs w:val="18"/>
                <w:lang w:eastAsia="en-AU"/>
              </w:rPr>
              <w:t xml:space="preserve">Net result from transactions – </w:t>
            </w:r>
            <w:r>
              <w:rPr>
                <w:rFonts w:eastAsiaTheme="minorEastAsia" w:cstheme="majorHAnsi"/>
                <w:b/>
                <w:bCs/>
                <w:color w:val="000000"/>
                <w:szCs w:val="18"/>
                <w:lang w:eastAsia="en-AU"/>
              </w:rPr>
              <w:br/>
            </w:r>
            <w:r w:rsidRPr="005D3A12">
              <w:rPr>
                <w:rFonts w:eastAsiaTheme="minorEastAsia" w:cstheme="majorHAnsi"/>
                <w:b/>
                <w:bCs/>
                <w:color w:val="000000"/>
                <w:szCs w:val="18"/>
                <w:lang w:eastAsia="en-AU"/>
              </w:rPr>
              <w:t>net operating balance</w:t>
            </w:r>
          </w:p>
        </w:tc>
        <w:tc>
          <w:tcPr>
            <w:tcW w:w="850" w:type="dxa"/>
            <w:gridSpan w:val="2"/>
            <w:tcBorders>
              <w:top w:val="single" w:sz="6" w:space="0" w:color="000000"/>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555</w:t>
            </w:r>
          </w:p>
        </w:tc>
        <w:tc>
          <w:tcPr>
            <w:tcW w:w="850" w:type="dxa"/>
            <w:tcBorders>
              <w:top w:val="single" w:sz="6" w:space="0" w:color="000000"/>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395</w:t>
            </w:r>
          </w:p>
        </w:tc>
        <w:tc>
          <w:tcPr>
            <w:tcW w:w="850" w:type="dxa"/>
            <w:tcBorders>
              <w:top w:val="single" w:sz="6" w:space="0" w:color="000000"/>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3A12">
              <w:rPr>
                <w:rFonts w:eastAsiaTheme="minorEastAsia" w:cstheme="majorHAnsi"/>
                <w:b/>
                <w:bCs/>
                <w:color w:val="000000"/>
                <w:szCs w:val="18"/>
                <w:lang w:eastAsia="en-AU"/>
              </w:rPr>
              <w:t>2 057</w:t>
            </w:r>
          </w:p>
        </w:tc>
        <w:tc>
          <w:tcPr>
            <w:tcW w:w="850" w:type="dxa"/>
            <w:tcBorders>
              <w:top w:val="single" w:sz="6" w:space="0" w:color="000000"/>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(694)</w:t>
            </w:r>
          </w:p>
        </w:tc>
        <w:tc>
          <w:tcPr>
            <w:tcW w:w="850" w:type="dxa"/>
            <w:tcBorders>
              <w:top w:val="single" w:sz="6" w:space="0" w:color="000000"/>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832</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8"/>
                <w:lang w:eastAsia="en-AU"/>
              </w:rPr>
            </w:pPr>
            <w:r w:rsidRPr="005D3A12">
              <w:rPr>
                <w:rFonts w:eastAsiaTheme="minorEastAsia" w:cstheme="majorHAnsi"/>
                <w:b/>
                <w:bCs/>
                <w:color w:val="000000"/>
                <w:szCs w:val="18"/>
                <w:lang w:eastAsia="en-AU"/>
              </w:rPr>
              <w:t>Other economic flows included in net result</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Net gain/(loss) on disposal of non-financial assets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22</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Net gain/(loss) on financial assets or liabilities at fair value</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41</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19</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Share of net profit/(loss) from associates/joint venture entities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Other gains/(losses) from other economic flows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(86)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(78)</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(714)</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(116)</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686" w:type="dxa"/>
            <w:gridSpan w:val="2"/>
            <w:tcBorders>
              <w:top w:val="single" w:sz="6" w:space="0" w:color="000000"/>
              <w:left w:val="nil"/>
              <w:bottom w:val="nil"/>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8"/>
                <w:lang w:eastAsia="en-AU"/>
              </w:rPr>
            </w:pPr>
            <w:r w:rsidRPr="005D3A12">
              <w:rPr>
                <w:rFonts w:eastAsiaTheme="minorEastAsia" w:cstheme="majorHAnsi"/>
                <w:b/>
                <w:bCs/>
                <w:color w:val="000000"/>
                <w:szCs w:val="18"/>
                <w:lang w:eastAsia="en-AU"/>
              </w:rPr>
              <w:t xml:space="preserve">Total other economic flows included in net result </w:t>
            </w:r>
          </w:p>
        </w:tc>
        <w:tc>
          <w:tcPr>
            <w:tcW w:w="679"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(58)</w:t>
            </w:r>
          </w:p>
        </w:tc>
        <w:tc>
          <w:tcPr>
            <w:tcW w:w="850"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(23)</w:t>
            </w:r>
          </w:p>
        </w:tc>
        <w:tc>
          <w:tcPr>
            <w:tcW w:w="850"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(23)</w:t>
            </w:r>
          </w:p>
        </w:tc>
        <w:tc>
          <w:tcPr>
            <w:tcW w:w="850"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(722)</w:t>
            </w:r>
          </w:p>
        </w:tc>
        <w:tc>
          <w:tcPr>
            <w:tcW w:w="850"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(115)</w:t>
            </w:r>
          </w:p>
        </w:tc>
      </w:tr>
      <w:tr w:rsidR="004B6846" w:rsidRPr="00684CDB"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6" w:space="0" w:color="000000"/>
            </w:tcBorders>
          </w:tcPr>
          <w:p w:rsidR="004B6846" w:rsidRPr="00684CDB" w:rsidRDefault="004B6846" w:rsidP="00CC0EB7">
            <w:pPr>
              <w:keepLines w:val="0"/>
              <w:autoSpaceDE w:val="0"/>
              <w:autoSpaceDN w:val="0"/>
              <w:adjustRightInd w:val="0"/>
              <w:rPr>
                <w:rFonts w:eastAsiaTheme="minorEastAsia" w:cstheme="majorHAnsi"/>
                <w:bCs/>
                <w:color w:val="000000"/>
                <w:szCs w:val="18"/>
                <w:lang w:eastAsia="en-AU"/>
              </w:rPr>
            </w:pPr>
            <w:r w:rsidRPr="00684CDB">
              <w:rPr>
                <w:rFonts w:eastAsiaTheme="minorEastAsia" w:cstheme="majorHAnsi"/>
                <w:bCs/>
                <w:color w:val="000000"/>
                <w:szCs w:val="18"/>
                <w:lang w:eastAsia="en-AU"/>
              </w:rPr>
              <w:t>Net result</w:t>
            </w:r>
          </w:p>
        </w:tc>
        <w:tc>
          <w:tcPr>
            <w:tcW w:w="850" w:type="dxa"/>
            <w:gridSpan w:val="2"/>
            <w:tcBorders>
              <w:top w:val="single" w:sz="6" w:space="0" w:color="000000"/>
              <w:bottom w:val="single" w:sz="6" w:space="0" w:color="000000"/>
            </w:tcBorders>
          </w:tcPr>
          <w:p w:rsidR="004B6846" w:rsidRPr="00684CDB"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684CDB">
              <w:rPr>
                <w:rFonts w:eastAsiaTheme="minorEastAsia" w:cstheme="majorHAnsi"/>
                <w:bCs/>
                <w:color w:val="000000"/>
                <w:szCs w:val="18"/>
                <w:lang w:eastAsia="en-AU"/>
              </w:rPr>
              <w:t>497</w:t>
            </w:r>
          </w:p>
        </w:tc>
        <w:tc>
          <w:tcPr>
            <w:tcW w:w="850" w:type="dxa"/>
            <w:tcBorders>
              <w:top w:val="single" w:sz="6" w:space="0" w:color="000000"/>
              <w:bottom w:val="single" w:sz="6" w:space="0" w:color="000000"/>
            </w:tcBorders>
          </w:tcPr>
          <w:p w:rsidR="004B6846" w:rsidRPr="00684CDB"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684CDB">
              <w:rPr>
                <w:rFonts w:eastAsiaTheme="minorEastAsia" w:cstheme="majorHAnsi"/>
                <w:bCs/>
                <w:color w:val="000000"/>
                <w:szCs w:val="18"/>
                <w:lang w:eastAsia="en-AU"/>
              </w:rPr>
              <w:t>371</w:t>
            </w:r>
          </w:p>
        </w:tc>
        <w:tc>
          <w:tcPr>
            <w:tcW w:w="850" w:type="dxa"/>
            <w:tcBorders>
              <w:top w:val="single" w:sz="6" w:space="0" w:color="000000"/>
              <w:bottom w:val="single" w:sz="6" w:space="0" w:color="000000"/>
            </w:tcBorders>
          </w:tcPr>
          <w:p w:rsidR="004B6846" w:rsidRPr="00684CDB"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684CDB">
              <w:rPr>
                <w:rFonts w:eastAsiaTheme="minorEastAsia" w:cstheme="majorHAnsi"/>
                <w:bCs/>
                <w:color w:val="000000"/>
                <w:szCs w:val="18"/>
                <w:lang w:eastAsia="en-AU"/>
              </w:rPr>
              <w:t>2 035</w:t>
            </w:r>
          </w:p>
        </w:tc>
        <w:tc>
          <w:tcPr>
            <w:tcW w:w="850" w:type="dxa"/>
            <w:tcBorders>
              <w:top w:val="single" w:sz="6" w:space="0" w:color="000000"/>
              <w:bottom w:val="single" w:sz="6" w:space="0" w:color="000000"/>
            </w:tcBorders>
          </w:tcPr>
          <w:p w:rsidR="004B6846" w:rsidRPr="00684CDB"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684CDB">
              <w:rPr>
                <w:rFonts w:eastAsiaTheme="minorEastAsia" w:cstheme="majorHAnsi"/>
                <w:bCs/>
                <w:color w:val="000000"/>
                <w:szCs w:val="18"/>
                <w:lang w:eastAsia="en-AU"/>
              </w:rPr>
              <w:t>(1 417)</w:t>
            </w:r>
          </w:p>
        </w:tc>
        <w:tc>
          <w:tcPr>
            <w:tcW w:w="850" w:type="dxa"/>
            <w:tcBorders>
              <w:top w:val="single" w:sz="6" w:space="0" w:color="000000"/>
              <w:bottom w:val="single" w:sz="6" w:space="0" w:color="000000"/>
            </w:tcBorders>
          </w:tcPr>
          <w:p w:rsidR="004B6846" w:rsidRPr="00684CDB"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684CDB">
              <w:rPr>
                <w:rFonts w:eastAsiaTheme="minorEastAsia" w:cstheme="majorHAnsi"/>
                <w:bCs/>
                <w:color w:val="000000"/>
                <w:szCs w:val="18"/>
                <w:lang w:eastAsia="en-AU"/>
              </w:rPr>
              <w:t>718</w:t>
            </w:r>
          </w:p>
        </w:tc>
      </w:tr>
    </w:tbl>
    <w:p w:rsidR="00684CDB" w:rsidRDefault="00684CDB"/>
    <w:p w:rsidR="00684CDB" w:rsidRPr="005D3A12" w:rsidRDefault="00684CDB" w:rsidP="00684CDB">
      <w:pPr>
        <w:pStyle w:val="TableHeading"/>
        <w:pageBreakBefore/>
        <w:ind w:left="0" w:firstLine="0"/>
        <w:rPr>
          <w:bCs/>
          <w:lang w:val="en-US"/>
        </w:rPr>
      </w:pPr>
      <w:r>
        <w:lastRenderedPageBreak/>
        <w:t xml:space="preserve">Consolidated comprehensive operating statement for the past five quarters </w:t>
      </w:r>
      <w:r w:rsidRPr="00684CDB">
        <w:rPr>
          <w:i/>
        </w:rPr>
        <w:t>(continued)</w:t>
      </w:r>
      <w:r>
        <w:tab/>
      </w:r>
      <w:r>
        <w:br/>
      </w:r>
      <w:r>
        <w:tab/>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684CDB" w:rsidRPr="005D3A12" w:rsidTr="00D731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684CDB" w:rsidRPr="005D3A12" w:rsidRDefault="00684CDB" w:rsidP="00D73159">
            <w:pPr>
              <w:autoSpaceDE w:val="0"/>
              <w:autoSpaceDN w:val="0"/>
              <w:adjustRightInd w:val="0"/>
              <w:rPr>
                <w:rFonts w:eastAsiaTheme="minorEastAsia" w:cstheme="majorHAnsi"/>
                <w:iCs/>
                <w:color w:val="FFFFFF"/>
                <w:lang w:eastAsia="en-AU"/>
              </w:rPr>
            </w:pPr>
            <w:r w:rsidRPr="005D3A12">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684CDB" w:rsidRPr="005D3A12" w:rsidRDefault="00684CDB" w:rsidP="00D73159">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2017-18</w:t>
            </w:r>
          </w:p>
        </w:tc>
        <w:tc>
          <w:tcPr>
            <w:tcW w:w="850" w:type="dxa"/>
            <w:tcBorders>
              <w:top w:val="nil"/>
              <w:left w:val="nil"/>
              <w:bottom w:val="nil"/>
              <w:right w:val="nil"/>
            </w:tcBorders>
            <w:shd w:val="solid" w:color="000000" w:fill="auto"/>
          </w:tcPr>
          <w:p w:rsidR="00684CDB" w:rsidRPr="005D3A12" w:rsidRDefault="00684CDB" w:rsidP="00D73159">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 xml:space="preserve"> </w:t>
            </w:r>
          </w:p>
        </w:tc>
        <w:tc>
          <w:tcPr>
            <w:tcW w:w="850" w:type="dxa"/>
            <w:tcBorders>
              <w:top w:val="nil"/>
              <w:left w:val="nil"/>
              <w:bottom w:val="nil"/>
              <w:right w:val="nil"/>
            </w:tcBorders>
            <w:shd w:val="solid" w:color="000000" w:fill="auto"/>
          </w:tcPr>
          <w:p w:rsidR="00684CDB" w:rsidRPr="005D3A12" w:rsidRDefault="00684CDB" w:rsidP="00D73159">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 xml:space="preserve"> </w:t>
            </w:r>
          </w:p>
        </w:tc>
        <w:tc>
          <w:tcPr>
            <w:tcW w:w="850" w:type="dxa"/>
            <w:tcBorders>
              <w:top w:val="nil"/>
              <w:left w:val="nil"/>
              <w:bottom w:val="nil"/>
              <w:right w:val="nil"/>
            </w:tcBorders>
            <w:shd w:val="solid" w:color="000000" w:fill="auto"/>
          </w:tcPr>
          <w:p w:rsidR="00684CDB" w:rsidRPr="005D3A12" w:rsidRDefault="00684CDB" w:rsidP="00D73159">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 xml:space="preserve"> </w:t>
            </w:r>
          </w:p>
        </w:tc>
        <w:tc>
          <w:tcPr>
            <w:tcW w:w="850" w:type="dxa"/>
            <w:tcBorders>
              <w:top w:val="nil"/>
              <w:left w:val="nil"/>
              <w:bottom w:val="nil"/>
              <w:right w:val="nil"/>
            </w:tcBorders>
            <w:shd w:val="solid" w:color="000000" w:fill="auto"/>
          </w:tcPr>
          <w:p w:rsidR="00684CDB" w:rsidRPr="005D3A12" w:rsidRDefault="00684CDB" w:rsidP="00D73159">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2018-19</w:t>
            </w:r>
          </w:p>
        </w:tc>
      </w:tr>
      <w:tr w:rsidR="00684CDB" w:rsidRPr="005D3A12" w:rsidTr="00D731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684CDB" w:rsidRPr="005D3A12" w:rsidRDefault="00684CDB" w:rsidP="00D73159">
            <w:pPr>
              <w:keepLines w:val="0"/>
              <w:autoSpaceDE w:val="0"/>
              <w:autoSpaceDN w:val="0"/>
              <w:adjustRightInd w:val="0"/>
              <w:rPr>
                <w:rFonts w:eastAsiaTheme="minorEastAsia" w:cstheme="majorHAnsi"/>
                <w:iCs/>
                <w:color w:val="FFFFFF"/>
                <w:lang w:eastAsia="en-AU"/>
              </w:rPr>
            </w:pPr>
            <w:r w:rsidRPr="005D3A12">
              <w:rPr>
                <w:rFonts w:eastAsiaTheme="minorEastAsia" w:cstheme="majorHAnsi"/>
                <w:iCs/>
                <w:color w:val="FFFFFF"/>
                <w:lang w:eastAsia="en-AU"/>
              </w:rPr>
              <w:t xml:space="preserve"> </w:t>
            </w:r>
          </w:p>
        </w:tc>
        <w:tc>
          <w:tcPr>
            <w:tcW w:w="850" w:type="dxa"/>
            <w:tcBorders>
              <w:top w:val="nil"/>
              <w:left w:val="nil"/>
              <w:bottom w:val="nil"/>
              <w:right w:val="nil"/>
            </w:tcBorders>
            <w:shd w:val="solid" w:color="000000" w:fill="auto"/>
          </w:tcPr>
          <w:p w:rsidR="00684CDB" w:rsidRPr="005D3A12" w:rsidRDefault="00684CDB" w:rsidP="00D73159">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D3A12">
              <w:rPr>
                <w:rFonts w:eastAsiaTheme="minorEastAsia" w:cstheme="majorHAnsi"/>
                <w:iCs/>
                <w:color w:val="FFFFFF"/>
                <w:szCs w:val="18"/>
                <w:lang w:eastAsia="en-AU"/>
              </w:rPr>
              <w:t>Sep</w:t>
            </w:r>
          </w:p>
        </w:tc>
        <w:tc>
          <w:tcPr>
            <w:tcW w:w="850" w:type="dxa"/>
            <w:tcBorders>
              <w:top w:val="nil"/>
              <w:left w:val="nil"/>
              <w:bottom w:val="nil"/>
              <w:right w:val="nil"/>
            </w:tcBorders>
            <w:shd w:val="solid" w:color="000000" w:fill="auto"/>
          </w:tcPr>
          <w:p w:rsidR="00684CDB" w:rsidRPr="005D3A12" w:rsidRDefault="00684CDB" w:rsidP="00D73159">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D3A12">
              <w:rPr>
                <w:rFonts w:eastAsiaTheme="minorEastAsia" w:cstheme="majorHAnsi"/>
                <w:iCs/>
                <w:color w:val="FFFFFF"/>
                <w:szCs w:val="18"/>
                <w:lang w:eastAsia="en-AU"/>
              </w:rPr>
              <w:t>Dec</w:t>
            </w:r>
          </w:p>
        </w:tc>
        <w:tc>
          <w:tcPr>
            <w:tcW w:w="850" w:type="dxa"/>
            <w:tcBorders>
              <w:top w:val="nil"/>
              <w:left w:val="nil"/>
              <w:bottom w:val="nil"/>
              <w:right w:val="nil"/>
            </w:tcBorders>
            <w:shd w:val="solid" w:color="000000" w:fill="auto"/>
          </w:tcPr>
          <w:p w:rsidR="00684CDB" w:rsidRPr="005D3A12" w:rsidRDefault="00684CDB" w:rsidP="00D73159">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D3A12">
              <w:rPr>
                <w:rFonts w:eastAsiaTheme="minorEastAsia" w:cstheme="majorHAnsi"/>
                <w:iCs/>
                <w:color w:val="FFFFFF"/>
                <w:szCs w:val="18"/>
                <w:lang w:eastAsia="en-AU"/>
              </w:rPr>
              <w:t>Mar</w:t>
            </w:r>
          </w:p>
        </w:tc>
        <w:tc>
          <w:tcPr>
            <w:tcW w:w="850" w:type="dxa"/>
            <w:tcBorders>
              <w:top w:val="nil"/>
              <w:left w:val="nil"/>
              <w:bottom w:val="nil"/>
              <w:right w:val="nil"/>
            </w:tcBorders>
            <w:shd w:val="solid" w:color="000000" w:fill="auto"/>
          </w:tcPr>
          <w:p w:rsidR="00684CDB" w:rsidRPr="005D3A12" w:rsidRDefault="00684CDB" w:rsidP="00D73159">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D3A12">
              <w:rPr>
                <w:rFonts w:eastAsiaTheme="minorEastAsia" w:cstheme="majorHAnsi"/>
                <w:iCs/>
                <w:color w:val="FFFFFF"/>
                <w:szCs w:val="18"/>
                <w:lang w:eastAsia="en-AU"/>
              </w:rPr>
              <w:t>Jun</w:t>
            </w:r>
          </w:p>
        </w:tc>
        <w:tc>
          <w:tcPr>
            <w:tcW w:w="850" w:type="dxa"/>
            <w:tcBorders>
              <w:top w:val="nil"/>
              <w:left w:val="nil"/>
              <w:bottom w:val="nil"/>
              <w:right w:val="nil"/>
            </w:tcBorders>
            <w:shd w:val="solid" w:color="000000" w:fill="auto"/>
          </w:tcPr>
          <w:p w:rsidR="00684CDB" w:rsidRPr="005D3A12" w:rsidRDefault="00684CDB" w:rsidP="00D73159">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5D3A12">
              <w:rPr>
                <w:rFonts w:eastAsiaTheme="minorEastAsia" w:cstheme="majorHAnsi"/>
                <w:iCs/>
                <w:color w:val="FFFFFF"/>
                <w:szCs w:val="18"/>
                <w:lang w:eastAsia="en-AU"/>
              </w:rPr>
              <w:t>Sep</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684CDB">
            <w:pPr>
              <w:keepLines w:val="0"/>
              <w:autoSpaceDE w:val="0"/>
              <w:autoSpaceDN w:val="0"/>
              <w:adjustRightInd w:val="0"/>
              <w:rPr>
                <w:rFonts w:eastAsiaTheme="minorEastAsia" w:cstheme="majorHAnsi"/>
                <w:b/>
                <w:bCs/>
                <w:color w:val="000000"/>
                <w:szCs w:val="18"/>
                <w:lang w:eastAsia="en-AU"/>
              </w:rPr>
            </w:pPr>
            <w:r w:rsidRPr="005D3A12">
              <w:rPr>
                <w:rFonts w:eastAsiaTheme="minorEastAsia" w:cstheme="majorHAnsi"/>
                <w:b/>
                <w:bCs/>
                <w:color w:val="000000"/>
                <w:szCs w:val="18"/>
                <w:lang w:eastAsia="en-AU"/>
              </w:rPr>
              <w:t xml:space="preserve">Other economic flows – </w:t>
            </w:r>
            <w:r>
              <w:rPr>
                <w:rFonts w:eastAsiaTheme="minorEastAsia" w:cstheme="majorHAnsi"/>
                <w:b/>
                <w:bCs/>
                <w:color w:val="000000"/>
                <w:szCs w:val="18"/>
                <w:lang w:eastAsia="en-AU"/>
              </w:rPr>
              <w:br/>
            </w:r>
            <w:r w:rsidRPr="005D3A12">
              <w:rPr>
                <w:rFonts w:eastAsiaTheme="minorEastAsia" w:cstheme="majorHAnsi"/>
                <w:b/>
                <w:bCs/>
                <w:color w:val="000000"/>
                <w:szCs w:val="18"/>
                <w:lang w:eastAsia="en-AU"/>
              </w:rPr>
              <w:t>other comprehensive income</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8"/>
                <w:lang w:eastAsia="en-AU"/>
              </w:rPr>
            </w:pPr>
            <w:r w:rsidRPr="005D3A12">
              <w:rPr>
                <w:rFonts w:eastAsiaTheme="minorEastAsia" w:cstheme="majorHAnsi"/>
                <w:b/>
                <w:bCs/>
                <w:color w:val="000000"/>
                <w:szCs w:val="18"/>
                <w:lang w:eastAsia="en-AU"/>
              </w:rPr>
              <w:t>Items that will not be reclassified to net result</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Changes in non-financial assets revaluation surplus</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(22)</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20</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8 700</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16</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Remeasurement of superannuation defined benefits plans</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1 259</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(500)</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(263)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(754)</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1 213</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 xml:space="preserve">Other movements in equity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(43)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2</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14</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8"/>
                <w:lang w:eastAsia="en-AU"/>
              </w:rPr>
            </w:pPr>
            <w:r w:rsidRPr="005D3A12">
              <w:rPr>
                <w:rFonts w:eastAsiaTheme="minorEastAsia" w:cstheme="majorHAnsi"/>
                <w:b/>
                <w:bCs/>
                <w:color w:val="000000"/>
                <w:szCs w:val="18"/>
                <w:lang w:eastAsia="en-AU"/>
              </w:rPr>
              <w:t>Items that may be reclassified subsequently to net result</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Net gain/(loss) on financial assets at fair value</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31</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(10)</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(12)</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8"/>
                <w:lang w:eastAsia="en-AU"/>
              </w:rPr>
            </w:pPr>
            <w:r w:rsidRPr="005D3A12">
              <w:rPr>
                <w:rFonts w:eastAsiaTheme="minorEastAsia" w:cstheme="majorHAnsi"/>
                <w:color w:val="000000"/>
                <w:szCs w:val="18"/>
                <w:lang w:eastAsia="en-AU"/>
              </w:rPr>
              <w:t xml:space="preserve">Net gain/(loss) on equity investments in other sector entities at proportional share of the carrying amount of net assets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r w:rsidRPr="005D3A12">
              <w:rPr>
                <w:rFonts w:eastAsiaTheme="minorEastAsia" w:cstheme="majorHAnsi"/>
                <w:color w:val="000000"/>
                <w:szCs w:val="18"/>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686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r w:rsidRPr="005D3A12">
              <w:rPr>
                <w:rFonts w:eastAsiaTheme="minorEastAsia" w:cstheme="majorHAnsi"/>
                <w:color w:val="000000"/>
                <w:szCs w:val="18"/>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5D3A12">
              <w:rPr>
                <w:rFonts w:eastAsiaTheme="minorEastAsia" w:cstheme="majorHAnsi"/>
                <w:color w:val="000000"/>
                <w:szCs w:val="18"/>
                <w:lang w:eastAsia="en-AU"/>
              </w:rPr>
              <w:t>5 515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8"/>
                <w:lang w:eastAsia="en-AU"/>
              </w:rPr>
            </w:pPr>
            <w:r w:rsidRPr="005D3A12">
              <w:rPr>
                <w:rFonts w:eastAsiaTheme="minorEastAsia" w:cstheme="majorHAnsi"/>
                <w:b/>
                <w:bCs/>
                <w:color w:val="000000"/>
                <w:szCs w:val="18"/>
                <w:lang w:eastAsia="en-AU"/>
              </w:rPr>
              <w:t xml:space="preserve">Total other economic flows – </w:t>
            </w:r>
            <w:r>
              <w:rPr>
                <w:rFonts w:eastAsiaTheme="minorEastAsia" w:cstheme="majorHAnsi"/>
                <w:b/>
                <w:bCs/>
                <w:color w:val="000000"/>
                <w:szCs w:val="18"/>
                <w:lang w:eastAsia="en-AU"/>
              </w:rPr>
              <w:br/>
            </w:r>
            <w:r w:rsidRPr="005D3A12">
              <w:rPr>
                <w:rFonts w:eastAsiaTheme="minorEastAsia" w:cstheme="majorHAnsi"/>
                <w:b/>
                <w:bCs/>
                <w:color w:val="000000"/>
                <w:szCs w:val="18"/>
                <w:lang w:eastAsia="en-AU"/>
              </w:rPr>
              <w:t xml:space="preserve">other comprehensive income </w:t>
            </w:r>
          </w:p>
        </w:tc>
        <w:tc>
          <w:tcPr>
            <w:tcW w:w="850"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3A12">
              <w:rPr>
                <w:rFonts w:eastAsiaTheme="minorEastAsia" w:cstheme="majorHAnsi"/>
                <w:b/>
                <w:bCs/>
                <w:color w:val="000000"/>
                <w:szCs w:val="18"/>
                <w:lang w:eastAsia="en-AU"/>
              </w:rPr>
              <w:t>1 165</w:t>
            </w:r>
          </w:p>
        </w:tc>
        <w:tc>
          <w:tcPr>
            <w:tcW w:w="850"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195</w:t>
            </w:r>
          </w:p>
        </w:tc>
        <w:tc>
          <w:tcPr>
            <w:tcW w:w="850"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(210)</w:t>
            </w:r>
          </w:p>
        </w:tc>
        <w:tc>
          <w:tcPr>
            <w:tcW w:w="850"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3A12">
              <w:rPr>
                <w:rFonts w:eastAsiaTheme="minorEastAsia" w:cstheme="majorHAnsi"/>
                <w:b/>
                <w:bCs/>
                <w:color w:val="000000"/>
                <w:szCs w:val="18"/>
                <w:lang w:eastAsia="en-AU"/>
              </w:rPr>
              <w:t>13 453</w:t>
            </w:r>
          </w:p>
        </w:tc>
        <w:tc>
          <w:tcPr>
            <w:tcW w:w="850"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3A12">
              <w:rPr>
                <w:rFonts w:eastAsiaTheme="minorEastAsia" w:cstheme="majorHAnsi"/>
                <w:b/>
                <w:bCs/>
                <w:color w:val="000000"/>
                <w:szCs w:val="18"/>
                <w:lang w:eastAsia="en-AU"/>
              </w:rPr>
              <w:t>1 230</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8"/>
                <w:lang w:eastAsia="en-AU"/>
              </w:rPr>
            </w:pPr>
            <w:r w:rsidRPr="005D3A12">
              <w:rPr>
                <w:rFonts w:eastAsiaTheme="minorEastAsia" w:cstheme="majorHAnsi"/>
                <w:b/>
                <w:bCs/>
                <w:color w:val="000000"/>
                <w:szCs w:val="18"/>
                <w:lang w:eastAsia="en-AU"/>
              </w:rPr>
              <w:t xml:space="preserve">Comprehensive result – </w:t>
            </w:r>
            <w:r>
              <w:rPr>
                <w:rFonts w:eastAsiaTheme="minorEastAsia" w:cstheme="majorHAnsi"/>
                <w:b/>
                <w:bCs/>
                <w:color w:val="000000"/>
                <w:szCs w:val="18"/>
                <w:lang w:eastAsia="en-AU"/>
              </w:rPr>
              <w:br/>
            </w:r>
            <w:r w:rsidRPr="005D3A12">
              <w:rPr>
                <w:rFonts w:eastAsiaTheme="minorEastAsia" w:cstheme="majorHAnsi"/>
                <w:b/>
                <w:bCs/>
                <w:color w:val="000000"/>
                <w:szCs w:val="18"/>
                <w:lang w:eastAsia="en-AU"/>
              </w:rPr>
              <w:t xml:space="preserve">total change in net worth </w:t>
            </w:r>
          </w:p>
        </w:tc>
        <w:tc>
          <w:tcPr>
            <w:tcW w:w="850" w:type="dxa"/>
            <w:tcBorders>
              <w:top w:val="single" w:sz="6" w:space="0" w:color="000000"/>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3A12">
              <w:rPr>
                <w:rFonts w:eastAsiaTheme="minorEastAsia" w:cstheme="majorHAnsi"/>
                <w:b/>
                <w:bCs/>
                <w:color w:val="000000"/>
                <w:szCs w:val="18"/>
                <w:lang w:eastAsia="en-AU"/>
              </w:rPr>
              <w:t>1 662</w:t>
            </w:r>
          </w:p>
        </w:tc>
        <w:tc>
          <w:tcPr>
            <w:tcW w:w="850" w:type="dxa"/>
            <w:tcBorders>
              <w:top w:val="single" w:sz="6" w:space="0" w:color="000000"/>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Pr>
                <w:rFonts w:eastAsiaTheme="minorEastAsia" w:cstheme="majorHAnsi"/>
                <w:b/>
                <w:bCs/>
                <w:color w:val="000000"/>
                <w:szCs w:val="18"/>
                <w:lang w:eastAsia="en-AU"/>
              </w:rPr>
              <w:t>567</w:t>
            </w:r>
          </w:p>
        </w:tc>
        <w:tc>
          <w:tcPr>
            <w:tcW w:w="850" w:type="dxa"/>
            <w:tcBorders>
              <w:top w:val="single" w:sz="6" w:space="0" w:color="000000"/>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3A12">
              <w:rPr>
                <w:rFonts w:eastAsiaTheme="minorEastAsia" w:cstheme="majorHAnsi"/>
                <w:b/>
                <w:bCs/>
                <w:color w:val="000000"/>
                <w:szCs w:val="18"/>
                <w:lang w:eastAsia="en-AU"/>
              </w:rPr>
              <w:t>1 825</w:t>
            </w:r>
          </w:p>
        </w:tc>
        <w:tc>
          <w:tcPr>
            <w:tcW w:w="850" w:type="dxa"/>
            <w:tcBorders>
              <w:top w:val="single" w:sz="6" w:space="0" w:color="000000"/>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3A12">
              <w:rPr>
                <w:rFonts w:eastAsiaTheme="minorEastAsia" w:cstheme="majorHAnsi"/>
                <w:b/>
                <w:bCs/>
                <w:color w:val="000000"/>
                <w:szCs w:val="18"/>
                <w:lang w:eastAsia="en-AU"/>
              </w:rPr>
              <w:t>12 036</w:t>
            </w:r>
          </w:p>
        </w:tc>
        <w:tc>
          <w:tcPr>
            <w:tcW w:w="850" w:type="dxa"/>
            <w:tcBorders>
              <w:top w:val="single" w:sz="6" w:space="0" w:color="000000"/>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5D3A12">
              <w:rPr>
                <w:rFonts w:eastAsiaTheme="minorEastAsia" w:cstheme="majorHAnsi"/>
                <w:b/>
                <w:bCs/>
                <w:color w:val="000000"/>
                <w:szCs w:val="18"/>
                <w:lang w:eastAsia="en-AU"/>
              </w:rPr>
              <w:t>1 948</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6"/>
                <w:lang w:eastAsia="en-AU"/>
              </w:rPr>
            </w:pPr>
            <w:r w:rsidRPr="005D3A12">
              <w:rPr>
                <w:rFonts w:eastAsiaTheme="minorEastAsia" w:cstheme="majorHAnsi"/>
                <w:b/>
                <w:bCs/>
                <w:color w:val="000000"/>
                <w:szCs w:val="16"/>
                <w:lang w:eastAsia="en-AU"/>
              </w:rPr>
              <w:t>KEY FISCAL AGGREGATES</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6"/>
                <w:lang w:eastAsia="en-AU"/>
              </w:rPr>
            </w:pPr>
            <w:r w:rsidRPr="005D3A12">
              <w:rPr>
                <w:rFonts w:eastAsiaTheme="minorEastAsia" w:cstheme="majorHAnsi"/>
                <w:b/>
                <w:bCs/>
                <w:color w:val="000000"/>
                <w:szCs w:val="16"/>
                <w:lang w:eastAsia="en-AU"/>
              </w:rPr>
              <w:t>Net operating balance</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555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395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2 057</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(694)</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Pr>
                <w:rFonts w:eastAsiaTheme="minorEastAsia" w:cstheme="majorHAnsi"/>
                <w:b/>
                <w:bCs/>
                <w:color w:val="000000"/>
                <w:szCs w:val="16"/>
                <w:lang w:eastAsia="en-AU"/>
              </w:rPr>
              <w:t>832</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Less: Net acquisition of non-financial assets from transactions</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283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1 468</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235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1 237</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690</w:t>
            </w:r>
          </w:p>
        </w:tc>
      </w:tr>
      <w:tr w:rsidR="004B6846" w:rsidRPr="005D3A12"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5D3A12" w:rsidRDefault="004B6846" w:rsidP="00CC0EB7">
            <w:pPr>
              <w:keepLines w:val="0"/>
              <w:autoSpaceDE w:val="0"/>
              <w:autoSpaceDN w:val="0"/>
              <w:adjustRightInd w:val="0"/>
              <w:rPr>
                <w:rFonts w:eastAsiaTheme="minorEastAsia" w:cstheme="majorHAnsi"/>
                <w:bCs/>
                <w:color w:val="000000"/>
                <w:szCs w:val="16"/>
                <w:lang w:eastAsia="en-AU"/>
              </w:rPr>
            </w:pPr>
            <w:r w:rsidRPr="005D3A12">
              <w:rPr>
                <w:rFonts w:eastAsiaTheme="minorEastAsia" w:cstheme="majorHAnsi"/>
                <w:bCs/>
                <w:color w:val="000000"/>
                <w:szCs w:val="16"/>
                <w:lang w:eastAsia="en-AU"/>
              </w:rPr>
              <w:t>Net lending/(borrowing)</w:t>
            </w:r>
          </w:p>
        </w:tc>
        <w:tc>
          <w:tcPr>
            <w:tcW w:w="850" w:type="dxa"/>
            <w:tcBorders>
              <w:top w:val="single" w:sz="6" w:space="0" w:color="000000"/>
              <w:bottom w:val="single" w:sz="12" w:space="0" w:color="000000"/>
            </w:tcBorders>
          </w:tcPr>
          <w:p w:rsidR="004B6846" w:rsidRPr="005D3A12"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272</w:t>
            </w:r>
          </w:p>
        </w:tc>
        <w:tc>
          <w:tcPr>
            <w:tcW w:w="850" w:type="dxa"/>
            <w:tcBorders>
              <w:top w:val="single" w:sz="6" w:space="0" w:color="000000"/>
              <w:bottom w:val="single" w:sz="12" w:space="0" w:color="000000"/>
            </w:tcBorders>
          </w:tcPr>
          <w:p w:rsidR="004B6846" w:rsidRPr="005D3A12"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(1 073)</w:t>
            </w:r>
          </w:p>
        </w:tc>
        <w:tc>
          <w:tcPr>
            <w:tcW w:w="850" w:type="dxa"/>
            <w:tcBorders>
              <w:top w:val="single" w:sz="6" w:space="0" w:color="000000"/>
              <w:bottom w:val="single" w:sz="12" w:space="0" w:color="000000"/>
            </w:tcBorders>
          </w:tcPr>
          <w:p w:rsidR="004B6846" w:rsidRPr="005D3A12"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sidRPr="005D3A12">
              <w:rPr>
                <w:rFonts w:eastAsiaTheme="minorEastAsia" w:cstheme="majorHAnsi"/>
                <w:bCs/>
                <w:color w:val="000000"/>
                <w:szCs w:val="16"/>
                <w:lang w:eastAsia="en-AU"/>
              </w:rPr>
              <w:t>1 823</w:t>
            </w:r>
          </w:p>
        </w:tc>
        <w:tc>
          <w:tcPr>
            <w:tcW w:w="850" w:type="dxa"/>
            <w:tcBorders>
              <w:top w:val="single" w:sz="6" w:space="0" w:color="000000"/>
              <w:bottom w:val="single" w:sz="12" w:space="0" w:color="000000"/>
            </w:tcBorders>
          </w:tcPr>
          <w:p w:rsidR="004B6846" w:rsidRPr="005D3A12"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(1 932)</w:t>
            </w:r>
          </w:p>
        </w:tc>
        <w:tc>
          <w:tcPr>
            <w:tcW w:w="850" w:type="dxa"/>
            <w:tcBorders>
              <w:top w:val="single" w:sz="6" w:space="0" w:color="000000"/>
              <w:bottom w:val="single" w:sz="12" w:space="0" w:color="000000"/>
            </w:tcBorders>
          </w:tcPr>
          <w:p w:rsidR="004B6846" w:rsidRPr="005D3A12" w:rsidRDefault="004B6846" w:rsidP="00CC0EB7">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6"/>
                <w:lang w:eastAsia="en-AU"/>
              </w:rPr>
            </w:pPr>
            <w:r>
              <w:rPr>
                <w:rFonts w:eastAsiaTheme="minorEastAsia" w:cstheme="majorHAnsi"/>
                <w:bCs/>
                <w:color w:val="000000"/>
                <w:szCs w:val="16"/>
                <w:lang w:eastAsia="en-AU"/>
              </w:rPr>
              <w:t>142</w:t>
            </w:r>
          </w:p>
        </w:tc>
      </w:tr>
    </w:tbl>
    <w:p w:rsidR="004B6846" w:rsidRDefault="004B6846" w:rsidP="00CC0EB7">
      <w:pPr>
        <w:pStyle w:val="Source"/>
      </w:pPr>
      <w:r w:rsidRPr="00D87D22">
        <w:t>Source: Department of Treasury and Finance</w:t>
      </w:r>
    </w:p>
    <w:p w:rsidR="004B6846" w:rsidRDefault="004B6846" w:rsidP="00CC0EB7"/>
    <w:p w:rsidR="004B6846" w:rsidRDefault="004B6846" w:rsidP="00CC0EB7"/>
    <w:p w:rsidR="004B6846" w:rsidRDefault="004B6846">
      <w:pPr>
        <w:keepLines w:val="0"/>
        <w:rPr>
          <w:rFonts w:asciiTheme="majorHAnsi" w:hAnsiTheme="majorHAnsi"/>
          <w:b/>
          <w:sz w:val="20"/>
          <w:szCs w:val="20"/>
        </w:rPr>
      </w:pPr>
      <w:r>
        <w:br w:type="page"/>
      </w:r>
    </w:p>
    <w:p w:rsidR="004B6846" w:rsidRPr="005D3A12" w:rsidRDefault="004B6846" w:rsidP="00CC0EB7">
      <w:pPr>
        <w:pStyle w:val="TableHeading"/>
        <w:rPr>
          <w:bCs/>
          <w:lang w:val="en-US"/>
        </w:rPr>
      </w:pPr>
      <w:r w:rsidRPr="00E831CC">
        <w:lastRenderedPageBreak/>
        <w:t>Consolidated balance sheet at the end of the past five quarters</w:t>
      </w:r>
      <w:r w:rsidRPr="00E831CC">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171"/>
        <w:gridCol w:w="679"/>
        <w:gridCol w:w="850"/>
        <w:gridCol w:w="850"/>
        <w:gridCol w:w="850"/>
        <w:gridCol w:w="850"/>
      </w:tblGrid>
      <w:tr w:rsidR="004B6846" w:rsidRPr="005D3A12"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4B6846" w:rsidRPr="005D3A12" w:rsidRDefault="004B6846" w:rsidP="00CC0EB7">
            <w:pPr>
              <w:autoSpaceDE w:val="0"/>
              <w:autoSpaceDN w:val="0"/>
              <w:adjustRightInd w:val="0"/>
              <w:rPr>
                <w:rFonts w:eastAsiaTheme="minorEastAsia" w:cstheme="majorHAnsi"/>
                <w:iCs/>
                <w:color w:val="FFFFFF"/>
                <w:lang w:eastAsia="en-AU"/>
              </w:rPr>
            </w:pPr>
            <w:r w:rsidRPr="005D3A12">
              <w:rPr>
                <w:rFonts w:eastAsiaTheme="minorEastAsia" w:cstheme="majorHAnsi"/>
                <w:iCs/>
                <w:color w:val="FFFFFF"/>
                <w:lang w:eastAsia="en-AU"/>
              </w:rPr>
              <w:t xml:space="preserve"> </w:t>
            </w:r>
          </w:p>
        </w:tc>
        <w:tc>
          <w:tcPr>
            <w:tcW w:w="850" w:type="dxa"/>
            <w:gridSpan w:val="2"/>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2017-18</w:t>
            </w:r>
          </w:p>
        </w:tc>
        <w:tc>
          <w:tcPr>
            <w:tcW w:w="850" w:type="dxa"/>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 xml:space="preserve"> </w:t>
            </w:r>
          </w:p>
        </w:tc>
        <w:tc>
          <w:tcPr>
            <w:tcW w:w="850" w:type="dxa"/>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 xml:space="preserve"> </w:t>
            </w:r>
          </w:p>
        </w:tc>
        <w:tc>
          <w:tcPr>
            <w:tcW w:w="850" w:type="dxa"/>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 xml:space="preserve"> </w:t>
            </w:r>
          </w:p>
        </w:tc>
        <w:tc>
          <w:tcPr>
            <w:tcW w:w="850" w:type="dxa"/>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2018-19</w:t>
            </w:r>
          </w:p>
        </w:tc>
      </w:tr>
      <w:tr w:rsidR="004B6846" w:rsidRPr="005D3A12"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rPr>
                <w:rFonts w:eastAsiaTheme="minorEastAsia" w:cstheme="majorHAnsi"/>
                <w:iCs/>
                <w:color w:val="FFFFFF"/>
                <w:lang w:eastAsia="en-AU"/>
              </w:rPr>
            </w:pPr>
            <w:r w:rsidRPr="005D3A12">
              <w:rPr>
                <w:rFonts w:eastAsiaTheme="minorEastAsia" w:cstheme="majorHAnsi"/>
                <w:iCs/>
                <w:color w:val="FFFFFF"/>
                <w:lang w:eastAsia="en-AU"/>
              </w:rPr>
              <w:t xml:space="preserve"> </w:t>
            </w:r>
          </w:p>
        </w:tc>
        <w:tc>
          <w:tcPr>
            <w:tcW w:w="850" w:type="dxa"/>
            <w:gridSpan w:val="2"/>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Sep</w:t>
            </w:r>
          </w:p>
        </w:tc>
        <w:tc>
          <w:tcPr>
            <w:tcW w:w="850" w:type="dxa"/>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Dec</w:t>
            </w:r>
          </w:p>
        </w:tc>
        <w:tc>
          <w:tcPr>
            <w:tcW w:w="850" w:type="dxa"/>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Mar</w:t>
            </w:r>
          </w:p>
        </w:tc>
        <w:tc>
          <w:tcPr>
            <w:tcW w:w="850" w:type="dxa"/>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Jun</w:t>
            </w:r>
          </w:p>
        </w:tc>
        <w:tc>
          <w:tcPr>
            <w:tcW w:w="850" w:type="dxa"/>
            <w:tcBorders>
              <w:top w:val="nil"/>
              <w:left w:val="nil"/>
              <w:bottom w:val="nil"/>
              <w:right w:val="nil"/>
            </w:tcBorders>
            <w:shd w:val="solid" w:color="000000" w:fill="auto"/>
          </w:tcPr>
          <w:p w:rsidR="004B6846" w:rsidRPr="005D3A12" w:rsidRDefault="004B6846" w:rsidP="00CC0EB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6"/>
                <w:lang w:eastAsia="en-AU"/>
              </w:rPr>
            </w:pPr>
            <w:r w:rsidRPr="005D3A12">
              <w:rPr>
                <w:rFonts w:eastAsiaTheme="minorEastAsia" w:cstheme="majorHAnsi"/>
                <w:iCs/>
                <w:color w:val="FFFFFF"/>
                <w:szCs w:val="16"/>
                <w:lang w:eastAsia="en-AU"/>
              </w:rPr>
              <w:t>Sep</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6"/>
                <w:lang w:eastAsia="en-AU"/>
              </w:rPr>
            </w:pPr>
            <w:r w:rsidRPr="005D3A12">
              <w:rPr>
                <w:rFonts w:eastAsiaTheme="minorEastAsia" w:cstheme="majorHAnsi"/>
                <w:b/>
                <w:bCs/>
                <w:color w:val="000000"/>
                <w:szCs w:val="16"/>
                <w:lang w:eastAsia="en-AU"/>
              </w:rPr>
              <w:t>Assets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6"/>
                <w:lang w:eastAsia="en-AU"/>
              </w:rPr>
            </w:pPr>
            <w:r w:rsidRPr="005D3A12">
              <w:rPr>
                <w:rFonts w:eastAsiaTheme="minorEastAsia" w:cstheme="majorHAnsi"/>
                <w:b/>
                <w:bCs/>
                <w:color w:val="000000"/>
                <w:szCs w:val="16"/>
                <w:lang w:eastAsia="en-AU"/>
              </w:rPr>
              <w:t>Financial assets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Cash and deposits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4 146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3 992</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3 900</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6 257</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5 940</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Advances paid</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12 179</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11 986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11 095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10 019</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9 189</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Receivables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6 281</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5 807</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7 756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6 208</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6 400</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Investments, loans and placements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3 895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4 159</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4 163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3 928</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3 940</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686" w:type="dxa"/>
            <w:gridSpan w:val="2"/>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Investments accounted for using the equity method</w:t>
            </w:r>
          </w:p>
        </w:tc>
        <w:tc>
          <w:tcPr>
            <w:tcW w:w="679"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48</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47</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44</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52</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Investments in other sector entities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93 484</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95 297</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96 575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101 253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102 157</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6"/>
                <w:lang w:eastAsia="en-AU"/>
              </w:rPr>
            </w:pPr>
            <w:r w:rsidRPr="005D3A12">
              <w:rPr>
                <w:rFonts w:eastAsiaTheme="minorEastAsia" w:cstheme="majorHAnsi"/>
                <w:b/>
                <w:bCs/>
                <w:color w:val="000000"/>
                <w:szCs w:val="16"/>
                <w:lang w:eastAsia="en-AU"/>
              </w:rPr>
              <w:t>Total financial assets</w:t>
            </w:r>
          </w:p>
        </w:tc>
        <w:tc>
          <w:tcPr>
            <w:tcW w:w="850" w:type="dxa"/>
            <w:gridSpan w:val="2"/>
            <w:tcBorders>
              <w:top w:val="single" w:sz="6" w:space="0" w:color="000000"/>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120 033</w:t>
            </w:r>
          </w:p>
        </w:tc>
        <w:tc>
          <w:tcPr>
            <w:tcW w:w="850" w:type="dxa"/>
            <w:tcBorders>
              <w:top w:val="single" w:sz="6" w:space="0" w:color="000000"/>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121 290</w:t>
            </w:r>
          </w:p>
        </w:tc>
        <w:tc>
          <w:tcPr>
            <w:tcW w:w="850" w:type="dxa"/>
            <w:tcBorders>
              <w:top w:val="single" w:sz="6" w:space="0" w:color="000000"/>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123 533</w:t>
            </w:r>
          </w:p>
        </w:tc>
        <w:tc>
          <w:tcPr>
            <w:tcW w:w="850" w:type="dxa"/>
            <w:tcBorders>
              <w:top w:val="single" w:sz="6" w:space="0" w:color="000000"/>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127 717</w:t>
            </w:r>
          </w:p>
        </w:tc>
        <w:tc>
          <w:tcPr>
            <w:tcW w:w="850" w:type="dxa"/>
            <w:tcBorders>
              <w:top w:val="single" w:sz="6" w:space="0" w:color="000000"/>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127 679</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6"/>
                <w:lang w:eastAsia="en-AU"/>
              </w:rPr>
            </w:pPr>
            <w:r w:rsidRPr="005D3A12">
              <w:rPr>
                <w:rFonts w:eastAsiaTheme="minorEastAsia" w:cstheme="majorHAnsi"/>
                <w:b/>
                <w:bCs/>
                <w:color w:val="000000"/>
                <w:szCs w:val="16"/>
                <w:lang w:eastAsia="en-AU"/>
              </w:rPr>
              <w:t>Non-financial assets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Inventories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173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176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176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175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171</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Non-financial assets held for sale</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405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438</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355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389</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391</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Land, buildings, infrastructure, plant and equipment</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122 018</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123 323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123 897</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134 141</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134 414</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Other non-financial assets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1 944</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1 763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1 756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1 872</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2 411</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6"/>
                <w:lang w:eastAsia="en-AU"/>
              </w:rPr>
            </w:pPr>
            <w:r w:rsidRPr="005D3A12">
              <w:rPr>
                <w:rFonts w:eastAsiaTheme="minorEastAsia" w:cstheme="majorHAnsi"/>
                <w:b/>
                <w:bCs/>
                <w:color w:val="000000"/>
                <w:szCs w:val="16"/>
                <w:lang w:eastAsia="en-AU"/>
              </w:rPr>
              <w:t>Total non-financial assets</w:t>
            </w:r>
          </w:p>
        </w:tc>
        <w:tc>
          <w:tcPr>
            <w:tcW w:w="850" w:type="dxa"/>
            <w:gridSpan w:val="2"/>
            <w:tcBorders>
              <w:top w:val="single" w:sz="6" w:space="0" w:color="000000"/>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124 539</w:t>
            </w:r>
          </w:p>
        </w:tc>
        <w:tc>
          <w:tcPr>
            <w:tcW w:w="850" w:type="dxa"/>
            <w:tcBorders>
              <w:top w:val="single" w:sz="6" w:space="0" w:color="000000"/>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125 700</w:t>
            </w:r>
          </w:p>
        </w:tc>
        <w:tc>
          <w:tcPr>
            <w:tcW w:w="850" w:type="dxa"/>
            <w:tcBorders>
              <w:top w:val="single" w:sz="6" w:space="0" w:color="000000"/>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126 184</w:t>
            </w:r>
          </w:p>
        </w:tc>
        <w:tc>
          <w:tcPr>
            <w:tcW w:w="850" w:type="dxa"/>
            <w:tcBorders>
              <w:top w:val="single" w:sz="6" w:space="0" w:color="000000"/>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136 577</w:t>
            </w:r>
          </w:p>
        </w:tc>
        <w:tc>
          <w:tcPr>
            <w:tcW w:w="850" w:type="dxa"/>
            <w:tcBorders>
              <w:top w:val="single" w:sz="6" w:space="0" w:color="000000"/>
              <w:left w:val="nil"/>
              <w:bottom w:val="single" w:sz="6"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137 386</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6"/>
                <w:lang w:eastAsia="en-AU"/>
              </w:rPr>
            </w:pPr>
            <w:r w:rsidRPr="005D3A12">
              <w:rPr>
                <w:rFonts w:eastAsiaTheme="minorEastAsia" w:cstheme="majorHAnsi"/>
                <w:b/>
                <w:bCs/>
                <w:color w:val="000000"/>
                <w:szCs w:val="16"/>
                <w:lang w:eastAsia="en-AU"/>
              </w:rPr>
              <w:t>Total assets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244 573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246 990</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249 718</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264 294</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265 065</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6"/>
                <w:lang w:eastAsia="en-AU"/>
              </w:rPr>
            </w:pPr>
            <w:r w:rsidRPr="005D3A12">
              <w:rPr>
                <w:rFonts w:eastAsiaTheme="minorEastAsia" w:cstheme="majorHAnsi"/>
                <w:b/>
                <w:bCs/>
                <w:color w:val="000000"/>
                <w:szCs w:val="16"/>
                <w:lang w:eastAsia="en-AU"/>
              </w:rPr>
              <w:t>Liabilities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 xml:space="preserve">Deposits held and advances received </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8 403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8 252</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7 781</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6 700</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5 772</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Payables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5 722</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5 542</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5 902</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6 713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9 143</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 xml:space="preserve">Borrowings </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29 485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30 995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31 902</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33 506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31 974</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Employee benefits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6 329</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6 555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6 458</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7 020</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6 893</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Superannuation</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23 903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24 438</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24 714</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25 205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24 257</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Other provisions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1 043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953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880</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1 034</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Pr>
                <w:rFonts w:eastAsiaTheme="minorEastAsia" w:cstheme="majorHAnsi"/>
                <w:color w:val="000000"/>
                <w:szCs w:val="16"/>
                <w:lang w:eastAsia="en-AU"/>
              </w:rPr>
              <w:t>962</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6"/>
                <w:lang w:eastAsia="en-AU"/>
              </w:rPr>
            </w:pPr>
            <w:r w:rsidRPr="005D3A12">
              <w:rPr>
                <w:rFonts w:eastAsiaTheme="minorEastAsia" w:cstheme="majorHAnsi"/>
                <w:b/>
                <w:bCs/>
                <w:color w:val="000000"/>
                <w:szCs w:val="16"/>
                <w:lang w:eastAsia="en-AU"/>
              </w:rPr>
              <w:t>Total liabilities</w:t>
            </w:r>
          </w:p>
        </w:tc>
        <w:tc>
          <w:tcPr>
            <w:tcW w:w="850" w:type="dxa"/>
            <w:gridSpan w:val="2"/>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74 884</w:t>
            </w:r>
          </w:p>
        </w:tc>
        <w:tc>
          <w:tcPr>
            <w:tcW w:w="850"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76 734</w:t>
            </w:r>
          </w:p>
        </w:tc>
        <w:tc>
          <w:tcPr>
            <w:tcW w:w="850"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77 637</w:t>
            </w:r>
          </w:p>
        </w:tc>
        <w:tc>
          <w:tcPr>
            <w:tcW w:w="850"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80 178</w:t>
            </w:r>
          </w:p>
        </w:tc>
        <w:tc>
          <w:tcPr>
            <w:tcW w:w="850" w:type="dxa"/>
            <w:tcBorders>
              <w:top w:val="single" w:sz="6" w:space="0" w:color="000000"/>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79 001</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6"/>
                <w:lang w:eastAsia="en-AU"/>
              </w:rPr>
            </w:pPr>
            <w:r w:rsidRPr="005D3A12">
              <w:rPr>
                <w:rFonts w:eastAsiaTheme="minorEastAsia" w:cstheme="majorHAnsi"/>
                <w:b/>
                <w:bCs/>
                <w:color w:val="000000"/>
                <w:szCs w:val="16"/>
                <w:lang w:eastAsia="en-AU"/>
              </w:rPr>
              <w:t>Net assets</w:t>
            </w:r>
          </w:p>
        </w:tc>
        <w:tc>
          <w:tcPr>
            <w:tcW w:w="850" w:type="dxa"/>
            <w:gridSpan w:val="2"/>
            <w:tcBorders>
              <w:top w:val="single" w:sz="6" w:space="0" w:color="000000"/>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169 689</w:t>
            </w:r>
          </w:p>
        </w:tc>
        <w:tc>
          <w:tcPr>
            <w:tcW w:w="850" w:type="dxa"/>
            <w:tcBorders>
              <w:top w:val="single" w:sz="6" w:space="0" w:color="000000"/>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170 256</w:t>
            </w:r>
          </w:p>
        </w:tc>
        <w:tc>
          <w:tcPr>
            <w:tcW w:w="850" w:type="dxa"/>
            <w:tcBorders>
              <w:top w:val="single" w:sz="6" w:space="0" w:color="000000"/>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172 080</w:t>
            </w:r>
          </w:p>
        </w:tc>
        <w:tc>
          <w:tcPr>
            <w:tcW w:w="850" w:type="dxa"/>
            <w:tcBorders>
              <w:top w:val="single" w:sz="6" w:space="0" w:color="000000"/>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184 116</w:t>
            </w:r>
          </w:p>
        </w:tc>
        <w:tc>
          <w:tcPr>
            <w:tcW w:w="850" w:type="dxa"/>
            <w:tcBorders>
              <w:top w:val="single" w:sz="6" w:space="0" w:color="000000"/>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186 064</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Accumulated surplus/(deficit)</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53 145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52 965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54 751</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52 574</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54 496</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Reserves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116 544</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117 290</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117 329</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131 543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131 569</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12" w:space="0" w:color="000000"/>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6"/>
                <w:lang w:eastAsia="en-AU"/>
              </w:rPr>
            </w:pPr>
            <w:r w:rsidRPr="005D3A12">
              <w:rPr>
                <w:rFonts w:eastAsiaTheme="minorEastAsia" w:cstheme="majorHAnsi"/>
                <w:b/>
                <w:bCs/>
                <w:color w:val="000000"/>
                <w:szCs w:val="16"/>
                <w:lang w:eastAsia="en-AU"/>
              </w:rPr>
              <w:t>Net worth</w:t>
            </w:r>
          </w:p>
        </w:tc>
        <w:tc>
          <w:tcPr>
            <w:tcW w:w="850" w:type="dxa"/>
            <w:gridSpan w:val="2"/>
            <w:tcBorders>
              <w:top w:val="nil"/>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169 689</w:t>
            </w:r>
          </w:p>
        </w:tc>
        <w:tc>
          <w:tcPr>
            <w:tcW w:w="850" w:type="dxa"/>
            <w:tcBorders>
              <w:top w:val="nil"/>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170 256</w:t>
            </w:r>
          </w:p>
        </w:tc>
        <w:tc>
          <w:tcPr>
            <w:tcW w:w="850" w:type="dxa"/>
            <w:tcBorders>
              <w:top w:val="nil"/>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172 080</w:t>
            </w:r>
          </w:p>
        </w:tc>
        <w:tc>
          <w:tcPr>
            <w:tcW w:w="850" w:type="dxa"/>
            <w:tcBorders>
              <w:top w:val="nil"/>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184 116</w:t>
            </w:r>
          </w:p>
        </w:tc>
        <w:tc>
          <w:tcPr>
            <w:tcW w:w="850" w:type="dxa"/>
            <w:tcBorders>
              <w:top w:val="nil"/>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6"/>
                <w:lang w:eastAsia="en-AU"/>
              </w:rPr>
            </w:pPr>
            <w:r w:rsidRPr="005D3A12">
              <w:rPr>
                <w:rFonts w:eastAsiaTheme="minorEastAsia" w:cstheme="majorHAnsi"/>
                <w:b/>
                <w:bCs/>
                <w:color w:val="000000"/>
                <w:szCs w:val="16"/>
                <w:lang w:eastAsia="en-AU"/>
              </w:rPr>
              <w:t>186 064</w:t>
            </w:r>
          </w:p>
        </w:tc>
      </w:tr>
      <w:tr w:rsidR="004B6846" w:rsidRPr="005D3A12" w:rsidTr="00CC0EB7">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lang w:eastAsia="en-AU"/>
              </w:rPr>
            </w:pPr>
            <w:r w:rsidRPr="005D3A12">
              <w:rPr>
                <w:rFonts w:eastAsiaTheme="minorEastAsia" w:cstheme="majorHAnsi"/>
                <w:color w:val="000000"/>
                <w:lang w:eastAsia="en-AU"/>
              </w:rPr>
              <w:t xml:space="preserve"> </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3A12">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3A12">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3A12">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3A12">
              <w:rPr>
                <w:rFonts w:eastAsiaTheme="minorEastAsia" w:cstheme="majorHAnsi"/>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5D3A12">
              <w:rPr>
                <w:rFonts w:eastAsiaTheme="minorEastAsia" w:cstheme="majorHAnsi"/>
                <w:color w:val="000000"/>
                <w:lang w:eastAsia="en-AU"/>
              </w:rPr>
              <w:t xml:space="preserve"> </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b/>
                <w:bCs/>
                <w:color w:val="000000"/>
                <w:szCs w:val="16"/>
                <w:lang w:eastAsia="en-AU"/>
              </w:rPr>
            </w:pPr>
            <w:r w:rsidRPr="005D3A12">
              <w:rPr>
                <w:rFonts w:eastAsiaTheme="minorEastAsia" w:cstheme="majorHAnsi"/>
                <w:b/>
                <w:bCs/>
                <w:color w:val="000000"/>
                <w:szCs w:val="16"/>
                <w:lang w:eastAsia="en-AU"/>
              </w:rPr>
              <w:t>FISCAL AGGREGATES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lang w:eastAsia="en-AU"/>
              </w:rPr>
            </w:pPr>
            <w:r w:rsidRPr="005D3A12">
              <w:rPr>
                <w:rFonts w:eastAsiaTheme="minorEastAsia" w:cstheme="majorHAnsi"/>
                <w:b/>
                <w:bCs/>
                <w:color w:val="000000"/>
                <w:lang w:eastAsia="en-AU"/>
              </w:rPr>
              <w:t xml:space="preserve"> </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Net financial worth</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45 150</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44 555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45 896</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47 540</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48 678</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Net financial liabilities</w:t>
            </w:r>
          </w:p>
        </w:tc>
        <w:tc>
          <w:tcPr>
            <w:tcW w:w="850" w:type="dxa"/>
            <w:gridSpan w:val="2"/>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48 335</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50 742</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50 679</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53 713</w:t>
            </w:r>
          </w:p>
        </w:tc>
        <w:tc>
          <w:tcPr>
            <w:tcW w:w="850" w:type="dxa"/>
            <w:tcBorders>
              <w:top w:val="nil"/>
              <w:left w:val="nil"/>
              <w:bottom w:val="nil"/>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53 479</w:t>
            </w:r>
          </w:p>
        </w:tc>
      </w:tr>
      <w:tr w:rsidR="004B6846" w:rsidRPr="005D3A12"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12" w:space="0" w:color="000000"/>
              <w:right w:val="nil"/>
            </w:tcBorders>
          </w:tcPr>
          <w:p w:rsidR="004B6846" w:rsidRPr="005D3A12" w:rsidRDefault="004B6846" w:rsidP="00CC0EB7">
            <w:pPr>
              <w:keepLines w:val="0"/>
              <w:autoSpaceDE w:val="0"/>
              <w:autoSpaceDN w:val="0"/>
              <w:adjustRightInd w:val="0"/>
              <w:rPr>
                <w:rFonts w:eastAsiaTheme="minorEastAsia" w:cstheme="majorHAnsi"/>
                <w:color w:val="000000"/>
                <w:szCs w:val="16"/>
                <w:lang w:eastAsia="en-AU"/>
              </w:rPr>
            </w:pPr>
            <w:r w:rsidRPr="005D3A12">
              <w:rPr>
                <w:rFonts w:eastAsiaTheme="minorEastAsia" w:cstheme="majorHAnsi"/>
                <w:color w:val="000000"/>
                <w:szCs w:val="16"/>
                <w:lang w:eastAsia="en-AU"/>
              </w:rPr>
              <w:t>Net debt</w:t>
            </w:r>
          </w:p>
        </w:tc>
        <w:tc>
          <w:tcPr>
            <w:tcW w:w="850" w:type="dxa"/>
            <w:gridSpan w:val="2"/>
            <w:tcBorders>
              <w:top w:val="nil"/>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17 667</w:t>
            </w:r>
          </w:p>
        </w:tc>
        <w:tc>
          <w:tcPr>
            <w:tcW w:w="850" w:type="dxa"/>
            <w:tcBorders>
              <w:top w:val="nil"/>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19 109</w:t>
            </w:r>
          </w:p>
        </w:tc>
        <w:tc>
          <w:tcPr>
            <w:tcW w:w="850" w:type="dxa"/>
            <w:tcBorders>
              <w:top w:val="nil"/>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20 524</w:t>
            </w:r>
          </w:p>
        </w:tc>
        <w:tc>
          <w:tcPr>
            <w:tcW w:w="850" w:type="dxa"/>
            <w:tcBorders>
              <w:top w:val="nil"/>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20 003</w:t>
            </w:r>
          </w:p>
        </w:tc>
        <w:tc>
          <w:tcPr>
            <w:tcW w:w="850" w:type="dxa"/>
            <w:tcBorders>
              <w:top w:val="nil"/>
              <w:left w:val="nil"/>
              <w:bottom w:val="single" w:sz="12" w:space="0" w:color="000000"/>
              <w:right w:val="nil"/>
            </w:tcBorders>
          </w:tcPr>
          <w:p w:rsidR="004B6846" w:rsidRPr="005D3A12" w:rsidRDefault="004B6846" w:rsidP="00CC0EB7">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6"/>
                <w:lang w:eastAsia="en-AU"/>
              </w:rPr>
            </w:pPr>
            <w:r w:rsidRPr="005D3A12">
              <w:rPr>
                <w:rFonts w:eastAsiaTheme="minorEastAsia" w:cstheme="majorHAnsi"/>
                <w:color w:val="000000"/>
                <w:szCs w:val="16"/>
                <w:lang w:eastAsia="en-AU"/>
              </w:rPr>
              <w:t>18 677</w:t>
            </w:r>
          </w:p>
        </w:tc>
      </w:tr>
    </w:tbl>
    <w:p w:rsidR="004B6846" w:rsidRDefault="004B6846" w:rsidP="00CC0EB7">
      <w:pPr>
        <w:pStyle w:val="Source"/>
      </w:pPr>
      <w:r w:rsidRPr="00D87D22">
        <w:t>Source: Department of Treasury and Finance</w:t>
      </w:r>
    </w:p>
    <w:p w:rsidR="004B6846" w:rsidRDefault="004B6846" w:rsidP="00CC0EB7"/>
    <w:p w:rsidR="004B6846" w:rsidRDefault="004B6846" w:rsidP="00CC0EB7"/>
    <w:p w:rsidR="004B6846" w:rsidRDefault="004B6846">
      <w:pPr>
        <w:keepLines w:val="0"/>
        <w:rPr>
          <w:rFonts w:asciiTheme="majorHAnsi" w:hAnsiTheme="majorHAnsi"/>
          <w:b/>
          <w:sz w:val="20"/>
          <w:szCs w:val="20"/>
        </w:rPr>
      </w:pPr>
      <w:r>
        <w:br w:type="page"/>
      </w:r>
    </w:p>
    <w:p w:rsidR="004B6846" w:rsidRPr="005D3A12" w:rsidRDefault="004B6846" w:rsidP="00CC0EB7">
      <w:pPr>
        <w:pStyle w:val="TableHeading"/>
        <w:rPr>
          <w:bCs/>
          <w:lang w:val="en-US"/>
        </w:rPr>
      </w:pPr>
      <w:r w:rsidRPr="00E831CC">
        <w:lastRenderedPageBreak/>
        <w:t>Consolidated cash flow statement for the past five quarters</w:t>
      </w:r>
      <w:r w:rsidRPr="00E831CC">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313"/>
        <w:gridCol w:w="537"/>
        <w:gridCol w:w="850"/>
        <w:gridCol w:w="850"/>
        <w:gridCol w:w="850"/>
        <w:gridCol w:w="850"/>
      </w:tblGrid>
      <w:tr w:rsidR="004B6846" w:rsidRPr="009A7AAE"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4B6846" w:rsidRPr="009A7AAE" w:rsidRDefault="004B6846" w:rsidP="00CC0EB7">
            <w:pPr>
              <w:autoSpaceDE w:val="0"/>
              <w:autoSpaceDN w:val="0"/>
              <w:adjustRightInd w:val="0"/>
              <w:spacing w:after="0"/>
              <w:rPr>
                <w:rFonts w:eastAsiaTheme="minorEastAsia" w:cstheme="majorHAnsi"/>
                <w:iCs/>
                <w:color w:val="FFFFFF"/>
                <w:sz w:val="16"/>
                <w:szCs w:val="16"/>
                <w:lang w:eastAsia="en-AU"/>
              </w:rPr>
            </w:pPr>
            <w:r w:rsidRPr="009A7AAE">
              <w:rPr>
                <w:rFonts w:eastAsiaTheme="minorEastAsia" w:cstheme="majorHAnsi"/>
                <w:iCs/>
                <w:color w:val="FFFFFF"/>
                <w:sz w:val="16"/>
                <w:szCs w:val="16"/>
                <w:lang w:eastAsia="en-AU"/>
              </w:rPr>
              <w:t xml:space="preserve"> </w:t>
            </w:r>
          </w:p>
        </w:tc>
        <w:tc>
          <w:tcPr>
            <w:tcW w:w="850" w:type="dxa"/>
            <w:gridSpan w:val="2"/>
            <w:tcBorders>
              <w:top w:val="nil"/>
              <w:left w:val="nil"/>
              <w:bottom w:val="nil"/>
              <w:right w:val="nil"/>
            </w:tcBorders>
            <w:shd w:val="solid" w:color="000000" w:fill="auto"/>
          </w:tcPr>
          <w:p w:rsidR="004B6846" w:rsidRPr="009A7AAE" w:rsidRDefault="004B6846"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9A7AAE">
              <w:rPr>
                <w:rFonts w:eastAsiaTheme="minorEastAsia" w:cstheme="majorHAnsi"/>
                <w:iCs/>
                <w:color w:val="FFFFFF"/>
                <w:sz w:val="16"/>
                <w:szCs w:val="16"/>
                <w:lang w:eastAsia="en-AU"/>
              </w:rPr>
              <w:t>2017-18</w:t>
            </w:r>
          </w:p>
        </w:tc>
        <w:tc>
          <w:tcPr>
            <w:tcW w:w="850" w:type="dxa"/>
            <w:tcBorders>
              <w:top w:val="nil"/>
              <w:left w:val="nil"/>
              <w:bottom w:val="nil"/>
              <w:right w:val="nil"/>
            </w:tcBorders>
            <w:shd w:val="solid" w:color="000000" w:fill="auto"/>
          </w:tcPr>
          <w:p w:rsidR="004B6846" w:rsidRPr="009A7AAE" w:rsidRDefault="004B6846"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9A7AAE">
              <w:rPr>
                <w:rFonts w:eastAsiaTheme="minorEastAsia" w:cstheme="majorHAnsi"/>
                <w:iCs/>
                <w:color w:val="FFFFFF"/>
                <w:sz w:val="16"/>
                <w:szCs w:val="16"/>
                <w:lang w:eastAsia="en-AU"/>
              </w:rPr>
              <w:t xml:space="preserve"> </w:t>
            </w:r>
          </w:p>
        </w:tc>
        <w:tc>
          <w:tcPr>
            <w:tcW w:w="850" w:type="dxa"/>
            <w:tcBorders>
              <w:top w:val="nil"/>
              <w:left w:val="nil"/>
              <w:bottom w:val="nil"/>
              <w:right w:val="nil"/>
            </w:tcBorders>
            <w:shd w:val="solid" w:color="000000" w:fill="auto"/>
          </w:tcPr>
          <w:p w:rsidR="004B6846" w:rsidRPr="009A7AAE" w:rsidRDefault="004B6846"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9A7AAE">
              <w:rPr>
                <w:rFonts w:eastAsiaTheme="minorEastAsia" w:cstheme="majorHAnsi"/>
                <w:iCs/>
                <w:color w:val="FFFFFF"/>
                <w:sz w:val="16"/>
                <w:szCs w:val="16"/>
                <w:lang w:eastAsia="en-AU"/>
              </w:rPr>
              <w:t xml:space="preserve"> </w:t>
            </w:r>
          </w:p>
        </w:tc>
        <w:tc>
          <w:tcPr>
            <w:tcW w:w="850" w:type="dxa"/>
            <w:tcBorders>
              <w:top w:val="nil"/>
              <w:left w:val="nil"/>
              <w:bottom w:val="nil"/>
              <w:right w:val="nil"/>
            </w:tcBorders>
            <w:shd w:val="solid" w:color="000000" w:fill="auto"/>
          </w:tcPr>
          <w:p w:rsidR="004B6846" w:rsidRPr="009A7AAE" w:rsidRDefault="004B6846"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9A7AAE">
              <w:rPr>
                <w:rFonts w:eastAsiaTheme="minorEastAsia" w:cstheme="majorHAnsi"/>
                <w:iCs/>
                <w:color w:val="FFFFFF"/>
                <w:sz w:val="16"/>
                <w:szCs w:val="16"/>
                <w:lang w:eastAsia="en-AU"/>
              </w:rPr>
              <w:t xml:space="preserve"> </w:t>
            </w:r>
          </w:p>
        </w:tc>
        <w:tc>
          <w:tcPr>
            <w:tcW w:w="850" w:type="dxa"/>
            <w:tcBorders>
              <w:top w:val="nil"/>
              <w:left w:val="nil"/>
              <w:bottom w:val="nil"/>
              <w:right w:val="nil"/>
            </w:tcBorders>
            <w:shd w:val="solid" w:color="000000" w:fill="auto"/>
          </w:tcPr>
          <w:p w:rsidR="004B6846" w:rsidRPr="009A7AAE" w:rsidRDefault="004B6846"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9A7AAE">
              <w:rPr>
                <w:rFonts w:eastAsiaTheme="minorEastAsia" w:cstheme="majorHAnsi"/>
                <w:iCs/>
                <w:color w:val="FFFFFF"/>
                <w:sz w:val="16"/>
                <w:szCs w:val="16"/>
                <w:lang w:eastAsia="en-AU"/>
              </w:rPr>
              <w:t>2018-19</w:t>
            </w:r>
          </w:p>
        </w:tc>
      </w:tr>
      <w:tr w:rsidR="004B6846" w:rsidRPr="009A7AAE" w:rsidTr="00CC0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4B6846" w:rsidRPr="009A7AAE" w:rsidRDefault="004B6846" w:rsidP="00CC0EB7">
            <w:pPr>
              <w:keepLines w:val="0"/>
              <w:autoSpaceDE w:val="0"/>
              <w:autoSpaceDN w:val="0"/>
              <w:adjustRightInd w:val="0"/>
              <w:spacing w:after="0"/>
              <w:rPr>
                <w:rFonts w:eastAsiaTheme="minorEastAsia" w:cstheme="majorHAnsi"/>
                <w:iCs/>
                <w:color w:val="FFFFFF"/>
                <w:sz w:val="16"/>
                <w:szCs w:val="16"/>
                <w:lang w:eastAsia="en-AU"/>
              </w:rPr>
            </w:pPr>
            <w:r w:rsidRPr="009A7AAE">
              <w:rPr>
                <w:rFonts w:eastAsiaTheme="minorEastAsia" w:cstheme="majorHAnsi"/>
                <w:iCs/>
                <w:color w:val="FFFFFF"/>
                <w:sz w:val="16"/>
                <w:szCs w:val="16"/>
                <w:lang w:eastAsia="en-AU"/>
              </w:rPr>
              <w:t xml:space="preserve"> </w:t>
            </w:r>
          </w:p>
        </w:tc>
        <w:tc>
          <w:tcPr>
            <w:tcW w:w="850" w:type="dxa"/>
            <w:gridSpan w:val="2"/>
            <w:tcBorders>
              <w:top w:val="nil"/>
              <w:left w:val="nil"/>
              <w:bottom w:val="nil"/>
              <w:right w:val="nil"/>
            </w:tcBorders>
            <w:shd w:val="solid" w:color="000000" w:fill="auto"/>
          </w:tcPr>
          <w:p w:rsidR="004B6846" w:rsidRPr="009A7AAE" w:rsidRDefault="004B6846"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9A7AAE">
              <w:rPr>
                <w:rFonts w:eastAsiaTheme="minorEastAsia" w:cstheme="majorHAnsi"/>
                <w:iCs/>
                <w:color w:val="FFFFFF"/>
                <w:sz w:val="16"/>
                <w:szCs w:val="16"/>
                <w:lang w:eastAsia="en-AU"/>
              </w:rPr>
              <w:t>Sep</w:t>
            </w:r>
          </w:p>
        </w:tc>
        <w:tc>
          <w:tcPr>
            <w:tcW w:w="850" w:type="dxa"/>
            <w:tcBorders>
              <w:top w:val="nil"/>
              <w:left w:val="nil"/>
              <w:bottom w:val="nil"/>
              <w:right w:val="nil"/>
            </w:tcBorders>
            <w:shd w:val="solid" w:color="000000" w:fill="auto"/>
          </w:tcPr>
          <w:p w:rsidR="004B6846" w:rsidRPr="009A7AAE" w:rsidRDefault="004B6846"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9A7AAE">
              <w:rPr>
                <w:rFonts w:eastAsiaTheme="minorEastAsia" w:cstheme="majorHAnsi"/>
                <w:iCs/>
                <w:color w:val="FFFFFF"/>
                <w:sz w:val="16"/>
                <w:szCs w:val="16"/>
                <w:lang w:eastAsia="en-AU"/>
              </w:rPr>
              <w:t>Dec</w:t>
            </w:r>
          </w:p>
        </w:tc>
        <w:tc>
          <w:tcPr>
            <w:tcW w:w="850" w:type="dxa"/>
            <w:tcBorders>
              <w:top w:val="nil"/>
              <w:left w:val="nil"/>
              <w:bottom w:val="nil"/>
              <w:right w:val="nil"/>
            </w:tcBorders>
            <w:shd w:val="solid" w:color="000000" w:fill="auto"/>
          </w:tcPr>
          <w:p w:rsidR="004B6846" w:rsidRPr="009A7AAE" w:rsidRDefault="004B6846"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9A7AAE">
              <w:rPr>
                <w:rFonts w:eastAsiaTheme="minorEastAsia" w:cstheme="majorHAnsi"/>
                <w:iCs/>
                <w:color w:val="FFFFFF"/>
                <w:sz w:val="16"/>
                <w:szCs w:val="16"/>
                <w:lang w:eastAsia="en-AU"/>
              </w:rPr>
              <w:t>Mar</w:t>
            </w:r>
          </w:p>
        </w:tc>
        <w:tc>
          <w:tcPr>
            <w:tcW w:w="850" w:type="dxa"/>
            <w:tcBorders>
              <w:top w:val="nil"/>
              <w:left w:val="nil"/>
              <w:bottom w:val="nil"/>
              <w:right w:val="nil"/>
            </w:tcBorders>
            <w:shd w:val="solid" w:color="000000" w:fill="auto"/>
          </w:tcPr>
          <w:p w:rsidR="004B6846" w:rsidRPr="009A7AAE" w:rsidRDefault="004B6846"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9A7AAE">
              <w:rPr>
                <w:rFonts w:eastAsiaTheme="minorEastAsia" w:cstheme="majorHAnsi"/>
                <w:iCs/>
                <w:color w:val="FFFFFF"/>
                <w:sz w:val="16"/>
                <w:szCs w:val="16"/>
                <w:lang w:eastAsia="en-AU"/>
              </w:rPr>
              <w:t>Jun</w:t>
            </w:r>
          </w:p>
        </w:tc>
        <w:tc>
          <w:tcPr>
            <w:tcW w:w="850" w:type="dxa"/>
            <w:tcBorders>
              <w:top w:val="nil"/>
              <w:left w:val="nil"/>
              <w:bottom w:val="nil"/>
              <w:right w:val="nil"/>
            </w:tcBorders>
            <w:shd w:val="solid" w:color="000000" w:fill="auto"/>
          </w:tcPr>
          <w:p w:rsidR="004B6846" w:rsidRPr="009A7AAE" w:rsidRDefault="004B6846" w:rsidP="00CC0EB7">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 w:val="16"/>
                <w:szCs w:val="16"/>
                <w:lang w:eastAsia="en-AU"/>
              </w:rPr>
            </w:pPr>
            <w:r w:rsidRPr="009A7AAE">
              <w:rPr>
                <w:rFonts w:eastAsiaTheme="minorEastAsia" w:cstheme="majorHAnsi"/>
                <w:iCs/>
                <w:color w:val="FFFFFF"/>
                <w:sz w:val="16"/>
                <w:szCs w:val="16"/>
                <w:lang w:eastAsia="en-AU"/>
              </w:rPr>
              <w:t>Sep</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Cash flows from operating activities</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Receipts </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Taxes received</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5 491</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5 508</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5 317</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6 126</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5 994</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Grants</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6 902</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7 325</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8 160</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7 606</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7 927</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 xml:space="preserve">Sales of goods and services </w:t>
            </w:r>
            <w:r w:rsidRPr="009A7AAE">
              <w:rPr>
                <w:rFonts w:eastAsiaTheme="minorEastAsia" w:cstheme="majorHAnsi"/>
                <w:color w:val="000000"/>
                <w:sz w:val="16"/>
                <w:szCs w:val="16"/>
                <w:vertAlign w:val="superscript"/>
                <w:lang w:eastAsia="en-AU"/>
              </w:rPr>
              <w:t>(a)</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1 984</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2 092</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1 937</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2 004</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4 984</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 xml:space="preserve">Interest received </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210</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205</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203</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224</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209</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 xml:space="preserve">Dividends, income tax equivalent and </w:t>
            </w:r>
            <w:r w:rsidRPr="009A7AAE">
              <w:rPr>
                <w:rFonts w:eastAsiaTheme="minorEastAsia" w:cstheme="majorHAnsi"/>
                <w:color w:val="000000"/>
                <w:sz w:val="16"/>
                <w:szCs w:val="16"/>
                <w:lang w:eastAsia="en-AU"/>
              </w:rPr>
              <w:br/>
              <w:t>rate equivalent receipts</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57</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420</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85</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213</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82</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Other receipts</w:t>
            </w:r>
          </w:p>
        </w:tc>
        <w:tc>
          <w:tcPr>
            <w:tcW w:w="850" w:type="dxa"/>
            <w:gridSpan w:val="2"/>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469</w:t>
            </w:r>
          </w:p>
        </w:tc>
        <w:tc>
          <w:tcPr>
            <w:tcW w:w="850"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440</w:t>
            </w:r>
          </w:p>
        </w:tc>
        <w:tc>
          <w:tcPr>
            <w:tcW w:w="850"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240</w:t>
            </w:r>
          </w:p>
        </w:tc>
        <w:tc>
          <w:tcPr>
            <w:tcW w:w="850"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788</w:t>
            </w:r>
          </w:p>
        </w:tc>
        <w:tc>
          <w:tcPr>
            <w:tcW w:w="850"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491</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Total receipts</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15 114</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15 990</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15 942</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16 960</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19 686</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Payments </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Payments for employees</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(5 748)</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(5 480)</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(5 796)</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(5 729)</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(6 211)</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Superannuation</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(529)</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(790)</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(794)</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(1 091)</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(572)</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Interest paid</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(476)</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(515)</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(529)</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(534)</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(514)</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Grants and subsidies</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(2 947)</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(2 508)</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(3 466)</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(2 494)</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(2 908)</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 xml:space="preserve">Goods and services </w:t>
            </w:r>
            <w:r w:rsidRPr="009A7AAE">
              <w:rPr>
                <w:rFonts w:eastAsiaTheme="minorEastAsia" w:cstheme="majorHAnsi"/>
                <w:color w:val="000000"/>
                <w:sz w:val="16"/>
                <w:szCs w:val="16"/>
                <w:vertAlign w:val="superscript"/>
                <w:lang w:eastAsia="en-AU"/>
              </w:rPr>
              <w:t>(a)</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(5 179)</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(4 805)</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(4 544)</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(5 203)</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(5 694)</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Other payments</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(207)</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(185)</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(165)</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(199)</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(211)</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9A7AAE" w:rsidRDefault="004B6846" w:rsidP="00CC0EB7">
            <w:pPr>
              <w:keepLines w:val="0"/>
              <w:autoSpaceDE w:val="0"/>
              <w:autoSpaceDN w:val="0"/>
              <w:adjustRightInd w:val="0"/>
              <w:spacing w:after="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Total payments</w:t>
            </w:r>
          </w:p>
        </w:tc>
        <w:tc>
          <w:tcPr>
            <w:tcW w:w="850" w:type="dxa"/>
            <w:gridSpan w:val="2"/>
            <w:tcBorders>
              <w:top w:val="single" w:sz="6" w:space="0" w:color="000000"/>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(15 086)</w:t>
            </w:r>
          </w:p>
        </w:tc>
        <w:tc>
          <w:tcPr>
            <w:tcW w:w="850" w:type="dxa"/>
            <w:tcBorders>
              <w:top w:val="single" w:sz="6" w:space="0" w:color="000000"/>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(14 282)</w:t>
            </w:r>
          </w:p>
        </w:tc>
        <w:tc>
          <w:tcPr>
            <w:tcW w:w="850" w:type="dxa"/>
            <w:tcBorders>
              <w:top w:val="single" w:sz="6" w:space="0" w:color="000000"/>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(15 294)</w:t>
            </w:r>
          </w:p>
        </w:tc>
        <w:tc>
          <w:tcPr>
            <w:tcW w:w="850" w:type="dxa"/>
            <w:tcBorders>
              <w:top w:val="single" w:sz="6" w:space="0" w:color="000000"/>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(15 250)</w:t>
            </w:r>
          </w:p>
        </w:tc>
        <w:tc>
          <w:tcPr>
            <w:tcW w:w="850" w:type="dxa"/>
            <w:tcBorders>
              <w:top w:val="single" w:sz="6" w:space="0" w:color="000000"/>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(16 110)</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Net cash flows from operating activities</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28</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1 708</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649</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1 710</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3 577</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Cash flows from investing activities</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828"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Cash flows from investments in non-financial assets</w:t>
            </w:r>
          </w:p>
        </w:tc>
        <w:tc>
          <w:tcPr>
            <w:tcW w:w="537"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Purchases of non-financial assets</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(1 881)</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(2 689)</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(1 949)</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(3 286)</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(2 139)</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Sales of non-financial assets</w:t>
            </w:r>
          </w:p>
        </w:tc>
        <w:tc>
          <w:tcPr>
            <w:tcW w:w="850" w:type="dxa"/>
            <w:gridSpan w:val="2"/>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45</w:t>
            </w:r>
          </w:p>
        </w:tc>
        <w:tc>
          <w:tcPr>
            <w:tcW w:w="850"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51</w:t>
            </w:r>
          </w:p>
        </w:tc>
        <w:tc>
          <w:tcPr>
            <w:tcW w:w="850"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121</w:t>
            </w:r>
          </w:p>
        </w:tc>
        <w:tc>
          <w:tcPr>
            <w:tcW w:w="850"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166</w:t>
            </w:r>
          </w:p>
        </w:tc>
        <w:tc>
          <w:tcPr>
            <w:tcW w:w="850"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45</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Net cash flows from investments in </w:t>
            </w:r>
            <w:r w:rsidRPr="009A7AAE">
              <w:rPr>
                <w:rFonts w:eastAsiaTheme="minorEastAsia" w:cstheme="majorHAnsi"/>
                <w:b/>
                <w:bCs/>
                <w:color w:val="000000"/>
                <w:sz w:val="16"/>
                <w:szCs w:val="16"/>
                <w:lang w:eastAsia="en-AU"/>
              </w:rPr>
              <w:br/>
              <w:t>non-financial assets</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(1 835)</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(2 638)</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(1 828)</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(3 120)</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(2 095)</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Net cash flows from investments in financial assets for policy purposes</w:t>
            </w:r>
          </w:p>
        </w:tc>
        <w:tc>
          <w:tcPr>
            <w:tcW w:w="850" w:type="dxa"/>
            <w:gridSpan w:val="2"/>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672</w:t>
            </w:r>
          </w:p>
        </w:tc>
        <w:tc>
          <w:tcPr>
            <w:tcW w:w="850"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45</w:t>
            </w:r>
          </w:p>
        </w:tc>
        <w:tc>
          <w:tcPr>
            <w:tcW w:w="850"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825</w:t>
            </w:r>
          </w:p>
        </w:tc>
        <w:tc>
          <w:tcPr>
            <w:tcW w:w="850"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3 016</w:t>
            </w:r>
          </w:p>
        </w:tc>
        <w:tc>
          <w:tcPr>
            <w:tcW w:w="850"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729</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Sub-total</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(1 163)</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(2 593)</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(1 003)</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(104)</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(1 365)</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Net cash flows from investments in financial assets for liquidity management purposes</w:t>
            </w:r>
          </w:p>
        </w:tc>
        <w:tc>
          <w:tcPr>
            <w:tcW w:w="850" w:type="dxa"/>
            <w:gridSpan w:val="2"/>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(232)</w:t>
            </w:r>
          </w:p>
        </w:tc>
        <w:tc>
          <w:tcPr>
            <w:tcW w:w="850"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(193)</w:t>
            </w:r>
          </w:p>
        </w:tc>
        <w:tc>
          <w:tcPr>
            <w:tcW w:w="850"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(34)</w:t>
            </w:r>
          </w:p>
        </w:tc>
        <w:tc>
          <w:tcPr>
            <w:tcW w:w="850"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224</w:t>
            </w:r>
          </w:p>
        </w:tc>
        <w:tc>
          <w:tcPr>
            <w:tcW w:w="850" w:type="dxa"/>
            <w:tcBorders>
              <w:top w:val="nil"/>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(35)</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Net cash flows from investing activities</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(1 395)</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(2 786)</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(1 037)</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120</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(1 400)</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Cash flows from financing activities</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Advances received (net)</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(707)</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(230)</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(648)</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(1 075)</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(834)</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Net borrowings</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669</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1 075</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768</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1 607</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(1 566)</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Deposits received (net)</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22</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79</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177</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(6)</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(94)</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9A7AAE" w:rsidRDefault="004B6846" w:rsidP="00CC0EB7">
            <w:pPr>
              <w:keepLines w:val="0"/>
              <w:autoSpaceDE w:val="0"/>
              <w:autoSpaceDN w:val="0"/>
              <w:adjustRightInd w:val="0"/>
              <w:spacing w:after="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Net cash flows from financing activities</w:t>
            </w:r>
          </w:p>
        </w:tc>
        <w:tc>
          <w:tcPr>
            <w:tcW w:w="850" w:type="dxa"/>
            <w:gridSpan w:val="2"/>
            <w:tcBorders>
              <w:top w:val="single" w:sz="6" w:space="0" w:color="000000"/>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(16)</w:t>
            </w:r>
          </w:p>
        </w:tc>
        <w:tc>
          <w:tcPr>
            <w:tcW w:w="850" w:type="dxa"/>
            <w:tcBorders>
              <w:top w:val="single" w:sz="6" w:space="0" w:color="000000"/>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924</w:t>
            </w:r>
          </w:p>
        </w:tc>
        <w:tc>
          <w:tcPr>
            <w:tcW w:w="850" w:type="dxa"/>
            <w:tcBorders>
              <w:top w:val="single" w:sz="6" w:space="0" w:color="000000"/>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296</w:t>
            </w:r>
          </w:p>
        </w:tc>
        <w:tc>
          <w:tcPr>
            <w:tcW w:w="850" w:type="dxa"/>
            <w:tcBorders>
              <w:top w:val="single" w:sz="6" w:space="0" w:color="000000"/>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526</w:t>
            </w:r>
          </w:p>
        </w:tc>
        <w:tc>
          <w:tcPr>
            <w:tcW w:w="850" w:type="dxa"/>
            <w:tcBorders>
              <w:top w:val="single" w:sz="6" w:space="0" w:color="000000"/>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(2 494)</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Net increase/(decrease) in cash and cash equivalents </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(1 384)</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(153)</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(92)</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2 356</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(317)</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Cash and cash equivalents at beginning of the reporting period</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5 530</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4 146</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3 992</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3 900</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6 257</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4B6846" w:rsidRPr="009A7AAE" w:rsidRDefault="004B6846" w:rsidP="00CC0EB7">
            <w:pPr>
              <w:keepLines w:val="0"/>
              <w:autoSpaceDE w:val="0"/>
              <w:autoSpaceDN w:val="0"/>
              <w:adjustRightInd w:val="0"/>
              <w:spacing w:after="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Cash and cash equivalents at end of the reporting period</w:t>
            </w:r>
          </w:p>
        </w:tc>
        <w:tc>
          <w:tcPr>
            <w:tcW w:w="850" w:type="dxa"/>
            <w:gridSpan w:val="2"/>
            <w:tcBorders>
              <w:top w:val="single" w:sz="6" w:space="0" w:color="000000"/>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4 146</w:t>
            </w:r>
          </w:p>
        </w:tc>
        <w:tc>
          <w:tcPr>
            <w:tcW w:w="850" w:type="dxa"/>
            <w:tcBorders>
              <w:top w:val="single" w:sz="6" w:space="0" w:color="000000"/>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3 992</w:t>
            </w:r>
          </w:p>
        </w:tc>
        <w:tc>
          <w:tcPr>
            <w:tcW w:w="850" w:type="dxa"/>
            <w:tcBorders>
              <w:top w:val="single" w:sz="6" w:space="0" w:color="000000"/>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3 900</w:t>
            </w:r>
          </w:p>
        </w:tc>
        <w:tc>
          <w:tcPr>
            <w:tcW w:w="850" w:type="dxa"/>
            <w:tcBorders>
              <w:top w:val="single" w:sz="6" w:space="0" w:color="000000"/>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6 257</w:t>
            </w:r>
          </w:p>
        </w:tc>
        <w:tc>
          <w:tcPr>
            <w:tcW w:w="850" w:type="dxa"/>
            <w:tcBorders>
              <w:top w:val="single" w:sz="6" w:space="0" w:color="000000"/>
              <w:left w:val="nil"/>
              <w:bottom w:val="single" w:sz="6" w:space="0" w:color="000000"/>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5 940</w:t>
            </w:r>
          </w:p>
        </w:tc>
      </w:tr>
      <w:tr w:rsidR="004B6846" w:rsidRPr="009A7AAE" w:rsidTr="00CC0EB7">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 xml:space="preserve"> </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 xml:space="preserve"> </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FISCAL AGGREGATES</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 w:val="16"/>
                <w:szCs w:val="16"/>
                <w:lang w:eastAsia="en-AU"/>
              </w:rPr>
            </w:pPr>
            <w:r w:rsidRPr="009A7AAE">
              <w:rPr>
                <w:rFonts w:eastAsiaTheme="minorEastAsia" w:cstheme="majorHAnsi"/>
                <w:b/>
                <w:bCs/>
                <w:color w:val="000000"/>
                <w:sz w:val="16"/>
                <w:szCs w:val="16"/>
                <w:lang w:eastAsia="en-AU"/>
              </w:rPr>
              <w:t xml:space="preserve"> </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Net cash flows from operating activities</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28</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1 708</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649</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1 710</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3 577</w:t>
            </w:r>
          </w:p>
        </w:tc>
      </w:tr>
      <w:tr w:rsidR="004B6846" w:rsidRPr="009A7AAE" w:rsidTr="00CC0EB7">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4B6846" w:rsidRPr="009A7AAE" w:rsidRDefault="004B6846" w:rsidP="00CC0EB7">
            <w:pPr>
              <w:keepLines w:val="0"/>
              <w:autoSpaceDE w:val="0"/>
              <w:autoSpaceDN w:val="0"/>
              <w:adjustRightInd w:val="0"/>
              <w:spacing w:after="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 xml:space="preserve">Net cash flows from investments in </w:t>
            </w:r>
            <w:r w:rsidRPr="009A7AAE">
              <w:rPr>
                <w:rFonts w:eastAsiaTheme="minorEastAsia" w:cstheme="majorHAnsi"/>
                <w:color w:val="000000"/>
                <w:sz w:val="16"/>
                <w:szCs w:val="16"/>
                <w:lang w:eastAsia="en-AU"/>
              </w:rPr>
              <w:br/>
              <w:t>non-financial assets</w:t>
            </w:r>
          </w:p>
        </w:tc>
        <w:tc>
          <w:tcPr>
            <w:tcW w:w="850" w:type="dxa"/>
            <w:gridSpan w:val="2"/>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(1 835)</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(2 638)</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(1 828)</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(3 120)</w:t>
            </w:r>
          </w:p>
        </w:tc>
        <w:tc>
          <w:tcPr>
            <w:tcW w:w="850" w:type="dxa"/>
            <w:tcBorders>
              <w:top w:val="nil"/>
              <w:left w:val="nil"/>
              <w:bottom w:val="nil"/>
              <w:right w:val="nil"/>
            </w:tcBorders>
          </w:tcPr>
          <w:p w:rsidR="004B6846" w:rsidRPr="009A7AAE" w:rsidRDefault="004B6846" w:rsidP="00CC0EB7">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 w:val="16"/>
                <w:szCs w:val="16"/>
                <w:lang w:eastAsia="en-AU"/>
              </w:rPr>
            </w:pPr>
            <w:r w:rsidRPr="009A7AAE">
              <w:rPr>
                <w:rFonts w:eastAsiaTheme="minorEastAsia" w:cstheme="majorHAnsi"/>
                <w:color w:val="000000"/>
                <w:sz w:val="16"/>
                <w:szCs w:val="16"/>
                <w:lang w:eastAsia="en-AU"/>
              </w:rPr>
              <w:t>(2 095)</w:t>
            </w:r>
          </w:p>
        </w:tc>
      </w:tr>
      <w:tr w:rsidR="004B6846" w:rsidRPr="009A7AAE" w:rsidTr="00CC0EB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4B6846" w:rsidRPr="009A7AAE" w:rsidRDefault="004B6846" w:rsidP="00CC0EB7">
            <w:pPr>
              <w:keepLines w:val="0"/>
              <w:autoSpaceDE w:val="0"/>
              <w:autoSpaceDN w:val="0"/>
              <w:adjustRightInd w:val="0"/>
              <w:spacing w:after="0"/>
              <w:rPr>
                <w:rFonts w:eastAsiaTheme="minorEastAsia" w:cstheme="majorHAnsi"/>
                <w:bCs/>
                <w:color w:val="000000"/>
                <w:sz w:val="16"/>
                <w:szCs w:val="16"/>
                <w:lang w:eastAsia="en-AU"/>
              </w:rPr>
            </w:pPr>
            <w:r w:rsidRPr="009A7AAE">
              <w:rPr>
                <w:rFonts w:eastAsiaTheme="minorEastAsia" w:cstheme="majorHAnsi"/>
                <w:bCs/>
                <w:color w:val="000000"/>
                <w:sz w:val="16"/>
                <w:szCs w:val="16"/>
                <w:lang w:eastAsia="en-AU"/>
              </w:rPr>
              <w:t>Cash surplus/(deficit)</w:t>
            </w:r>
          </w:p>
        </w:tc>
        <w:tc>
          <w:tcPr>
            <w:tcW w:w="850" w:type="dxa"/>
            <w:gridSpan w:val="2"/>
            <w:tcBorders>
              <w:top w:val="single" w:sz="6" w:space="0" w:color="000000"/>
              <w:bottom w:val="single" w:sz="12" w:space="0" w:color="000000"/>
            </w:tcBorders>
          </w:tcPr>
          <w:p w:rsidR="004B6846" w:rsidRPr="009A7AAE"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9A7AAE">
              <w:rPr>
                <w:rFonts w:eastAsiaTheme="minorEastAsia" w:cstheme="majorHAnsi"/>
                <w:bCs/>
                <w:color w:val="000000"/>
                <w:sz w:val="16"/>
                <w:szCs w:val="16"/>
                <w:lang w:eastAsia="en-AU"/>
              </w:rPr>
              <w:t>(1 808)</w:t>
            </w:r>
          </w:p>
        </w:tc>
        <w:tc>
          <w:tcPr>
            <w:tcW w:w="850" w:type="dxa"/>
            <w:tcBorders>
              <w:top w:val="single" w:sz="6" w:space="0" w:color="000000"/>
              <w:bottom w:val="single" w:sz="12" w:space="0" w:color="000000"/>
            </w:tcBorders>
          </w:tcPr>
          <w:p w:rsidR="004B6846" w:rsidRPr="009A7AAE"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9A7AAE">
              <w:rPr>
                <w:rFonts w:eastAsiaTheme="minorEastAsia" w:cstheme="majorHAnsi"/>
                <w:bCs/>
                <w:color w:val="000000"/>
                <w:sz w:val="16"/>
                <w:szCs w:val="16"/>
                <w:lang w:eastAsia="en-AU"/>
              </w:rPr>
              <w:t>(930)</w:t>
            </w:r>
          </w:p>
        </w:tc>
        <w:tc>
          <w:tcPr>
            <w:tcW w:w="850" w:type="dxa"/>
            <w:tcBorders>
              <w:top w:val="single" w:sz="6" w:space="0" w:color="000000"/>
              <w:bottom w:val="single" w:sz="12" w:space="0" w:color="000000"/>
            </w:tcBorders>
          </w:tcPr>
          <w:p w:rsidR="004B6846" w:rsidRPr="009A7AAE"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9A7AAE">
              <w:rPr>
                <w:rFonts w:eastAsiaTheme="minorEastAsia" w:cstheme="majorHAnsi"/>
                <w:bCs/>
                <w:color w:val="000000"/>
                <w:sz w:val="16"/>
                <w:szCs w:val="16"/>
                <w:lang w:eastAsia="en-AU"/>
              </w:rPr>
              <w:t>(1 180)</w:t>
            </w:r>
          </w:p>
        </w:tc>
        <w:tc>
          <w:tcPr>
            <w:tcW w:w="850" w:type="dxa"/>
            <w:tcBorders>
              <w:top w:val="single" w:sz="6" w:space="0" w:color="000000"/>
              <w:bottom w:val="single" w:sz="12" w:space="0" w:color="000000"/>
            </w:tcBorders>
          </w:tcPr>
          <w:p w:rsidR="004B6846" w:rsidRPr="009A7AAE"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9A7AAE">
              <w:rPr>
                <w:rFonts w:eastAsiaTheme="minorEastAsia" w:cstheme="majorHAnsi"/>
                <w:bCs/>
                <w:color w:val="000000"/>
                <w:sz w:val="16"/>
                <w:szCs w:val="16"/>
                <w:lang w:eastAsia="en-AU"/>
              </w:rPr>
              <w:t>(1 410)</w:t>
            </w:r>
          </w:p>
        </w:tc>
        <w:tc>
          <w:tcPr>
            <w:tcW w:w="850" w:type="dxa"/>
            <w:tcBorders>
              <w:top w:val="single" w:sz="6" w:space="0" w:color="000000"/>
              <w:bottom w:val="single" w:sz="12" w:space="0" w:color="000000"/>
            </w:tcBorders>
          </w:tcPr>
          <w:p w:rsidR="004B6846" w:rsidRPr="009A7AAE" w:rsidRDefault="004B6846" w:rsidP="00CC0EB7">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 w:val="16"/>
                <w:szCs w:val="16"/>
                <w:lang w:eastAsia="en-AU"/>
              </w:rPr>
            </w:pPr>
            <w:r w:rsidRPr="009A7AAE">
              <w:rPr>
                <w:rFonts w:eastAsiaTheme="minorEastAsia" w:cstheme="majorHAnsi"/>
                <w:bCs/>
                <w:color w:val="000000"/>
                <w:sz w:val="16"/>
                <w:szCs w:val="16"/>
                <w:lang w:eastAsia="en-AU"/>
              </w:rPr>
              <w:t>1 482</w:t>
            </w:r>
          </w:p>
        </w:tc>
      </w:tr>
    </w:tbl>
    <w:p w:rsidR="004B6846" w:rsidRDefault="004B6846" w:rsidP="00CC0EB7">
      <w:pPr>
        <w:pStyle w:val="Source"/>
      </w:pPr>
      <w:r w:rsidRPr="00D87D22">
        <w:t>Source: Department of Treasury and Finance</w:t>
      </w:r>
    </w:p>
    <w:p w:rsidR="004B6846" w:rsidRPr="009A7AAE" w:rsidRDefault="004B6846" w:rsidP="00CC0EB7">
      <w:pPr>
        <w:pStyle w:val="Note"/>
      </w:pPr>
      <w:r w:rsidRPr="009A7AAE">
        <w:t>Note:</w:t>
      </w:r>
    </w:p>
    <w:p w:rsidR="004B6846" w:rsidRPr="009A7AAE" w:rsidRDefault="004B6846" w:rsidP="00CC0EB7">
      <w:pPr>
        <w:pStyle w:val="Note"/>
      </w:pPr>
      <w:r w:rsidRPr="009A7AAE">
        <w:t>(a)</w:t>
      </w:r>
      <w:r w:rsidRPr="009A7AAE">
        <w:tab/>
        <w:t>These items are inclusive of goods and services tax.</w:t>
      </w:r>
    </w:p>
    <w:p w:rsidR="004B6846" w:rsidRDefault="004B6846" w:rsidP="004B6846">
      <w:pPr>
        <w:pStyle w:val="Heading10"/>
        <w:sectPr w:rsidR="004B6846" w:rsidSect="00CC0EB7">
          <w:headerReference w:type="even" r:id="rId97"/>
          <w:headerReference w:type="default" r:id="rId98"/>
          <w:footerReference w:type="even" r:id="rId99"/>
          <w:footerReference w:type="default" r:id="rId100"/>
          <w:headerReference w:type="first" r:id="rId101"/>
          <w:footerReference w:type="first" r:id="rId102"/>
          <w:type w:val="oddPage"/>
          <w:pgSz w:w="9979" w:h="14175" w:code="9"/>
          <w:pgMar w:top="850" w:right="1134" w:bottom="850" w:left="1134" w:header="624" w:footer="567" w:gutter="0"/>
          <w:cols w:space="567"/>
          <w:titlePg/>
          <w:docGrid w:linePitch="360"/>
        </w:sectPr>
      </w:pPr>
    </w:p>
    <w:p w:rsidR="004B6846" w:rsidRPr="00171AD1" w:rsidRDefault="004B6846" w:rsidP="00CB74DA">
      <w:pPr>
        <w:pStyle w:val="Chapterheading"/>
      </w:pPr>
      <w:bookmarkStart w:id="108" w:name="_Toc406162116"/>
      <w:bookmarkStart w:id="109" w:name="_Toc406751124"/>
      <w:bookmarkStart w:id="110" w:name="_Toc531884971"/>
      <w:r w:rsidRPr="00171AD1">
        <w:lastRenderedPageBreak/>
        <w:t xml:space="preserve">Appendix </w:t>
      </w:r>
      <w:r>
        <w:t>F</w:t>
      </w:r>
      <w:r w:rsidRPr="00171AD1">
        <w:t xml:space="preserve"> – </w:t>
      </w:r>
      <w:r w:rsidRPr="003540C3">
        <w:t xml:space="preserve">Requirements of the </w:t>
      </w:r>
      <w:r w:rsidRPr="003540C3">
        <w:rPr>
          <w:i/>
        </w:rPr>
        <w:t>Financial Management Act 1994</w:t>
      </w:r>
      <w:bookmarkEnd w:id="108"/>
      <w:bookmarkEnd w:id="109"/>
      <w:bookmarkEnd w:id="110"/>
    </w:p>
    <w:p w:rsidR="004B6846" w:rsidRDefault="004B6846" w:rsidP="00CC0EB7">
      <w:pPr>
        <w:rPr>
          <w:lang w:eastAsia="en-AU"/>
        </w:rPr>
      </w:pPr>
      <w:r>
        <w:rPr>
          <w:lang w:eastAsia="en-AU"/>
        </w:rPr>
        <w:t xml:space="preserve">The </w:t>
      </w:r>
      <w:r w:rsidRPr="007C6B37">
        <w:rPr>
          <w:i/>
        </w:rPr>
        <w:t>Financial Management Act 1994</w:t>
      </w:r>
      <w:r w:rsidRPr="007C6B37">
        <w:t xml:space="preserve"> (the</w:t>
      </w:r>
      <w:r>
        <w:rPr>
          <w:lang w:eastAsia="en-AU"/>
        </w:rPr>
        <w:t xml:space="preserve"> Act) requires the Minister to prepare a budget update for tabling in Parliament each financial year. The provisions of the Act have been complied with in </w:t>
      </w:r>
      <w:r w:rsidRPr="00321815">
        <w:t xml:space="preserve">the </w:t>
      </w:r>
      <w:r w:rsidRPr="00321815">
        <w:rPr>
          <w:i/>
        </w:rPr>
        <w:t>201</w:t>
      </w:r>
      <w:r>
        <w:rPr>
          <w:i/>
        </w:rPr>
        <w:t>8</w:t>
      </w:r>
      <w:r>
        <w:rPr>
          <w:i/>
        </w:rPr>
        <w:noBreakHyphen/>
        <w:t>19</w:t>
      </w:r>
      <w:r w:rsidRPr="00321815">
        <w:rPr>
          <w:i/>
        </w:rPr>
        <w:t xml:space="preserve"> Budget Update</w:t>
      </w:r>
      <w:r w:rsidRPr="00321815">
        <w:t>.</w:t>
      </w:r>
    </w:p>
    <w:p w:rsidR="004B6846" w:rsidRDefault="004B6846" w:rsidP="00CC0EB7">
      <w:pPr>
        <w:rPr>
          <w:lang w:eastAsia="en-AU"/>
        </w:rPr>
      </w:pPr>
      <w:r>
        <w:rPr>
          <w:lang w:eastAsia="en-AU"/>
        </w:rPr>
        <w:t>Table F.1 details the statements required to be included in this document under the provisions of the Act together with appropriate chapter references.</w:t>
      </w:r>
    </w:p>
    <w:p w:rsidR="004B6846" w:rsidRPr="00DF427C" w:rsidRDefault="004B6846" w:rsidP="00CB74DA">
      <w:pPr>
        <w:pStyle w:val="TableHeading"/>
        <w:rPr>
          <w:i/>
        </w:rPr>
      </w:pPr>
      <w:r>
        <w:t>Table F</w:t>
      </w:r>
      <w:r w:rsidRPr="00DF427C">
        <w:t>.1:</w:t>
      </w:r>
      <w:r w:rsidRPr="00DF427C">
        <w:tab/>
        <w:t xml:space="preserve">Statements required by the </w:t>
      </w:r>
      <w:r w:rsidRPr="00DF427C">
        <w:rPr>
          <w:i/>
        </w:rPr>
        <w:t>Financial Management Act 1994</w:t>
      </w:r>
      <w:r w:rsidRPr="00DF427C">
        <w:t xml:space="preserve"> and their location in the </w:t>
      </w:r>
      <w:r w:rsidRPr="00DF427C">
        <w:rPr>
          <w:i/>
        </w:rPr>
        <w:t>201</w:t>
      </w:r>
      <w:r>
        <w:rPr>
          <w:i/>
        </w:rPr>
        <w:t>8</w:t>
      </w:r>
      <w:r>
        <w:rPr>
          <w:i/>
        </w:rPr>
        <w:noBreakHyphen/>
      </w:r>
      <w:r w:rsidRPr="00DF427C">
        <w:rPr>
          <w:i/>
        </w:rPr>
        <w:t>1</w:t>
      </w:r>
      <w:r>
        <w:rPr>
          <w:i/>
        </w:rPr>
        <w:t>9</w:t>
      </w:r>
      <w:r w:rsidRPr="00DF427C">
        <w:rPr>
          <w:i/>
        </w:rPr>
        <w:t> Budget Update</w:t>
      </w:r>
    </w:p>
    <w:tbl>
      <w:tblPr>
        <w:tblStyle w:val="DTFTextTable"/>
        <w:tblW w:w="0" w:type="auto"/>
        <w:tblLook w:val="06A0" w:firstRow="1" w:lastRow="0" w:firstColumn="1" w:lastColumn="0" w:noHBand="1" w:noVBand="1"/>
      </w:tblPr>
      <w:tblGrid>
        <w:gridCol w:w="3845"/>
        <w:gridCol w:w="3838"/>
      </w:tblGrid>
      <w:tr w:rsidR="004B6846" w:rsidRPr="00DF427C" w:rsidTr="00CB7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rsidR="004B6846" w:rsidRPr="00DF427C" w:rsidRDefault="004B6846" w:rsidP="00CB74DA">
            <w:r w:rsidRPr="00DF427C">
              <w:t xml:space="preserve">Relevant section of the Act and </w:t>
            </w:r>
            <w:r w:rsidRPr="00DF427C">
              <w:br/>
              <w:t>corresponding requirement</w:t>
            </w:r>
          </w:p>
        </w:tc>
        <w:tc>
          <w:tcPr>
            <w:tcW w:w="3893" w:type="dxa"/>
          </w:tcPr>
          <w:p w:rsidR="004B6846" w:rsidRPr="00DF427C" w:rsidRDefault="004B6846" w:rsidP="00CB74DA">
            <w:pPr>
              <w:cnfStyle w:val="100000000000" w:firstRow="1" w:lastRow="0" w:firstColumn="0" w:lastColumn="0" w:oddVBand="0" w:evenVBand="0" w:oddHBand="0" w:evenHBand="0" w:firstRowFirstColumn="0" w:firstRowLastColumn="0" w:lastRowFirstColumn="0" w:lastRowLastColumn="0"/>
            </w:pPr>
            <w:r w:rsidRPr="00DF427C">
              <w:t>Location</w:t>
            </w:r>
          </w:p>
        </w:tc>
      </w:tr>
      <w:tr w:rsidR="004B6846" w:rsidRPr="00CB74DA" w:rsidTr="00CB74DA">
        <w:tc>
          <w:tcPr>
            <w:cnfStyle w:val="001000000000" w:firstRow="0" w:lastRow="0" w:firstColumn="1" w:lastColumn="0" w:oddVBand="0" w:evenVBand="0" w:oddHBand="0" w:evenHBand="0" w:firstRowFirstColumn="0" w:firstRowLastColumn="0" w:lastRowFirstColumn="0" w:lastRowLastColumn="0"/>
            <w:tcW w:w="3896" w:type="dxa"/>
          </w:tcPr>
          <w:p w:rsidR="004B6846" w:rsidRPr="00CB74DA" w:rsidRDefault="004B6846" w:rsidP="00CB74DA">
            <w:pPr>
              <w:rPr>
                <w:b/>
              </w:rPr>
            </w:pPr>
            <w:r w:rsidRPr="00CB74DA">
              <w:rPr>
                <w:b/>
              </w:rPr>
              <w:t>Sections 23 E</w:t>
            </w:r>
            <w:r w:rsidRPr="00CB74DA">
              <w:rPr>
                <w:b/>
              </w:rPr>
              <w:noBreakHyphen/>
              <w:t>G</w:t>
            </w:r>
          </w:p>
        </w:tc>
        <w:tc>
          <w:tcPr>
            <w:tcW w:w="3893" w:type="dxa"/>
          </w:tcPr>
          <w:p w:rsidR="004B6846" w:rsidRPr="00CB74DA" w:rsidRDefault="004B6846" w:rsidP="00CB74DA">
            <w:pPr>
              <w:cnfStyle w:val="000000000000" w:firstRow="0" w:lastRow="0" w:firstColumn="0" w:lastColumn="0" w:oddVBand="0" w:evenVBand="0" w:oddHBand="0" w:evenHBand="0" w:firstRowFirstColumn="0" w:firstRowLastColumn="0" w:lastRowFirstColumn="0" w:lastRowLastColumn="0"/>
              <w:rPr>
                <w:b/>
              </w:rPr>
            </w:pPr>
          </w:p>
        </w:tc>
      </w:tr>
      <w:tr w:rsidR="004B6846" w:rsidRPr="00DF427C" w:rsidTr="00CB74DA">
        <w:tc>
          <w:tcPr>
            <w:cnfStyle w:val="001000000000" w:firstRow="0" w:lastRow="0" w:firstColumn="1" w:lastColumn="0" w:oddVBand="0" w:evenVBand="0" w:oddHBand="0" w:evenHBand="0" w:firstRowFirstColumn="0" w:firstRowLastColumn="0" w:lastRowFirstColumn="0" w:lastRowLastColumn="0"/>
            <w:tcW w:w="3896" w:type="dxa"/>
          </w:tcPr>
          <w:p w:rsidR="004B6846" w:rsidRPr="00DF427C" w:rsidRDefault="004B6846" w:rsidP="00CB74DA">
            <w:r w:rsidRPr="00DF427C">
              <w:t>Statement of financial policy objectives and strategies for the year.</w:t>
            </w:r>
          </w:p>
        </w:tc>
        <w:tc>
          <w:tcPr>
            <w:tcW w:w="3893" w:type="dxa"/>
          </w:tcPr>
          <w:p w:rsidR="004B6846" w:rsidRPr="00DF427C" w:rsidRDefault="004B6846" w:rsidP="00CB74DA">
            <w:pPr>
              <w:cnfStyle w:val="000000000000" w:firstRow="0" w:lastRow="0" w:firstColumn="0" w:lastColumn="0" w:oddVBand="0" w:evenVBand="0" w:oddHBand="0" w:evenHBand="0" w:firstRowFirstColumn="0" w:firstRowLastColumn="0" w:lastRowFirstColumn="0" w:lastRowLastColumn="0"/>
            </w:pPr>
            <w:r w:rsidRPr="00EB4D3E">
              <w:t xml:space="preserve">Chapter </w:t>
            </w:r>
            <w:r w:rsidRPr="00AF1D3F">
              <w:t>1</w:t>
            </w:r>
            <w:r w:rsidRPr="00DF427C">
              <w:t xml:space="preserve"> </w:t>
            </w:r>
            <w:r w:rsidRPr="00DF427C">
              <w:rPr>
                <w:i/>
              </w:rPr>
              <w:t>Economic and fiscal overview</w:t>
            </w:r>
          </w:p>
        </w:tc>
      </w:tr>
      <w:tr w:rsidR="004B6846" w:rsidRPr="00CB74DA" w:rsidTr="00CB74DA">
        <w:tc>
          <w:tcPr>
            <w:cnfStyle w:val="001000000000" w:firstRow="0" w:lastRow="0" w:firstColumn="1" w:lastColumn="0" w:oddVBand="0" w:evenVBand="0" w:oddHBand="0" w:evenHBand="0" w:firstRowFirstColumn="0" w:firstRowLastColumn="0" w:lastRowFirstColumn="0" w:lastRowLastColumn="0"/>
            <w:tcW w:w="3896" w:type="dxa"/>
          </w:tcPr>
          <w:p w:rsidR="004B6846" w:rsidRPr="00CB74DA" w:rsidRDefault="004B6846" w:rsidP="00CB74DA">
            <w:pPr>
              <w:rPr>
                <w:b/>
              </w:rPr>
            </w:pPr>
            <w:r w:rsidRPr="00CB74DA">
              <w:rPr>
                <w:b/>
              </w:rPr>
              <w:t>Sections 23 H</w:t>
            </w:r>
            <w:r w:rsidRPr="00CB74DA">
              <w:rPr>
                <w:b/>
              </w:rPr>
              <w:noBreakHyphen/>
              <w:t>N</w:t>
            </w:r>
          </w:p>
        </w:tc>
        <w:tc>
          <w:tcPr>
            <w:tcW w:w="3893" w:type="dxa"/>
          </w:tcPr>
          <w:p w:rsidR="004B6846" w:rsidRPr="00CB74DA" w:rsidRDefault="004B6846" w:rsidP="00CB74DA">
            <w:pPr>
              <w:cnfStyle w:val="000000000000" w:firstRow="0" w:lastRow="0" w:firstColumn="0" w:lastColumn="0" w:oddVBand="0" w:evenVBand="0" w:oddHBand="0" w:evenHBand="0" w:firstRowFirstColumn="0" w:firstRowLastColumn="0" w:lastRowFirstColumn="0" w:lastRowLastColumn="0"/>
              <w:rPr>
                <w:b/>
              </w:rPr>
            </w:pPr>
          </w:p>
        </w:tc>
      </w:tr>
      <w:tr w:rsidR="004B6846" w:rsidRPr="00DF427C" w:rsidTr="00CB74DA">
        <w:tc>
          <w:tcPr>
            <w:cnfStyle w:val="001000000000" w:firstRow="0" w:lastRow="0" w:firstColumn="1" w:lastColumn="0" w:oddVBand="0" w:evenVBand="0" w:oddHBand="0" w:evenHBand="0" w:firstRowFirstColumn="0" w:firstRowLastColumn="0" w:lastRowFirstColumn="0" w:lastRowLastColumn="0"/>
            <w:tcW w:w="3896" w:type="dxa"/>
          </w:tcPr>
          <w:p w:rsidR="004B6846" w:rsidRPr="00DF427C" w:rsidRDefault="004B6846" w:rsidP="00CB74DA">
            <w:r w:rsidRPr="00DF427C">
              <w:t>Estimated financial statements for the year comprising:</w:t>
            </w:r>
          </w:p>
          <w:p w:rsidR="004B6846" w:rsidRPr="00DF427C" w:rsidRDefault="004B6846" w:rsidP="00CB74DA">
            <w:pPr>
              <w:pStyle w:val="ListBullet"/>
            </w:pPr>
            <w:r w:rsidRPr="00DF427C">
              <w:t xml:space="preserve">an estimated statement of financial performance </w:t>
            </w:r>
            <w:r>
              <w:t>for</w:t>
            </w:r>
            <w:r w:rsidRPr="00DF427C">
              <w:t xml:space="preserve"> the year;</w:t>
            </w:r>
          </w:p>
          <w:p w:rsidR="004B6846" w:rsidRPr="00DF427C" w:rsidRDefault="004B6846" w:rsidP="00CB74DA">
            <w:pPr>
              <w:pStyle w:val="ListBullet"/>
            </w:pPr>
            <w:r w:rsidRPr="00DF427C">
              <w:t>an estimated statement of financial position at the end of the year;</w:t>
            </w:r>
          </w:p>
          <w:p w:rsidR="004B6846" w:rsidRPr="00DF427C" w:rsidRDefault="004B6846" w:rsidP="00CB74DA">
            <w:pPr>
              <w:pStyle w:val="ListBullet"/>
            </w:pPr>
            <w:r w:rsidRPr="00DF427C">
              <w:t xml:space="preserve">an estimated statement of cash flows for the year; </w:t>
            </w:r>
          </w:p>
          <w:p w:rsidR="004B6846" w:rsidRPr="00DF427C" w:rsidRDefault="004B6846" w:rsidP="00CB74DA">
            <w:pPr>
              <w:pStyle w:val="ListBullet"/>
            </w:pPr>
            <w:r w:rsidRPr="00DF427C">
              <w:t>a statement of the accounting policies on which these statements are based and explanatory notes; and</w:t>
            </w:r>
          </w:p>
          <w:p w:rsidR="004B6846" w:rsidRPr="00DF427C" w:rsidRDefault="004B6846" w:rsidP="00CB74DA">
            <w:pPr>
              <w:pStyle w:val="ListBullet"/>
            </w:pPr>
            <w:r w:rsidRPr="00DF427C">
              <w:t>government decisions and other circumstances that may have a material effect on the estimated financial statements.</w:t>
            </w:r>
          </w:p>
        </w:tc>
        <w:tc>
          <w:tcPr>
            <w:tcW w:w="3893" w:type="dxa"/>
          </w:tcPr>
          <w:p w:rsidR="004B6846" w:rsidRPr="00AF1D3F" w:rsidRDefault="004B6846" w:rsidP="00CB74DA">
            <w:pPr>
              <w:cnfStyle w:val="000000000000" w:firstRow="0" w:lastRow="0" w:firstColumn="0" w:lastColumn="0" w:oddVBand="0" w:evenVBand="0" w:oddHBand="0" w:evenHBand="0" w:firstRowFirstColumn="0" w:firstRowLastColumn="0" w:lastRowFirstColumn="0" w:lastRowLastColumn="0"/>
            </w:pPr>
            <w:r w:rsidRPr="00EB4D3E">
              <w:t xml:space="preserve">Chapter </w:t>
            </w:r>
            <w:r>
              <w:t>4</w:t>
            </w:r>
            <w:r w:rsidRPr="00DF427C">
              <w:t xml:space="preserve"> </w:t>
            </w:r>
            <w:r w:rsidRPr="00DF427C">
              <w:rPr>
                <w:i/>
              </w:rPr>
              <w:t>Estimated financial statements and notes</w:t>
            </w:r>
            <w:r w:rsidRPr="00DF427C">
              <w:t xml:space="preserve"> (estimated consolidated comprehensive operating statement, estimated consolidated balance sheet, estimated consolidated cash flow statement and estimated consolidated statement of </w:t>
            </w:r>
            <w:r w:rsidRPr="00AF1D3F">
              <w:t>changes in equity provided as per AASB 1049)</w:t>
            </w:r>
          </w:p>
          <w:p w:rsidR="004B6846" w:rsidRDefault="004B6846" w:rsidP="00CB74DA">
            <w:pPr>
              <w:cnfStyle w:val="000000000000" w:firstRow="0" w:lastRow="0" w:firstColumn="0" w:lastColumn="0" w:oddVBand="0" w:evenVBand="0" w:oddHBand="0" w:evenHBand="0" w:firstRowFirstColumn="0" w:firstRowLastColumn="0" w:lastRowFirstColumn="0" w:lastRowLastColumn="0"/>
            </w:pPr>
          </w:p>
          <w:p w:rsidR="00CB74DA" w:rsidRDefault="00CB74DA" w:rsidP="00CB74DA">
            <w:pPr>
              <w:cnfStyle w:val="000000000000" w:firstRow="0" w:lastRow="0" w:firstColumn="0" w:lastColumn="0" w:oddVBand="0" w:evenVBand="0" w:oddHBand="0" w:evenHBand="0" w:firstRowFirstColumn="0" w:firstRowLastColumn="0" w:lastRowFirstColumn="0" w:lastRowLastColumn="0"/>
            </w:pPr>
          </w:p>
          <w:p w:rsidR="00CB74DA" w:rsidRPr="00AF1D3F" w:rsidRDefault="00CB74DA" w:rsidP="00CB74DA">
            <w:pPr>
              <w:cnfStyle w:val="000000000000" w:firstRow="0" w:lastRow="0" w:firstColumn="0" w:lastColumn="0" w:oddVBand="0" w:evenVBand="0" w:oddHBand="0" w:evenHBand="0" w:firstRowFirstColumn="0" w:firstRowLastColumn="0" w:lastRowFirstColumn="0" w:lastRowLastColumn="0"/>
            </w:pPr>
          </w:p>
          <w:p w:rsidR="004B6846" w:rsidRPr="00DF427C" w:rsidRDefault="004B6846" w:rsidP="00CB74DA">
            <w:pPr>
              <w:cnfStyle w:val="000000000000" w:firstRow="0" w:lastRow="0" w:firstColumn="0" w:lastColumn="0" w:oddVBand="0" w:evenVBand="0" w:oddHBand="0" w:evenHBand="0" w:firstRowFirstColumn="0" w:firstRowLastColumn="0" w:lastRowFirstColumn="0" w:lastRowLastColumn="0"/>
            </w:pPr>
            <w:r w:rsidRPr="00AF1D3F">
              <w:br/>
            </w:r>
            <w:r w:rsidRPr="00AF1D3F">
              <w:br/>
            </w:r>
            <w:r>
              <w:br/>
            </w:r>
            <w:r w:rsidRPr="00AF1D3F">
              <w:t xml:space="preserve">Appendix A </w:t>
            </w:r>
            <w:r w:rsidRPr="00AF1D3F">
              <w:rPr>
                <w:i/>
              </w:rPr>
              <w:t>Specific policy initiatives affecting budget position</w:t>
            </w:r>
          </w:p>
        </w:tc>
      </w:tr>
    </w:tbl>
    <w:p w:rsidR="004B6846" w:rsidRDefault="004B6846" w:rsidP="00CC0EB7"/>
    <w:p w:rsidR="004B6846" w:rsidRDefault="004B6846" w:rsidP="00CC0EB7">
      <w:pPr>
        <w:rPr>
          <w:rFonts w:ascii="Calibri" w:hAnsi="Calibri"/>
        </w:rPr>
      </w:pPr>
      <w:r>
        <w:br w:type="page"/>
      </w:r>
    </w:p>
    <w:p w:rsidR="004B6846" w:rsidRPr="00DF427C" w:rsidRDefault="004B6846" w:rsidP="00CB74DA">
      <w:pPr>
        <w:pStyle w:val="TableHeading"/>
        <w:rPr>
          <w:i/>
        </w:rPr>
      </w:pPr>
      <w:r>
        <w:lastRenderedPageBreak/>
        <w:t>Table F</w:t>
      </w:r>
      <w:r w:rsidRPr="00DF427C">
        <w:t>.1:</w:t>
      </w:r>
      <w:r w:rsidRPr="00DF427C">
        <w:tab/>
        <w:t xml:space="preserve">Statements required by the </w:t>
      </w:r>
      <w:r w:rsidRPr="00DF427C">
        <w:rPr>
          <w:i/>
        </w:rPr>
        <w:t>Financial Management Act 1994</w:t>
      </w:r>
      <w:r w:rsidRPr="00DF427C">
        <w:t xml:space="preserve"> and their location in the </w:t>
      </w:r>
      <w:r w:rsidRPr="00DF427C">
        <w:rPr>
          <w:i/>
        </w:rPr>
        <w:t>201</w:t>
      </w:r>
      <w:r>
        <w:rPr>
          <w:i/>
        </w:rPr>
        <w:t xml:space="preserve">8-19 </w:t>
      </w:r>
      <w:r w:rsidRPr="00DF427C">
        <w:rPr>
          <w:i/>
        </w:rPr>
        <w:t>Budget Update (continued)</w:t>
      </w:r>
    </w:p>
    <w:tbl>
      <w:tblPr>
        <w:tblStyle w:val="DTFTextTable1"/>
        <w:tblW w:w="0" w:type="auto"/>
        <w:tblLook w:val="0620" w:firstRow="1" w:lastRow="0" w:firstColumn="0" w:lastColumn="0" w:noHBand="1" w:noVBand="1"/>
      </w:tblPr>
      <w:tblGrid>
        <w:gridCol w:w="3848"/>
        <w:gridCol w:w="3835"/>
      </w:tblGrid>
      <w:tr w:rsidR="004B6846" w:rsidRPr="00DF427C" w:rsidTr="00CB74DA">
        <w:trPr>
          <w:cnfStyle w:val="100000000000" w:firstRow="1" w:lastRow="0" w:firstColumn="0" w:lastColumn="0" w:oddVBand="0" w:evenVBand="0" w:oddHBand="0" w:evenHBand="0" w:firstRowFirstColumn="0" w:firstRowLastColumn="0" w:lastRowFirstColumn="0" w:lastRowLastColumn="0"/>
        </w:trPr>
        <w:tc>
          <w:tcPr>
            <w:tcW w:w="3928" w:type="dxa"/>
          </w:tcPr>
          <w:p w:rsidR="004B6846" w:rsidRPr="00DF427C" w:rsidRDefault="004B6846" w:rsidP="00CB74DA">
            <w:r w:rsidRPr="00DF427C">
              <w:t xml:space="preserve">Relevant section of the Act and </w:t>
            </w:r>
            <w:r w:rsidRPr="00DF427C">
              <w:br/>
              <w:t>corresponding requirement</w:t>
            </w:r>
          </w:p>
        </w:tc>
        <w:tc>
          <w:tcPr>
            <w:tcW w:w="3926" w:type="dxa"/>
          </w:tcPr>
          <w:p w:rsidR="004B6846" w:rsidRPr="00DF427C" w:rsidRDefault="004B6846" w:rsidP="00CB74DA">
            <w:r w:rsidRPr="00DF427C">
              <w:t>Location</w:t>
            </w:r>
          </w:p>
        </w:tc>
      </w:tr>
      <w:tr w:rsidR="004B6846" w:rsidRPr="00DF427C" w:rsidTr="00CB74DA">
        <w:tc>
          <w:tcPr>
            <w:tcW w:w="3928" w:type="dxa"/>
          </w:tcPr>
          <w:p w:rsidR="004B6846" w:rsidRPr="00DF427C" w:rsidRDefault="004B6846" w:rsidP="00CB74DA">
            <w:r w:rsidRPr="00DF427C">
              <w:t>Accompanying statement to estimated financial statements which:</w:t>
            </w:r>
          </w:p>
        </w:tc>
        <w:tc>
          <w:tcPr>
            <w:tcW w:w="3926" w:type="dxa"/>
          </w:tcPr>
          <w:p w:rsidR="004B6846" w:rsidRPr="00DF427C" w:rsidRDefault="004B6846" w:rsidP="00CB74DA"/>
        </w:tc>
      </w:tr>
      <w:tr w:rsidR="004B6846" w:rsidRPr="00AF1D3F" w:rsidTr="00CB74DA">
        <w:tc>
          <w:tcPr>
            <w:tcW w:w="3928" w:type="dxa"/>
          </w:tcPr>
          <w:p w:rsidR="004B6846" w:rsidRPr="00DF427C" w:rsidRDefault="004B6846" w:rsidP="00CB74DA">
            <w:pPr>
              <w:pStyle w:val="ListBullet"/>
            </w:pPr>
            <w:r w:rsidRPr="00DF427C">
              <w:t>outlines the material economic assumptions used in preparation of the estimated financial statements;</w:t>
            </w:r>
          </w:p>
        </w:tc>
        <w:tc>
          <w:tcPr>
            <w:tcW w:w="3926" w:type="dxa"/>
          </w:tcPr>
          <w:p w:rsidR="004B6846" w:rsidRPr="00AF1D3F" w:rsidRDefault="004B6846" w:rsidP="00CB74DA">
            <w:pPr>
              <w:spacing w:before="60"/>
            </w:pPr>
            <w:r w:rsidRPr="00AF1D3F">
              <w:t xml:space="preserve">Chapter 2 </w:t>
            </w:r>
            <w:r w:rsidRPr="00AF1D3F">
              <w:rPr>
                <w:i/>
              </w:rPr>
              <w:t xml:space="preserve">Economic context </w:t>
            </w:r>
            <w:r w:rsidRPr="00AF1D3F">
              <w:t xml:space="preserve">and Chapter 4 </w:t>
            </w:r>
            <w:r w:rsidRPr="00AF1D3F">
              <w:rPr>
                <w:i/>
              </w:rPr>
              <w:t>Estimated financial statements and notes</w:t>
            </w:r>
          </w:p>
        </w:tc>
      </w:tr>
      <w:tr w:rsidR="004B6846" w:rsidRPr="00AF1D3F" w:rsidTr="00CB74DA">
        <w:tc>
          <w:tcPr>
            <w:tcW w:w="3928" w:type="dxa"/>
          </w:tcPr>
          <w:p w:rsidR="004B6846" w:rsidRPr="00DF427C" w:rsidRDefault="004B6846" w:rsidP="00CB74DA">
            <w:pPr>
              <w:pStyle w:val="ListBullet"/>
            </w:pPr>
            <w:r w:rsidRPr="00DF427C">
              <w:t>discusses the sensitivity of the estimated financial statements to changes in these assumptions;</w:t>
            </w:r>
          </w:p>
        </w:tc>
        <w:tc>
          <w:tcPr>
            <w:tcW w:w="3926" w:type="dxa"/>
          </w:tcPr>
          <w:p w:rsidR="004B6846" w:rsidRPr="00AF1D3F" w:rsidRDefault="004B6846" w:rsidP="00CB74DA">
            <w:pPr>
              <w:spacing w:before="60"/>
            </w:pPr>
            <w:r w:rsidRPr="00AF1D3F">
              <w:t xml:space="preserve">Appendix D </w:t>
            </w:r>
            <w:r w:rsidRPr="00AF1D3F">
              <w:rPr>
                <w:i/>
              </w:rPr>
              <w:t>Sensitivity analysis</w:t>
            </w:r>
          </w:p>
        </w:tc>
      </w:tr>
      <w:tr w:rsidR="004B6846" w:rsidRPr="00AF1D3F" w:rsidTr="00CB74DA">
        <w:tc>
          <w:tcPr>
            <w:tcW w:w="3928" w:type="dxa"/>
          </w:tcPr>
          <w:p w:rsidR="004B6846" w:rsidRPr="00DF427C" w:rsidRDefault="004B6846" w:rsidP="00CB74DA">
            <w:pPr>
              <w:pStyle w:val="ListBullet"/>
            </w:pPr>
            <w:r w:rsidRPr="00DF427C">
              <w:t>provides an overview of estimated tax expenditures for the financial years covered by the estimated financial statements; and</w:t>
            </w:r>
          </w:p>
        </w:tc>
        <w:tc>
          <w:tcPr>
            <w:tcW w:w="3926" w:type="dxa"/>
          </w:tcPr>
          <w:p w:rsidR="004B6846" w:rsidRPr="00AF1D3F" w:rsidRDefault="004B6846" w:rsidP="00CB74DA">
            <w:pPr>
              <w:spacing w:before="60"/>
            </w:pPr>
            <w:r w:rsidRPr="00AF1D3F">
              <w:t xml:space="preserve">Appendix C </w:t>
            </w:r>
            <w:r w:rsidRPr="00AF1D3F">
              <w:rPr>
                <w:i/>
              </w:rPr>
              <w:t>Tax expenditures and concessions</w:t>
            </w:r>
          </w:p>
        </w:tc>
      </w:tr>
      <w:tr w:rsidR="004B6846" w:rsidRPr="00AF1D3F" w:rsidTr="00CB74DA">
        <w:tc>
          <w:tcPr>
            <w:tcW w:w="3928" w:type="dxa"/>
          </w:tcPr>
          <w:p w:rsidR="004B6846" w:rsidRPr="00676DFC" w:rsidRDefault="004B6846" w:rsidP="00CB74DA">
            <w:pPr>
              <w:pStyle w:val="ListBullet"/>
            </w:pPr>
            <w:r w:rsidRPr="00DF427C">
              <w:t>provides a statement of the risks that may have a material effect on the estimated financial statements.</w:t>
            </w:r>
          </w:p>
        </w:tc>
        <w:tc>
          <w:tcPr>
            <w:tcW w:w="3926" w:type="dxa"/>
          </w:tcPr>
          <w:p w:rsidR="004B6846" w:rsidRPr="00676DFC" w:rsidRDefault="004B6846" w:rsidP="00CB74DA">
            <w:pPr>
              <w:spacing w:before="60"/>
              <w:rPr>
                <w:i/>
              </w:rPr>
            </w:pPr>
            <w:r w:rsidRPr="00AF1D3F">
              <w:t xml:space="preserve">Chapter 2 </w:t>
            </w:r>
            <w:r w:rsidRPr="00AF1D3F">
              <w:rPr>
                <w:i/>
              </w:rPr>
              <w:t>Economic context</w:t>
            </w:r>
            <w:r w:rsidRPr="00AF1D3F">
              <w:t xml:space="preserve">; Chapter 3 </w:t>
            </w:r>
            <w:r w:rsidRPr="00AF1D3F">
              <w:rPr>
                <w:i/>
              </w:rPr>
              <w:t>Budget position and outlook</w:t>
            </w:r>
            <w:r w:rsidRPr="00AF1D3F">
              <w:t xml:space="preserve">; and Chapter 6 </w:t>
            </w:r>
            <w:r w:rsidRPr="00AF1D3F">
              <w:rPr>
                <w:i/>
              </w:rPr>
              <w:t>Contingent assets and contingent liabilities</w:t>
            </w:r>
          </w:p>
        </w:tc>
      </w:tr>
      <w:tr w:rsidR="00CB74DA" w:rsidRPr="00AF1D3F" w:rsidTr="00CB74DA">
        <w:tc>
          <w:tcPr>
            <w:tcW w:w="3928" w:type="dxa"/>
          </w:tcPr>
          <w:p w:rsidR="00CB74DA" w:rsidRPr="00DF427C" w:rsidRDefault="00CB74DA" w:rsidP="00CB74DA">
            <w:pPr>
              <w:rPr>
                <w:rFonts w:cs="Garamond"/>
              </w:rPr>
            </w:pPr>
            <w:r w:rsidRPr="00676DFC">
              <w:rPr>
                <w:rFonts w:cs="Garamond"/>
                <w:b/>
              </w:rPr>
              <w:t>Section 27D(1)(c)</w:t>
            </w:r>
          </w:p>
        </w:tc>
        <w:tc>
          <w:tcPr>
            <w:tcW w:w="3926" w:type="dxa"/>
          </w:tcPr>
          <w:p w:rsidR="00CB74DA" w:rsidRPr="00AF1D3F" w:rsidRDefault="00CB74DA" w:rsidP="00CB74DA"/>
        </w:tc>
      </w:tr>
      <w:tr w:rsidR="00CB74DA" w:rsidRPr="00AF1D3F" w:rsidTr="00CB74DA">
        <w:tc>
          <w:tcPr>
            <w:tcW w:w="3928" w:type="dxa"/>
          </w:tcPr>
          <w:p w:rsidR="00CB74DA" w:rsidRPr="00676DFC" w:rsidRDefault="00CB74DA" w:rsidP="00CB74DA">
            <w:pPr>
              <w:rPr>
                <w:rFonts w:cs="Garamond"/>
                <w:b/>
              </w:rPr>
            </w:pPr>
            <w:r w:rsidRPr="00676DFC">
              <w:t>A quarterly financial rep</w:t>
            </w:r>
            <w:r>
              <w:t>ort for the quarter ending on 30</w:t>
            </w:r>
            <w:r w:rsidRPr="00676DFC">
              <w:t xml:space="preserve"> September</w:t>
            </w:r>
            <w:r>
              <w:t>.</w:t>
            </w:r>
          </w:p>
        </w:tc>
        <w:tc>
          <w:tcPr>
            <w:tcW w:w="3926" w:type="dxa"/>
          </w:tcPr>
          <w:p w:rsidR="00CB74DA" w:rsidRDefault="00CB74DA" w:rsidP="00CB74DA">
            <w:r w:rsidRPr="00676DFC">
              <w:t>Appendix E</w:t>
            </w:r>
            <w:r>
              <w:t xml:space="preserve"> </w:t>
            </w:r>
            <w:r>
              <w:rPr>
                <w:i/>
              </w:rPr>
              <w:t>Quarterly Financial Report for the Victorian General Government Sector – September 2018</w:t>
            </w:r>
          </w:p>
        </w:tc>
      </w:tr>
    </w:tbl>
    <w:p w:rsidR="004B6846" w:rsidRPr="004C0868" w:rsidRDefault="004B6846" w:rsidP="003C6991"/>
    <w:p w:rsidR="00241C02" w:rsidRDefault="00241C02" w:rsidP="003C6991">
      <w:pPr>
        <w:sectPr w:rsidR="00241C02" w:rsidSect="00CC0EB7">
          <w:headerReference w:type="even" r:id="rId103"/>
          <w:headerReference w:type="default" r:id="rId104"/>
          <w:footerReference w:type="even" r:id="rId105"/>
          <w:footerReference w:type="default" r:id="rId106"/>
          <w:headerReference w:type="first" r:id="rId107"/>
          <w:footerReference w:type="first" r:id="rId108"/>
          <w:type w:val="oddPage"/>
          <w:pgSz w:w="9979" w:h="14175" w:code="9"/>
          <w:pgMar w:top="850" w:right="1134" w:bottom="850" w:left="1134" w:header="624" w:footer="567" w:gutter="0"/>
          <w:cols w:space="567"/>
          <w:titlePg/>
          <w:docGrid w:linePitch="360"/>
        </w:sectPr>
      </w:pPr>
    </w:p>
    <w:p w:rsidR="00241C02" w:rsidRPr="00241C02" w:rsidRDefault="00241C02" w:rsidP="00241C02">
      <w:pPr>
        <w:pStyle w:val="Chapterheading"/>
      </w:pPr>
      <w:bookmarkStart w:id="111" w:name="_Toc500435603"/>
      <w:bookmarkStart w:id="112" w:name="_Toc531884972"/>
      <w:r w:rsidRPr="00241C02">
        <w:lastRenderedPageBreak/>
        <w:t>Style conventions</w:t>
      </w:r>
      <w:bookmarkEnd w:id="111"/>
      <w:bookmarkEnd w:id="112"/>
    </w:p>
    <w:p w:rsidR="00241C02" w:rsidRDefault="00241C02" w:rsidP="00241C02">
      <w:r>
        <w:t>Figures in the tables and in the text have been rounded. Discrepancies in tables between totals and sums of components reflect rounding. Percentage variations in all tables are based on the underlying unrounded amounts.</w:t>
      </w:r>
    </w:p>
    <w:p w:rsidR="00241C02" w:rsidRDefault="00241C02" w:rsidP="00241C02">
      <w:r>
        <w:t>The notation used in the tables and charts is as follows:</w:t>
      </w:r>
    </w:p>
    <w:p w:rsidR="00241C02" w:rsidRDefault="00241C02" w:rsidP="00241C02">
      <w:pPr>
        <w:tabs>
          <w:tab w:val="left" w:pos="2552"/>
        </w:tabs>
        <w:ind w:left="851"/>
      </w:pPr>
      <w:r>
        <w:t>n.a.</w:t>
      </w:r>
      <w:r>
        <w:tab/>
        <w:t>not available or not applicable</w:t>
      </w:r>
    </w:p>
    <w:p w:rsidR="00241C02" w:rsidRDefault="00241C02" w:rsidP="00241C02">
      <w:pPr>
        <w:tabs>
          <w:tab w:val="left" w:pos="2552"/>
        </w:tabs>
        <w:ind w:left="851"/>
      </w:pPr>
      <w:r>
        <w:t>1 billion</w:t>
      </w:r>
      <w:r>
        <w:tab/>
        <w:t>1 000 million</w:t>
      </w:r>
    </w:p>
    <w:p w:rsidR="00241C02" w:rsidRDefault="00241C02" w:rsidP="00241C02">
      <w:pPr>
        <w:tabs>
          <w:tab w:val="left" w:pos="2552"/>
        </w:tabs>
        <w:ind w:left="851"/>
      </w:pPr>
      <w:r>
        <w:t>1 basis point</w:t>
      </w:r>
      <w:r>
        <w:tab/>
        <w:t>0.01 per cent</w:t>
      </w:r>
    </w:p>
    <w:p w:rsidR="00241C02" w:rsidRDefault="00241C02" w:rsidP="00241C02">
      <w:pPr>
        <w:tabs>
          <w:tab w:val="left" w:pos="2552"/>
        </w:tabs>
        <w:ind w:left="851"/>
      </w:pPr>
      <w:r>
        <w:t>..</w:t>
      </w:r>
      <w:r>
        <w:tab/>
        <w:t>zero, or rounded to zero</w:t>
      </w:r>
    </w:p>
    <w:p w:rsidR="00241C02" w:rsidRDefault="00241C02" w:rsidP="00241C02">
      <w:pPr>
        <w:tabs>
          <w:tab w:val="left" w:pos="2552"/>
        </w:tabs>
        <w:ind w:left="851"/>
      </w:pPr>
      <w:r>
        <w:t>(x xxx.x)</w:t>
      </w:r>
      <w:r>
        <w:tab/>
        <w:t>negative amount</w:t>
      </w:r>
    </w:p>
    <w:p w:rsidR="00241C02" w:rsidRDefault="00241C02" w:rsidP="00241C02">
      <w:pPr>
        <w:tabs>
          <w:tab w:val="left" w:pos="2552"/>
        </w:tabs>
        <w:ind w:left="851"/>
      </w:pPr>
      <w:r>
        <w:t>x xxx.0</w:t>
      </w:r>
      <w:r>
        <w:tab/>
        <w:t>rounded amount</w:t>
      </w:r>
    </w:p>
    <w:p w:rsidR="00241C02" w:rsidRDefault="00241C02" w:rsidP="00241C02">
      <w:pPr>
        <w:tabs>
          <w:tab w:val="left" w:pos="2552"/>
        </w:tabs>
        <w:ind w:left="851"/>
      </w:pPr>
      <w:r>
        <w:t>201x</w:t>
      </w:r>
      <w:r>
        <w:tab/>
        <w:t>financial year</w:t>
      </w:r>
    </w:p>
    <w:p w:rsidR="00241C02" w:rsidRDefault="00241C02" w:rsidP="00241C02">
      <w:pPr>
        <w:tabs>
          <w:tab w:val="left" w:pos="2552"/>
        </w:tabs>
        <w:ind w:left="851"/>
      </w:pPr>
    </w:p>
    <w:p w:rsidR="00241C02" w:rsidRDefault="00241C02" w:rsidP="00241C02">
      <w:r>
        <w:t xml:space="preserve">Please refer to the </w:t>
      </w:r>
      <w:r w:rsidRPr="00062216">
        <w:rPr>
          <w:b/>
        </w:rPr>
        <w:t>Treasury and Finance glossary for budget and financial reports</w:t>
      </w:r>
      <w:r>
        <w:t xml:space="preserve"> at dtf.vic.gov.au for additional terms and references.</w:t>
      </w:r>
    </w:p>
    <w:p w:rsidR="00F919DB" w:rsidRDefault="00F919DB" w:rsidP="003C6991">
      <w:pPr>
        <w:sectPr w:rsidR="00F919DB" w:rsidSect="00CC0EB7">
          <w:footerReference w:type="even" r:id="rId109"/>
          <w:footerReference w:type="first" r:id="rId110"/>
          <w:type w:val="oddPage"/>
          <w:pgSz w:w="9979" w:h="14175" w:code="9"/>
          <w:pgMar w:top="850" w:right="1134" w:bottom="850" w:left="1134" w:header="624" w:footer="567" w:gutter="0"/>
          <w:cols w:space="567"/>
          <w:titlePg/>
          <w:docGrid w:linePitch="360"/>
        </w:sectPr>
      </w:pPr>
    </w:p>
    <w:p w:rsidR="00F919DB" w:rsidRPr="00F919DB" w:rsidRDefault="00F919DB" w:rsidP="00F919DB">
      <w:pPr>
        <w:pStyle w:val="NoSpacing"/>
        <w:ind w:left="4590"/>
        <w:rPr>
          <w:sz w:val="18"/>
        </w:rPr>
      </w:pPr>
      <w:r w:rsidRPr="00F919DB">
        <w:rPr>
          <w:sz w:val="18"/>
        </w:rPr>
        <w:t>If you would like to rece</w:t>
      </w:r>
      <w:bookmarkStart w:id="113" w:name="_GoBack"/>
      <w:bookmarkEnd w:id="113"/>
      <w:r w:rsidRPr="00F919DB">
        <w:rPr>
          <w:sz w:val="18"/>
        </w:rPr>
        <w:t>ive this publication</w:t>
      </w:r>
      <w:r>
        <w:rPr>
          <w:sz w:val="18"/>
        </w:rPr>
        <w:t xml:space="preserve"> </w:t>
      </w:r>
      <w:r w:rsidRPr="00F919DB">
        <w:rPr>
          <w:sz w:val="18"/>
        </w:rPr>
        <w:t>in an accessible format please email</w:t>
      </w:r>
      <w:r>
        <w:rPr>
          <w:sz w:val="18"/>
        </w:rPr>
        <w:t xml:space="preserve"> </w:t>
      </w:r>
      <w:r w:rsidRPr="00F919DB">
        <w:rPr>
          <w:sz w:val="18"/>
        </w:rPr>
        <w:t>information@dtf.vic.gov.au or telephone</w:t>
      </w:r>
      <w:r>
        <w:rPr>
          <w:sz w:val="18"/>
        </w:rPr>
        <w:t xml:space="preserve"> </w:t>
      </w:r>
      <w:r w:rsidRPr="00F919DB">
        <w:rPr>
          <w:sz w:val="18"/>
        </w:rPr>
        <w:t>(03) 9651 1600.</w:t>
      </w:r>
    </w:p>
    <w:p w:rsidR="00EA5C59" w:rsidRPr="00F919DB" w:rsidRDefault="00F919DB" w:rsidP="00F919DB">
      <w:pPr>
        <w:pStyle w:val="NoSpacing"/>
        <w:spacing w:before="120"/>
        <w:ind w:left="4594"/>
        <w:rPr>
          <w:sz w:val="18"/>
        </w:rPr>
      </w:pPr>
      <w:r w:rsidRPr="00F919DB">
        <w:rPr>
          <w:sz w:val="18"/>
        </w:rPr>
        <w:t>This document is also available in PDF and</w:t>
      </w:r>
      <w:r>
        <w:rPr>
          <w:sz w:val="18"/>
        </w:rPr>
        <w:t xml:space="preserve"> </w:t>
      </w:r>
      <w:r w:rsidRPr="00F919DB">
        <w:rPr>
          <w:sz w:val="18"/>
        </w:rPr>
        <w:t xml:space="preserve">Word format at </w:t>
      </w:r>
      <w:hyperlink r:id="rId111" w:history="1">
        <w:r w:rsidRPr="00F919DB">
          <w:rPr>
            <w:rStyle w:val="Hyperlink"/>
            <w:sz w:val="18"/>
          </w:rPr>
          <w:t>dtf.vic.gov.au</w:t>
        </w:r>
      </w:hyperlink>
      <w:r>
        <w:rPr>
          <w:sz w:val="18"/>
        </w:rPr>
        <w:t xml:space="preserve"> </w:t>
      </w:r>
    </w:p>
    <w:sectPr w:rsidR="00EA5C59" w:rsidRPr="00F919DB" w:rsidSect="00F919DB">
      <w:footerReference w:type="first" r:id="rId112"/>
      <w:pgSz w:w="9979" w:h="14175" w:code="34"/>
      <w:pgMar w:top="850" w:right="1138" w:bottom="850" w:left="1138" w:header="619" w:footer="562" w:gutter="0"/>
      <w:cols w:space="567"/>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EEF" w:rsidRDefault="00BA2EEF" w:rsidP="00474C53">
      <w:r>
        <w:separator/>
      </w:r>
    </w:p>
  </w:endnote>
  <w:endnote w:type="continuationSeparator" w:id="0">
    <w:p w:rsidR="00BA2EEF" w:rsidRDefault="00BA2EEF" w:rsidP="0047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Arial"/>
    <w:charset w:val="00"/>
    <w:family w:val="swiss"/>
    <w:pitch w:val="variable"/>
    <w:sig w:usb0="00000001"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715FC3" w:rsidRDefault="00BA2EEF" w:rsidP="00A9744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D90086" w:rsidRDefault="00BA2EEF"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w:t>
    </w:r>
    <w:r w:rsidRPr="00D90086">
      <w:rPr>
        <w:rStyle w:val="PageNumber"/>
        <w:rFonts w:asciiTheme="majorHAnsi" w:hAnsiTheme="majorHAnsi"/>
      </w:rPr>
      <w:fldChar w:fldCharType="end"/>
    </w:r>
    <w:r w:rsidRPr="00D90086">
      <w:tab/>
    </w:r>
    <w:r>
      <w:t>Chapter 3</w:t>
    </w:r>
    <w:r w:rsidRPr="00D90086">
      <w:tab/>
    </w:r>
    <w:r w:rsidRPr="00FA62A0">
      <w:rPr>
        <w:rStyle w:val="PageNumber"/>
        <w:rFonts w:asciiTheme="majorHAnsi" w:hAnsiTheme="majorHAnsi"/>
      </w:rPr>
      <w:t>2018</w:t>
    </w:r>
    <w:r>
      <w:rPr>
        <w:rStyle w:val="PageNumber"/>
        <w:rFonts w:asciiTheme="majorHAnsi" w:hAnsiTheme="majorHAnsi"/>
      </w:rPr>
      <w:t>-19</w:t>
    </w:r>
    <w:r w:rsidRPr="00FA62A0">
      <w:rPr>
        <w:rStyle w:val="PageNumber"/>
        <w:rFonts w:asciiTheme="majorHAnsi" w:hAnsiTheme="majorHAnsi"/>
      </w:rPr>
      <w:t xml:space="preserve"> Budget Update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sidRPr="00027807">
      <w:rPr>
        <w:rStyle w:val="PageNumber"/>
        <w:rFonts w:asciiTheme="majorHAnsi" w:hAnsiTheme="majorHAnsi"/>
      </w:rPr>
      <w:t>2018-19 Budget Update</w:t>
    </w:r>
    <w:r w:rsidRPr="00BA26F2">
      <w:tab/>
    </w:r>
    <w:r>
      <w:t>Chapter 3</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sidRPr="00027807">
      <w:rPr>
        <w:rStyle w:val="PageNumber"/>
        <w:rFonts w:asciiTheme="majorHAnsi" w:hAnsiTheme="majorHAnsi"/>
      </w:rPr>
      <w:t>2018-19 Budget Update</w:t>
    </w:r>
    <w:r w:rsidRPr="00BA26F2">
      <w:tab/>
    </w:r>
    <w:r>
      <w:t>Chapter 3</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FD6FE4" w:rsidRDefault="00BA2EEF" w:rsidP="00FD6FE4">
    <w:pPr>
      <w:pStyle w:val="Footereven"/>
    </w:pPr>
    <w:r w:rsidRPr="00FD6FE4">
      <w:rPr>
        <w:rStyle w:val="PageNumber"/>
        <w:rFonts w:asciiTheme="majorHAnsi" w:hAnsiTheme="majorHAnsi"/>
      </w:rPr>
      <w:fldChar w:fldCharType="begin"/>
    </w:r>
    <w:r w:rsidRPr="00FD6FE4">
      <w:rPr>
        <w:rStyle w:val="PageNumber"/>
        <w:rFonts w:asciiTheme="majorHAnsi" w:hAnsiTheme="majorHAnsi"/>
      </w:rPr>
      <w:instrText xml:space="preserve"> PAGE </w:instrText>
    </w:r>
    <w:r w:rsidRPr="00FD6FE4">
      <w:rPr>
        <w:rStyle w:val="PageNumber"/>
        <w:rFonts w:asciiTheme="majorHAnsi" w:hAnsiTheme="majorHAnsi"/>
      </w:rPr>
      <w:fldChar w:fldCharType="separate"/>
    </w:r>
    <w:r w:rsidRPr="00FD6FE4">
      <w:rPr>
        <w:rStyle w:val="PageNumber"/>
        <w:rFonts w:asciiTheme="majorHAnsi" w:hAnsiTheme="majorHAnsi"/>
      </w:rPr>
      <w:t>4</w:t>
    </w:r>
    <w:r w:rsidRPr="00FD6FE4">
      <w:rPr>
        <w:rStyle w:val="PageNumber"/>
        <w:rFonts w:asciiTheme="majorHAnsi" w:hAnsiTheme="majorHAnsi"/>
      </w:rPr>
      <w:fldChar w:fldCharType="end"/>
    </w:r>
    <w:r w:rsidRPr="00FD6FE4">
      <w:tab/>
      <w:t>Chapter 3</w:t>
    </w:r>
    <w:r w:rsidRPr="00FD6FE4">
      <w:tab/>
    </w:r>
    <w:r w:rsidRPr="00FD6FE4">
      <w:rPr>
        <w:rStyle w:val="PageNumber"/>
        <w:rFonts w:asciiTheme="majorHAnsi" w:hAnsiTheme="majorHAnsi"/>
      </w:rPr>
      <w:t>2018-19 Budget Update</w:t>
    </w:r>
    <w:r w:rsidRPr="00FD6FE4">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FD6FE4" w:rsidRDefault="00BA2EEF" w:rsidP="00FD6FE4">
    <w:pPr>
      <w:pStyle w:val="Footerodd"/>
    </w:pPr>
    <w:r w:rsidRPr="00FD6FE4">
      <w:rPr>
        <w:rStyle w:val="PageNumber"/>
        <w:rFonts w:asciiTheme="majorHAnsi" w:hAnsiTheme="majorHAnsi"/>
      </w:rPr>
      <w:t>2018-19 Budget Update</w:t>
    </w:r>
    <w:r w:rsidRPr="00FD6FE4">
      <w:tab/>
      <w:t>Chapter 3</w:t>
    </w:r>
    <w:r w:rsidRPr="00FD6FE4">
      <w:tab/>
    </w:r>
    <w:r w:rsidRPr="00FD6FE4">
      <w:rPr>
        <w:rStyle w:val="PageNumber"/>
        <w:rFonts w:asciiTheme="majorHAnsi" w:hAnsiTheme="majorHAnsi"/>
      </w:rPr>
      <w:fldChar w:fldCharType="begin"/>
    </w:r>
    <w:r w:rsidRPr="00FD6FE4">
      <w:rPr>
        <w:rStyle w:val="PageNumber"/>
        <w:rFonts w:asciiTheme="majorHAnsi" w:hAnsiTheme="majorHAnsi"/>
      </w:rPr>
      <w:instrText xml:space="preserve"> PAGE </w:instrText>
    </w:r>
    <w:r w:rsidRPr="00FD6FE4">
      <w:rPr>
        <w:rStyle w:val="PageNumber"/>
        <w:rFonts w:asciiTheme="majorHAnsi" w:hAnsiTheme="majorHAnsi"/>
      </w:rPr>
      <w:fldChar w:fldCharType="separate"/>
    </w:r>
    <w:r w:rsidRPr="00FD6FE4">
      <w:rPr>
        <w:rStyle w:val="PageNumber"/>
        <w:rFonts w:asciiTheme="majorHAnsi" w:hAnsiTheme="majorHAnsi"/>
      </w:rPr>
      <w:t>3</w:t>
    </w:r>
    <w:r w:rsidRPr="00FD6FE4">
      <w:rPr>
        <w:rStyle w:val="PageNumber"/>
        <w:rFonts w:asciiTheme="majorHAnsi" w:hAnsiTheme="majorHAnsi"/>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rsidP="00CC0EB7">
    <w:pPr>
      <w:jc w:val="center"/>
      <w:rPr>
        <w:rFonts w:ascii="Arial" w:hAnsi="Arial" w:cs="Arial"/>
        <w:b/>
        <w:color w:val="FF0000"/>
        <w:sz w:val="29"/>
      </w:rPr>
    </w:pPr>
    <w:bookmarkStart w:id="28" w:name="aliashProtectiveMarkings1FooterFirstPage"/>
  </w:p>
  <w:bookmarkEnd w:id="28"/>
  <w:p w:rsidR="00BA2EEF" w:rsidRDefault="00BA2EEF"/>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D90086" w:rsidRDefault="00BA2EEF" w:rsidP="00CC0EB7">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12</w:t>
    </w:r>
    <w:r w:rsidRPr="00D90086">
      <w:rPr>
        <w:rStyle w:val="PageNumber"/>
        <w:rFonts w:asciiTheme="majorHAnsi" w:hAnsiTheme="majorHAnsi"/>
      </w:rPr>
      <w:fldChar w:fldCharType="end"/>
    </w:r>
    <w:r w:rsidRPr="00D90086">
      <w:tab/>
    </w:r>
    <w:r>
      <w:t>Chapter 4</w:t>
    </w:r>
    <w:r w:rsidRPr="00D90086">
      <w:tab/>
    </w:r>
    <w:r w:rsidRPr="005C6F6C">
      <w:rPr>
        <w:rStyle w:val="PageNumber"/>
        <w:rFonts w:asciiTheme="majorHAnsi" w:hAnsiTheme="majorHAnsi"/>
      </w:rPr>
      <w:t>2018-19 Budget Update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sidRPr="005C6F6C">
      <w:rPr>
        <w:rStyle w:val="PageNumber"/>
        <w:rFonts w:asciiTheme="majorHAnsi" w:hAnsiTheme="majorHAnsi"/>
      </w:rPr>
      <w:t>2018-19 Budget Update</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13</w:t>
    </w:r>
    <w:r w:rsidRPr="00BA26F2">
      <w:rPr>
        <w:rStyle w:val="PageNumber"/>
        <w:rFonts w:asciiTheme="majorHAnsi" w:hAnsiTheme="majorHAnsi"/>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sidRPr="00823119">
      <w:rPr>
        <w:rStyle w:val="PageNumber"/>
        <w:rFonts w:asciiTheme="majorHAnsi" w:hAnsiTheme="majorHAnsi"/>
      </w:rPr>
      <w:t>2018</w:t>
    </w:r>
    <w:r>
      <w:rPr>
        <w:rStyle w:val="PageNumber"/>
        <w:rFonts w:asciiTheme="majorHAnsi" w:hAnsiTheme="majorHAnsi"/>
      </w:rPr>
      <w:t>-19</w:t>
    </w:r>
    <w:r w:rsidRPr="00823119">
      <w:rPr>
        <w:rStyle w:val="PageNumber"/>
        <w:rFonts w:asciiTheme="majorHAnsi" w:hAnsiTheme="majorHAnsi"/>
      </w:rPr>
      <w:t xml:space="preserve"> Budget Update</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D90086" w:rsidRDefault="00BA2EEF"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16</w:t>
    </w:r>
    <w:r w:rsidRPr="00D90086">
      <w:rPr>
        <w:rStyle w:val="PageNumber"/>
        <w:rFonts w:asciiTheme="majorHAnsi" w:hAnsiTheme="majorHAnsi"/>
      </w:rPr>
      <w:fldChar w:fldCharType="end"/>
    </w:r>
    <w:r w:rsidRPr="00D90086">
      <w:tab/>
    </w:r>
    <w:r>
      <w:t>Chapter 4</w:t>
    </w:r>
    <w:r w:rsidRPr="00D90086">
      <w:tab/>
    </w:r>
    <w:r w:rsidRPr="005C6F6C">
      <w:rPr>
        <w:rStyle w:val="PageNumber"/>
        <w:rFonts w:asciiTheme="majorHAnsi" w:hAnsiTheme="majorHAnsi"/>
      </w:rPr>
      <w:t>2018-19 Budget Update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D90086" w:rsidRDefault="00BA2EEF" w:rsidP="00FD6FE4"/>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sidRPr="005C6F6C">
      <w:rPr>
        <w:rStyle w:val="PageNumber"/>
        <w:rFonts w:asciiTheme="majorHAnsi" w:hAnsiTheme="majorHAnsi"/>
      </w:rPr>
      <w:t>2018-19 Budget Update</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15</w:t>
    </w:r>
    <w:r w:rsidRPr="00BA26F2">
      <w:rPr>
        <w:rStyle w:val="PageNumber"/>
        <w:rFonts w:asciiTheme="majorHAnsi" w:hAnsiTheme="majorHAnsi"/>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rsidP="00CC0EB7">
    <w:pPr>
      <w:pStyle w:val="Footerodd"/>
      <w:rPr>
        <w:rStyle w:val="PageNumber"/>
        <w:rFonts w:asciiTheme="majorHAnsi" w:hAnsiTheme="majorHAnsi"/>
      </w:rPr>
    </w:pPr>
    <w:bookmarkStart w:id="38" w:name="PandNP2FooterFirstPage"/>
  </w:p>
  <w:bookmarkEnd w:id="38"/>
  <w:p w:rsidR="00BA2EEF" w:rsidRPr="00BA26F2" w:rsidRDefault="00BA2EEF" w:rsidP="008155D0">
    <w:pPr>
      <w:pStyle w:val="Footerodd"/>
    </w:pPr>
    <w:r>
      <w:rPr>
        <w:rStyle w:val="PageNumber"/>
        <w:rFonts w:asciiTheme="majorHAnsi" w:hAnsiTheme="majorHAnsi"/>
      </w:rPr>
      <w:t>2018-19 Victorian Economic Statement</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rsidP="00CC0EB7">
    <w:pPr>
      <w:pStyle w:val="Footerodd"/>
      <w:rPr>
        <w:rStyle w:val="PageNumber"/>
        <w:rFonts w:asciiTheme="majorHAnsi" w:hAnsiTheme="majorHAnsi"/>
      </w:rPr>
    </w:pPr>
    <w:bookmarkStart w:id="45" w:name="PandNP3FooterFirstPage"/>
  </w:p>
  <w:bookmarkEnd w:id="45"/>
  <w:p w:rsidR="00BA2EEF" w:rsidRPr="00BA26F2" w:rsidRDefault="00BA2EEF" w:rsidP="008155D0">
    <w:pPr>
      <w:pStyle w:val="Footerodd"/>
    </w:pPr>
    <w:r>
      <w:rPr>
        <w:rStyle w:val="PageNumber"/>
        <w:rFonts w:asciiTheme="majorHAnsi" w:hAnsiTheme="majorHAnsi"/>
      </w:rPr>
      <w:t>2018-19 Victorian Economic Statement</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D90086" w:rsidRDefault="00BA2EEF"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36</w:t>
    </w:r>
    <w:r w:rsidRPr="00D90086">
      <w:rPr>
        <w:rStyle w:val="PageNumber"/>
        <w:rFonts w:asciiTheme="majorHAnsi" w:hAnsiTheme="majorHAnsi"/>
      </w:rPr>
      <w:fldChar w:fldCharType="end"/>
    </w:r>
    <w:r w:rsidRPr="00D90086">
      <w:tab/>
    </w:r>
    <w:r>
      <w:t>Chapter 4</w:t>
    </w:r>
    <w:r w:rsidRPr="00D90086">
      <w:tab/>
    </w:r>
    <w:r w:rsidRPr="005C6F6C">
      <w:rPr>
        <w:rStyle w:val="PageNumber"/>
        <w:rFonts w:asciiTheme="majorHAnsi" w:hAnsiTheme="majorHAnsi"/>
      </w:rPr>
      <w:t>2018-19 Budget Update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sidRPr="005C6F6C">
      <w:rPr>
        <w:rStyle w:val="PageNumber"/>
        <w:rFonts w:asciiTheme="majorHAnsi" w:hAnsiTheme="majorHAnsi"/>
      </w:rPr>
      <w:t>2018-19 Budget Update</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35</w:t>
    </w:r>
    <w:r w:rsidRPr="00BA26F2">
      <w:rPr>
        <w:rStyle w:val="PageNumber"/>
        <w:rFonts w:asciiTheme="majorHAnsi" w:hAnsiTheme="majorHAnsi"/>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rsidP="00CC0EB7">
    <w:pPr>
      <w:pStyle w:val="Footerodd"/>
      <w:rPr>
        <w:rStyle w:val="PageNumber"/>
        <w:rFonts w:asciiTheme="majorHAnsi" w:hAnsiTheme="majorHAnsi"/>
      </w:rPr>
    </w:pPr>
    <w:bookmarkStart w:id="46" w:name="PandNP4FooterFirstPage"/>
  </w:p>
  <w:bookmarkEnd w:id="46"/>
  <w:p w:rsidR="00BA2EEF" w:rsidRPr="00BA26F2" w:rsidRDefault="00BA2EEF" w:rsidP="008155D0">
    <w:pPr>
      <w:pStyle w:val="Footerodd"/>
    </w:pPr>
    <w:r>
      <w:rPr>
        <w:rStyle w:val="PageNumber"/>
        <w:rFonts w:asciiTheme="majorHAnsi" w:hAnsiTheme="majorHAnsi"/>
      </w:rPr>
      <w:t>2018-19 Victorian Economic Statement</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sidRPr="003F07FA">
      <w:rPr>
        <w:rStyle w:val="PageNumber"/>
        <w:rFonts w:asciiTheme="majorHAnsi" w:hAnsiTheme="majorHAnsi"/>
      </w:rPr>
      <w:t>2018-19 Budget Update</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3F07FA" w:rsidRDefault="00BA2EEF" w:rsidP="003F07FA">
    <w:pPr>
      <w:pStyle w:val="Footereven"/>
    </w:pPr>
    <w:r w:rsidRPr="003F07FA">
      <w:rPr>
        <w:rStyle w:val="PageNumber"/>
        <w:rFonts w:asciiTheme="majorHAnsi" w:hAnsiTheme="majorHAnsi"/>
      </w:rPr>
      <w:fldChar w:fldCharType="begin"/>
    </w:r>
    <w:r w:rsidRPr="003F07FA">
      <w:rPr>
        <w:rStyle w:val="PageNumber"/>
        <w:rFonts w:asciiTheme="majorHAnsi" w:hAnsiTheme="majorHAnsi"/>
      </w:rPr>
      <w:instrText xml:space="preserve"> PAGE </w:instrText>
    </w:r>
    <w:r w:rsidRPr="003F07FA">
      <w:rPr>
        <w:rStyle w:val="PageNumber"/>
        <w:rFonts w:asciiTheme="majorHAnsi" w:hAnsiTheme="majorHAnsi"/>
      </w:rPr>
      <w:fldChar w:fldCharType="separate"/>
    </w:r>
    <w:r w:rsidRPr="003F07FA">
      <w:rPr>
        <w:rStyle w:val="PageNumber"/>
        <w:rFonts w:asciiTheme="majorHAnsi" w:hAnsiTheme="majorHAnsi"/>
      </w:rPr>
      <w:t>32</w:t>
    </w:r>
    <w:r w:rsidRPr="003F07FA">
      <w:rPr>
        <w:rStyle w:val="PageNumber"/>
        <w:rFonts w:asciiTheme="majorHAnsi" w:hAnsiTheme="majorHAnsi"/>
      </w:rPr>
      <w:fldChar w:fldCharType="end"/>
    </w:r>
    <w:r w:rsidRPr="003F07FA">
      <w:tab/>
      <w:t>Chapter 5</w:t>
    </w:r>
    <w:r w:rsidRPr="003F07FA">
      <w:tab/>
    </w:r>
    <w:r w:rsidRPr="003F07FA">
      <w:rPr>
        <w:rStyle w:val="PageNumber"/>
        <w:rFonts w:asciiTheme="majorHAnsi" w:hAnsiTheme="majorHAnsi"/>
      </w:rPr>
      <w:t>2018-19 Budget Update</w:t>
    </w:r>
    <w:r w:rsidRPr="003F07FA">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3F07FA" w:rsidRDefault="00BA2EEF" w:rsidP="003F07FA">
    <w:pPr>
      <w:pStyle w:val="Footerodd"/>
    </w:pPr>
    <w:r w:rsidRPr="003F07FA">
      <w:rPr>
        <w:rStyle w:val="PageNumber"/>
        <w:rFonts w:asciiTheme="majorHAnsi" w:hAnsiTheme="majorHAnsi"/>
      </w:rPr>
      <w:t>2018-19 Budget Update</w:t>
    </w:r>
    <w:r w:rsidRPr="003F07FA">
      <w:tab/>
      <w:t>Chapter 5</w:t>
    </w:r>
    <w:r w:rsidRPr="003F07FA">
      <w:tab/>
    </w:r>
    <w:r w:rsidRPr="003F07FA">
      <w:rPr>
        <w:rStyle w:val="PageNumber"/>
        <w:rFonts w:asciiTheme="majorHAnsi" w:hAnsiTheme="majorHAnsi"/>
      </w:rPr>
      <w:fldChar w:fldCharType="begin"/>
    </w:r>
    <w:r w:rsidRPr="003F07FA">
      <w:rPr>
        <w:rStyle w:val="PageNumber"/>
        <w:rFonts w:asciiTheme="majorHAnsi" w:hAnsiTheme="majorHAnsi"/>
      </w:rPr>
      <w:instrText xml:space="preserve"> PAGE </w:instrText>
    </w:r>
    <w:r w:rsidRPr="003F07FA">
      <w:rPr>
        <w:rStyle w:val="PageNumber"/>
        <w:rFonts w:asciiTheme="majorHAnsi" w:hAnsiTheme="majorHAnsi"/>
      </w:rPr>
      <w:fldChar w:fldCharType="separate"/>
    </w:r>
    <w:r w:rsidRPr="003F07FA">
      <w:rPr>
        <w:rStyle w:val="PageNumber"/>
        <w:rFonts w:asciiTheme="majorHAnsi" w:hAnsiTheme="majorHAnsi"/>
      </w:rPr>
      <w:t>31</w:t>
    </w:r>
    <w:r w:rsidRPr="003F07FA">
      <w:rPr>
        <w:rStyle w:val="PageNumber"/>
        <w:rFonts w:asciiTheme="majorHAnsi" w:hAnsiTheme="majorHAnsi"/>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D90086" w:rsidRDefault="00BA2EEF"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w:t>
    </w:r>
    <w:r w:rsidRPr="00D90086">
      <w:rPr>
        <w:rStyle w:val="PageNumber"/>
        <w:rFonts w:asciiTheme="majorHAnsi" w:hAnsiTheme="majorHAnsi"/>
      </w:rPr>
      <w:fldChar w:fldCharType="end"/>
    </w:r>
    <w:r w:rsidRPr="00D90086">
      <w:tab/>
    </w:r>
    <w:r>
      <w:t>Chapter 6</w:t>
    </w:r>
    <w:r w:rsidRPr="00D90086">
      <w:tab/>
    </w:r>
    <w:r w:rsidRPr="00AD7398">
      <w:rPr>
        <w:rStyle w:val="PageNumber"/>
        <w:rFonts w:asciiTheme="majorHAnsi" w:hAnsiTheme="majorHAnsi"/>
      </w:rPr>
      <w:t>2018-19 Budget Update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rsidP="00A97443">
    <w:pPr>
      <w:pStyle w:val="Footereven"/>
    </w:pPr>
    <w:r>
      <w:rPr>
        <w:rStyle w:val="PageNumber"/>
        <w:rFonts w:asciiTheme="majorHAnsi" w:hAnsiTheme="majorHAnsi"/>
      </w:rPr>
      <w:tab/>
    </w:r>
    <w:r>
      <w:rPr>
        <w:rStyle w:val="PageNumber"/>
        <w:rFonts w:asciiTheme="majorHAnsi" w:hAnsiTheme="majorHAnsi"/>
      </w:rPr>
      <w:tab/>
    </w: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i</w:t>
    </w:r>
    <w:r w:rsidRPr="00D90086">
      <w:rPr>
        <w:rStyle w:val="PageNumber"/>
        <w:rFonts w:asciiTheme="majorHAnsi" w:hAnsiTheme="majorHAnsi"/>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Pr>
        <w:rStyle w:val="PageNumber"/>
        <w:rFonts w:asciiTheme="majorHAnsi" w:hAnsiTheme="majorHAnsi"/>
      </w:rPr>
      <w:t>2018-19 Budget Update</w:t>
    </w:r>
    <w:r w:rsidRPr="00BA26F2">
      <w:tab/>
    </w:r>
    <w:r>
      <w:t>Chapter 6</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3F07FA">
    <w:pPr>
      <w:pStyle w:val="Footerodd"/>
      <w:pBdr>
        <w:top w:val="single" w:sz="6" w:space="0" w:color="auto"/>
      </w:pBdr>
    </w:pPr>
    <w:r w:rsidRPr="003F07FA">
      <w:rPr>
        <w:rStyle w:val="PageNumber"/>
        <w:rFonts w:asciiTheme="majorHAnsi" w:hAnsiTheme="majorHAnsi"/>
      </w:rPr>
      <w:t>2018-19 Budget Update</w:t>
    </w:r>
    <w:r w:rsidRPr="00BA26F2">
      <w:tab/>
    </w:r>
    <w:r>
      <w:t>Chapter 6</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3F07FA" w:rsidRDefault="00BA2EEF" w:rsidP="003F07FA">
    <w:pPr>
      <w:pStyle w:val="Footereven"/>
    </w:pPr>
    <w:r w:rsidRPr="003F07FA">
      <w:rPr>
        <w:rStyle w:val="PageNumber"/>
        <w:rFonts w:asciiTheme="majorHAnsi" w:hAnsiTheme="majorHAnsi"/>
      </w:rPr>
      <w:fldChar w:fldCharType="begin"/>
    </w:r>
    <w:r w:rsidRPr="003F07FA">
      <w:rPr>
        <w:rStyle w:val="PageNumber"/>
        <w:rFonts w:asciiTheme="majorHAnsi" w:hAnsiTheme="majorHAnsi"/>
      </w:rPr>
      <w:instrText xml:space="preserve"> PAGE </w:instrText>
    </w:r>
    <w:r w:rsidRPr="003F07FA">
      <w:rPr>
        <w:rStyle w:val="PageNumber"/>
        <w:rFonts w:asciiTheme="majorHAnsi" w:hAnsiTheme="majorHAnsi"/>
      </w:rPr>
      <w:fldChar w:fldCharType="separate"/>
    </w:r>
    <w:r w:rsidRPr="003F07FA">
      <w:rPr>
        <w:rStyle w:val="PageNumber"/>
        <w:rFonts w:asciiTheme="majorHAnsi" w:hAnsiTheme="majorHAnsi"/>
      </w:rPr>
      <w:t>2</w:t>
    </w:r>
    <w:r w:rsidRPr="003F07FA">
      <w:rPr>
        <w:rStyle w:val="PageNumber"/>
        <w:rFonts w:asciiTheme="majorHAnsi" w:hAnsiTheme="majorHAnsi"/>
      </w:rPr>
      <w:fldChar w:fldCharType="end"/>
    </w:r>
    <w:r w:rsidRPr="003F07FA">
      <w:tab/>
      <w:t>Appendix A</w:t>
    </w:r>
    <w:r w:rsidRPr="003F07FA">
      <w:tab/>
    </w:r>
    <w:r w:rsidRPr="003F07FA">
      <w:rPr>
        <w:rStyle w:val="PageNumber"/>
        <w:rFonts w:asciiTheme="majorHAnsi" w:hAnsiTheme="majorHAnsi"/>
      </w:rPr>
      <w:t>2018-19 Budget Update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Pr>
        <w:rStyle w:val="PageNumber"/>
      </w:rPr>
      <w:t>2018-19 Budget Update</w:t>
    </w:r>
    <w:r w:rsidRPr="00BA26F2">
      <w:tab/>
    </w:r>
    <w:r>
      <w:t>Appendix A</w:t>
    </w:r>
    <w:r w:rsidRPr="00BA26F2">
      <w:tab/>
    </w:r>
    <w:r w:rsidRPr="00BA26F2">
      <w:rPr>
        <w:rStyle w:val="PageNumber"/>
      </w:rPr>
      <w:fldChar w:fldCharType="begin"/>
    </w:r>
    <w:r w:rsidRPr="00BA26F2">
      <w:rPr>
        <w:rStyle w:val="PageNumber"/>
      </w:rPr>
      <w:instrText xml:space="preserve"> PAGE </w:instrText>
    </w:r>
    <w:r w:rsidRPr="00BA26F2">
      <w:rPr>
        <w:rStyle w:val="PageNumber"/>
      </w:rPr>
      <w:fldChar w:fldCharType="separate"/>
    </w:r>
    <w:r>
      <w:rPr>
        <w:rStyle w:val="PageNumber"/>
        <w:noProof/>
      </w:rPr>
      <w:t>1</w:t>
    </w:r>
    <w:r w:rsidRPr="00BA26F2">
      <w:rPr>
        <w:rStyle w:val="PageNumber"/>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3F07FA" w:rsidRDefault="00BA2EEF" w:rsidP="003F07FA">
    <w:pPr>
      <w:pStyle w:val="Footerodd"/>
    </w:pPr>
    <w:r w:rsidRPr="003F07FA">
      <w:rPr>
        <w:rStyle w:val="PageNumber"/>
        <w:rFonts w:asciiTheme="majorHAnsi" w:hAnsiTheme="majorHAnsi"/>
      </w:rPr>
      <w:t>2018-19 Budget Update</w:t>
    </w:r>
    <w:r w:rsidRPr="003F07FA">
      <w:tab/>
      <w:t>Appendix A</w:t>
    </w:r>
    <w:r w:rsidRPr="003F07FA">
      <w:tab/>
    </w:r>
    <w:r w:rsidRPr="003F07FA">
      <w:rPr>
        <w:rStyle w:val="PageNumber"/>
        <w:rFonts w:asciiTheme="majorHAnsi" w:hAnsiTheme="majorHAnsi"/>
      </w:rPr>
      <w:fldChar w:fldCharType="begin"/>
    </w:r>
    <w:r w:rsidRPr="003F07FA">
      <w:rPr>
        <w:rStyle w:val="PageNumber"/>
        <w:rFonts w:asciiTheme="majorHAnsi" w:hAnsiTheme="majorHAnsi"/>
      </w:rPr>
      <w:instrText xml:space="preserve"> PAGE </w:instrText>
    </w:r>
    <w:r w:rsidRPr="003F07FA">
      <w:rPr>
        <w:rStyle w:val="PageNumber"/>
        <w:rFonts w:asciiTheme="majorHAnsi" w:hAnsiTheme="majorHAnsi"/>
      </w:rPr>
      <w:fldChar w:fldCharType="separate"/>
    </w:r>
    <w:r w:rsidRPr="003F07FA">
      <w:rPr>
        <w:rStyle w:val="PageNumber"/>
        <w:rFonts w:asciiTheme="majorHAnsi" w:hAnsiTheme="majorHAnsi"/>
      </w:rPr>
      <w:t>1</w:t>
    </w:r>
    <w:r w:rsidRPr="003F07FA">
      <w:rPr>
        <w:rStyle w:val="PageNumber"/>
        <w:rFonts w:asciiTheme="majorHAnsi" w:hAnsiTheme="majorHAnsi"/>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D90086" w:rsidRDefault="00BA2EEF" w:rsidP="00CC0EB7">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4</w:t>
    </w:r>
    <w:r w:rsidRPr="00D90086">
      <w:rPr>
        <w:rStyle w:val="PageNumber"/>
        <w:rFonts w:asciiTheme="majorHAnsi" w:hAnsiTheme="majorHAnsi"/>
      </w:rPr>
      <w:fldChar w:fldCharType="end"/>
    </w:r>
    <w:r w:rsidRPr="00D90086">
      <w:tab/>
    </w:r>
    <w:r>
      <w:t>Appendix B</w:t>
    </w:r>
    <w:r w:rsidRPr="00D90086">
      <w:tab/>
    </w:r>
    <w:r w:rsidRPr="00597990">
      <w:rPr>
        <w:rStyle w:val="PageNumber"/>
        <w:rFonts w:asciiTheme="majorHAnsi" w:hAnsiTheme="majorHAnsi"/>
      </w:rPr>
      <w:t>2018-19 Budget Update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Pr>
        <w:rStyle w:val="PageNumber"/>
        <w:rFonts w:asciiTheme="majorHAnsi" w:hAnsiTheme="majorHAnsi"/>
      </w:rPr>
      <w:t>2018-19 Budget Update</w:t>
    </w:r>
    <w:r w:rsidRPr="00BA26F2">
      <w:tab/>
    </w:r>
    <w:r>
      <w:t>Appendix B</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w:t>
    </w:r>
    <w:r w:rsidRPr="00BA26F2">
      <w:rPr>
        <w:rStyle w:val="PageNumber"/>
        <w:rFonts w:asciiTheme="majorHAnsi" w:hAnsiTheme="majorHAnsi"/>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sidRPr="003F07FA">
      <w:rPr>
        <w:rStyle w:val="PageNumber"/>
        <w:rFonts w:asciiTheme="majorHAnsi" w:hAnsiTheme="majorHAnsi"/>
      </w:rPr>
      <w:t>2018-19 Budget Update</w:t>
    </w:r>
    <w:r w:rsidRPr="00BA26F2">
      <w:tab/>
    </w:r>
    <w:r>
      <w:t>Appendix B</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D90086" w:rsidRDefault="00BA2EEF"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w:t>
    </w:r>
    <w:r w:rsidRPr="00D90086">
      <w:rPr>
        <w:rStyle w:val="PageNumber"/>
        <w:rFonts w:asciiTheme="majorHAnsi" w:hAnsiTheme="majorHAnsi"/>
      </w:rPr>
      <w:fldChar w:fldCharType="end"/>
    </w:r>
    <w:r w:rsidRPr="00D90086">
      <w:tab/>
    </w:r>
    <w:r>
      <w:t>Appendix C</w:t>
    </w:r>
    <w:r w:rsidRPr="00D90086">
      <w:tab/>
    </w:r>
    <w:r w:rsidRPr="00AD7398">
      <w:rPr>
        <w:rStyle w:val="PageNumber"/>
        <w:rFonts w:asciiTheme="majorHAnsi" w:hAnsiTheme="majorHAnsi"/>
      </w:rPr>
      <w:t>2018-19 Budget Update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Pr>
        <w:rStyle w:val="PageNumber"/>
        <w:rFonts w:asciiTheme="majorHAnsi" w:hAnsiTheme="majorHAnsi"/>
      </w:rPr>
      <w:t>2018-19 Budget Update</w:t>
    </w:r>
    <w:r w:rsidRPr="00BA26F2">
      <w:tab/>
    </w:r>
    <w:r>
      <w:t>Appendix C</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D90086" w:rsidRDefault="00BA2EEF"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4</w:t>
    </w:r>
    <w:r w:rsidRPr="00D90086">
      <w:rPr>
        <w:rStyle w:val="PageNumber"/>
        <w:rFonts w:asciiTheme="majorHAnsi" w:hAnsiTheme="majorHAnsi"/>
      </w:rPr>
      <w:fldChar w:fldCharType="end"/>
    </w:r>
    <w:r w:rsidRPr="00D90086">
      <w:tab/>
    </w:r>
    <w:r>
      <w:t>Chapter 1</w:t>
    </w:r>
    <w:r w:rsidRPr="00D90086">
      <w:tab/>
    </w:r>
    <w:r w:rsidRPr="009344B5">
      <w:rPr>
        <w:rStyle w:val="PageNumber"/>
        <w:rFonts w:asciiTheme="majorHAnsi" w:hAnsiTheme="majorHAnsi"/>
      </w:rPr>
      <w:t>2018-19 Budget Update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sidRPr="003F07FA">
      <w:rPr>
        <w:rStyle w:val="PageNumber"/>
        <w:rFonts w:asciiTheme="majorHAnsi" w:hAnsiTheme="majorHAnsi"/>
      </w:rPr>
      <w:t>2018-19 Budget Update</w:t>
    </w:r>
    <w:r w:rsidRPr="00BA26F2">
      <w:tab/>
    </w:r>
    <w:r>
      <w:t>Appendix C</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D90086" w:rsidRDefault="00BA2EEF" w:rsidP="00CC0EB7">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4</w:t>
    </w:r>
    <w:r w:rsidRPr="00D90086">
      <w:rPr>
        <w:rStyle w:val="PageNumber"/>
        <w:rFonts w:asciiTheme="majorHAnsi" w:hAnsiTheme="majorHAnsi"/>
      </w:rPr>
      <w:fldChar w:fldCharType="end"/>
    </w:r>
    <w:r w:rsidRPr="00D90086">
      <w:tab/>
    </w:r>
    <w:r>
      <w:t>Appendix D</w:t>
    </w:r>
    <w:r w:rsidRPr="00D90086">
      <w:tab/>
    </w:r>
    <w:r w:rsidRPr="00C078E5">
      <w:rPr>
        <w:rStyle w:val="PageNumber"/>
        <w:rFonts w:asciiTheme="majorHAnsi" w:hAnsiTheme="majorHAnsi"/>
      </w:rPr>
      <w:t>2018-19 Budget Update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Pr>
        <w:rStyle w:val="PageNumber"/>
        <w:rFonts w:asciiTheme="majorHAnsi" w:hAnsiTheme="majorHAnsi"/>
      </w:rPr>
      <w:t>2018-19 Budget Update</w:t>
    </w:r>
    <w:r w:rsidRPr="00BA26F2">
      <w:tab/>
    </w:r>
    <w:r>
      <w:t>Appendix D</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w:t>
    </w:r>
    <w:r w:rsidRPr="00BA26F2">
      <w:rPr>
        <w:rStyle w:val="PageNumber"/>
        <w:rFonts w:asciiTheme="majorHAnsi" w:hAnsiTheme="majorHAnsi"/>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sidRPr="003F07FA">
      <w:rPr>
        <w:rStyle w:val="PageNumber"/>
        <w:rFonts w:asciiTheme="majorHAnsi" w:hAnsiTheme="majorHAnsi"/>
      </w:rPr>
      <w:t>2018-19 Budget Update</w:t>
    </w:r>
    <w:r w:rsidRPr="00BA26F2">
      <w:tab/>
    </w:r>
    <w:r>
      <w:t>Appendix D</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682157" w:rsidRDefault="00BA2EEF" w:rsidP="00CC0EB7">
    <w:pPr>
      <w:pStyle w:val="Footereven"/>
    </w:pPr>
    <w:r w:rsidRPr="00682157">
      <w:rPr>
        <w:rStyle w:val="PageNumber"/>
        <w:rFonts w:asciiTheme="majorHAnsi" w:hAnsiTheme="majorHAnsi"/>
      </w:rPr>
      <w:fldChar w:fldCharType="begin"/>
    </w:r>
    <w:r w:rsidRPr="00682157">
      <w:rPr>
        <w:rStyle w:val="PageNumber"/>
        <w:rFonts w:asciiTheme="majorHAnsi" w:hAnsiTheme="majorHAnsi"/>
      </w:rPr>
      <w:instrText xml:space="preserve"> PAGE </w:instrText>
    </w:r>
    <w:r w:rsidRPr="00682157">
      <w:rPr>
        <w:rStyle w:val="PageNumber"/>
        <w:rFonts w:asciiTheme="majorHAnsi" w:hAnsiTheme="majorHAnsi"/>
      </w:rPr>
      <w:fldChar w:fldCharType="separate"/>
    </w:r>
    <w:r w:rsidRPr="00682157">
      <w:rPr>
        <w:rStyle w:val="PageNumber"/>
        <w:rFonts w:asciiTheme="majorHAnsi" w:hAnsiTheme="majorHAnsi"/>
      </w:rPr>
      <w:t>12</w:t>
    </w:r>
    <w:r w:rsidRPr="00682157">
      <w:rPr>
        <w:rStyle w:val="PageNumber"/>
        <w:rFonts w:asciiTheme="majorHAnsi" w:hAnsiTheme="majorHAnsi"/>
      </w:rPr>
      <w:fldChar w:fldCharType="end"/>
    </w:r>
    <w:r w:rsidRPr="00682157">
      <w:rPr>
        <w:rStyle w:val="PageNumber"/>
        <w:rFonts w:asciiTheme="majorHAnsi" w:hAnsiTheme="majorHAnsi"/>
      </w:rPr>
      <w:tab/>
    </w:r>
    <w:r>
      <w:rPr>
        <w:rStyle w:val="PageNumber"/>
        <w:rFonts w:asciiTheme="majorHAnsi" w:hAnsiTheme="majorHAnsi"/>
      </w:rPr>
      <w:t>Appendix E</w:t>
    </w:r>
    <w:r>
      <w:rPr>
        <w:rStyle w:val="PageNumber"/>
        <w:rFonts w:asciiTheme="majorHAnsi" w:hAnsiTheme="majorHAnsi"/>
      </w:rPr>
      <w:tab/>
    </w:r>
    <w:r w:rsidRPr="00682157">
      <w:rPr>
        <w:rStyle w:val="PageNumber"/>
        <w:rFonts w:asciiTheme="majorHAnsi" w:hAnsiTheme="majorHAnsi"/>
      </w:rPr>
      <w:t>2018-19 Budget Update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CC0EB7">
    <w:pPr>
      <w:pStyle w:val="Footerodd"/>
    </w:pPr>
    <w:r w:rsidRPr="009A7AAE">
      <w:rPr>
        <w:rStyle w:val="PageNumber"/>
        <w:rFonts w:asciiTheme="majorHAnsi" w:hAnsiTheme="majorHAnsi"/>
      </w:rPr>
      <w:t>2018-19 Budget Update</w:t>
    </w:r>
    <w:r>
      <w:rPr>
        <w:rStyle w:val="PageNumber"/>
        <w:rFonts w:asciiTheme="majorHAnsi" w:hAnsiTheme="majorHAnsi"/>
      </w:rPr>
      <w:tab/>
      <w:t>Appendix E</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13</w:t>
    </w:r>
    <w:r w:rsidRPr="00BA26F2">
      <w:rPr>
        <w:rStyle w:val="PageNumber"/>
        <w:rFonts w:asciiTheme="majorHAnsi" w:hAnsiTheme="majorHAnsi"/>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Pr>
        <w:rStyle w:val="PageNumber"/>
        <w:rFonts w:asciiTheme="majorHAnsi" w:hAnsiTheme="majorHAnsi"/>
      </w:rPr>
      <w:t>2018-19 Budget Update</w:t>
    </w:r>
    <w:r>
      <w:rPr>
        <w:rStyle w:val="PageNumber"/>
        <w:rFonts w:asciiTheme="majorHAnsi" w:hAnsiTheme="majorHAnsi"/>
      </w:rPr>
      <w:tab/>
      <w:t>Appendix E</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D90086" w:rsidRDefault="00BA2EEF"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4</w:t>
    </w:r>
    <w:r w:rsidRPr="00D90086">
      <w:rPr>
        <w:rStyle w:val="PageNumber"/>
        <w:rFonts w:asciiTheme="majorHAnsi" w:hAnsiTheme="majorHAnsi"/>
      </w:rPr>
      <w:fldChar w:fldCharType="end"/>
    </w:r>
    <w:r w:rsidRPr="00D90086">
      <w:tab/>
    </w:r>
    <w:r>
      <w:t>Appendix F</w:t>
    </w:r>
    <w:r w:rsidRPr="00D90086">
      <w:tab/>
    </w:r>
    <w:r w:rsidRPr="0082317D">
      <w:rPr>
        <w:rStyle w:val="PageNumber"/>
        <w:rFonts w:asciiTheme="majorHAnsi" w:hAnsiTheme="majorHAnsi"/>
      </w:rPr>
      <w:t>2018-19 Budget Update</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Pr>
        <w:rStyle w:val="PageNumber"/>
        <w:rFonts w:asciiTheme="majorHAnsi" w:hAnsiTheme="majorHAnsi"/>
      </w:rPr>
      <w:t>2018-19 Budget Update</w:t>
    </w:r>
    <w:r w:rsidRPr="00BA26F2">
      <w:tab/>
    </w:r>
    <w:r>
      <w:t>Appendix F</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w:t>
    </w:r>
    <w:r w:rsidRPr="00BA26F2">
      <w:rPr>
        <w:rStyle w:val="PageNumber"/>
        <w:rFonts w:asciiTheme="majorHAnsi" w:hAnsiTheme="majorHAnsi"/>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sidRPr="003F07FA">
      <w:rPr>
        <w:rStyle w:val="PageNumber"/>
        <w:rFonts w:asciiTheme="majorHAnsi" w:hAnsiTheme="majorHAnsi"/>
      </w:rPr>
      <w:t>2018-19 Budget Update</w:t>
    </w:r>
    <w:r w:rsidRPr="00BA26F2">
      <w:tab/>
    </w:r>
    <w:r>
      <w:t>Appendix F</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sidRPr="009344B5">
      <w:t>2018-19 Budget Update</w:t>
    </w:r>
    <w:r w:rsidRPr="00BA26F2">
      <w:tab/>
    </w:r>
    <w:r>
      <w:t>Chapter 1</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w:t>
    </w:r>
    <w:r w:rsidRPr="00BA26F2">
      <w:rPr>
        <w:rStyle w:val="PageNumber"/>
        <w:rFonts w:asciiTheme="majorHAnsi" w:hAnsiTheme="majorHAnsi"/>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D90086" w:rsidRDefault="00BA2EEF"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4</w:t>
    </w:r>
    <w:r w:rsidRPr="00D90086">
      <w:rPr>
        <w:rStyle w:val="PageNumber"/>
        <w:rFonts w:asciiTheme="majorHAnsi" w:hAnsiTheme="majorHAnsi"/>
      </w:rPr>
      <w:fldChar w:fldCharType="end"/>
    </w:r>
    <w:r w:rsidRPr="00D90086">
      <w:tab/>
    </w:r>
    <w:r>
      <w:t>Style conventions</w:t>
    </w:r>
    <w:r w:rsidRPr="00D90086">
      <w:tab/>
    </w:r>
    <w:r w:rsidRPr="0082317D">
      <w:rPr>
        <w:rStyle w:val="PageNumber"/>
        <w:rFonts w:asciiTheme="majorHAnsi" w:hAnsiTheme="majorHAnsi"/>
      </w:rPr>
      <w:t>2018-19 Budget Update</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sidRPr="003F07FA">
      <w:rPr>
        <w:rStyle w:val="PageNumber"/>
        <w:rFonts w:asciiTheme="majorHAnsi" w:hAnsiTheme="majorHAnsi"/>
      </w:rPr>
      <w:t>2018-19 Budget Update</w:t>
    </w:r>
    <w:r w:rsidRPr="00BA26F2">
      <w:tab/>
    </w:r>
    <w:r>
      <w:t>Style conventions</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9DB" w:rsidRPr="00F919DB" w:rsidRDefault="00F919DB" w:rsidP="00F919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Pr>
        <w:rStyle w:val="PageNumber"/>
        <w:rFonts w:asciiTheme="majorHAnsi" w:hAnsiTheme="majorHAnsi"/>
      </w:rPr>
      <w:t>2018-19 Victorian Economic Statement</w:t>
    </w:r>
    <w:r w:rsidRPr="00BA26F2">
      <w:tab/>
    </w:r>
    <w:r>
      <w:t>Chapter 2</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D90086" w:rsidRDefault="00BA2EEF"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4</w:t>
    </w:r>
    <w:r w:rsidRPr="00D90086">
      <w:rPr>
        <w:rStyle w:val="PageNumber"/>
        <w:rFonts w:asciiTheme="majorHAnsi" w:hAnsiTheme="majorHAnsi"/>
      </w:rPr>
      <w:fldChar w:fldCharType="end"/>
    </w:r>
    <w:r w:rsidRPr="00D90086">
      <w:tab/>
    </w:r>
    <w:r>
      <w:t>Chapter 2</w:t>
    </w:r>
    <w:r w:rsidRPr="00D90086">
      <w:tab/>
    </w:r>
    <w:r w:rsidRPr="009344B5">
      <w:rPr>
        <w:rStyle w:val="PageNumber"/>
        <w:rFonts w:asciiTheme="majorHAnsi" w:hAnsiTheme="majorHAnsi"/>
      </w:rPr>
      <w:t>2018-19 Budget Update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sidRPr="009344B5">
      <w:t>2018-19 Budget Update</w:t>
    </w:r>
    <w:r w:rsidRPr="00BA26F2">
      <w:tab/>
    </w:r>
    <w:r>
      <w:t>Chapter 2</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w:t>
    </w:r>
    <w:r w:rsidRPr="00BA26F2">
      <w:rPr>
        <w:rStyle w:val="PageNumber"/>
        <w:rFonts w:asciiTheme="majorHAnsi" w:hAnsiTheme="majorHAns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Pr="00BA26F2" w:rsidRDefault="00BA2EEF" w:rsidP="008155D0">
    <w:pPr>
      <w:pStyle w:val="Footerodd"/>
    </w:pPr>
    <w:r>
      <w:rPr>
        <w:rStyle w:val="PageNumber"/>
        <w:rFonts w:asciiTheme="majorHAnsi" w:hAnsiTheme="majorHAnsi"/>
      </w:rPr>
      <w:t>2018-19 Victorian Economic Statement</w:t>
    </w:r>
    <w:r w:rsidRPr="00BA26F2">
      <w:tab/>
    </w:r>
    <w:r>
      <w:t>Chapter 2</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EEF" w:rsidRDefault="00BA2EEF" w:rsidP="00474C53">
      <w:r>
        <w:separator/>
      </w:r>
    </w:p>
  </w:footnote>
  <w:footnote w:type="continuationSeparator" w:id="0">
    <w:p w:rsidR="00BA2EEF" w:rsidRDefault="00BA2EEF" w:rsidP="00474C53">
      <w:r>
        <w:continuationSeparator/>
      </w:r>
    </w:p>
  </w:footnote>
  <w:footnote w:id="1">
    <w:p w:rsidR="00BA2EEF" w:rsidRPr="007F6536" w:rsidRDefault="00BA2EEF" w:rsidP="00CC0EB7">
      <w:pPr>
        <w:pStyle w:val="FootnoteText"/>
        <w:rPr>
          <w:lang w:val="en-AU"/>
        </w:rPr>
      </w:pPr>
      <w:r>
        <w:rPr>
          <w:rStyle w:val="FootnoteReference"/>
        </w:rPr>
        <w:footnoteRef/>
      </w:r>
      <w:r>
        <w:t xml:space="preserve"> </w:t>
      </w:r>
      <w:r w:rsidRPr="007F6536">
        <w:t>The results generated in each scenario are mutually exclusive and non-additive.</w:t>
      </w:r>
    </w:p>
  </w:footnote>
  <w:footnote w:id="2">
    <w:p w:rsidR="00BA2EEF" w:rsidRPr="000D4F23" w:rsidRDefault="00BA2EEF" w:rsidP="00CC0EB7">
      <w:pPr>
        <w:pStyle w:val="FootnoteText"/>
        <w:rPr>
          <w:lang w:val="en-AU"/>
        </w:rPr>
      </w:pPr>
      <w:r>
        <w:rPr>
          <w:rStyle w:val="FootnoteReference"/>
        </w:rPr>
        <w:footnoteRef/>
      </w:r>
      <w:r>
        <w:t xml:space="preserve"> </w:t>
      </w:r>
      <w:r w:rsidRPr="000D4F23">
        <w:t xml:space="preserve">VURM is a dynamic </w:t>
      </w:r>
      <w:r>
        <w:t>computable general equilibrium</w:t>
      </w:r>
      <w:r w:rsidRPr="000D4F23">
        <w:t xml:space="preserve"> model of Australia</w:t>
      </w:r>
      <w:r>
        <w:t>’</w:t>
      </w:r>
      <w:r w:rsidRPr="000D4F23">
        <w:t>s six states and two territories</w:t>
      </w:r>
      <w:r>
        <w:t>, with e</w:t>
      </w:r>
      <w:r w:rsidRPr="000D4F23">
        <w:t xml:space="preserve">ach region </w:t>
      </w:r>
      <w:r>
        <w:t xml:space="preserve">modelled </w:t>
      </w:r>
      <w:r w:rsidRPr="000D4F23">
        <w:t>as an economy in its own right</w:t>
      </w:r>
      <w:r>
        <w:t>. See Adams, P.</w:t>
      </w:r>
      <w:r w:rsidRPr="007E6637">
        <w:t>,</w:t>
      </w:r>
      <w:r>
        <w:t xml:space="preserve"> Dixon, J. and Horridge, M. (2015), ‘</w:t>
      </w:r>
      <w:r w:rsidRPr="00933C01">
        <w:t>The Victoria University Regional Model (VURM): Technical Documentation, Version 1.0</w:t>
      </w:r>
      <w:r>
        <w:t>’, CoPS/IMPACT Working Paper Number G</w:t>
      </w:r>
      <w:r>
        <w:noBreakHyphen/>
        <w:t xml:space="preserve">254 for a more detailed description of the model (available from </w:t>
      </w:r>
      <w:r w:rsidRPr="00933C01">
        <w:t>www.</w:t>
      </w:r>
      <w:r w:rsidRPr="002F5BD6">
        <w:t>copsmodels.com/ftp/workpapr/g-254.pdf</w:t>
      </w:r>
      <w:r>
        <w:t>).</w:t>
      </w:r>
    </w:p>
  </w:footnote>
  <w:footnote w:id="3">
    <w:p w:rsidR="00BA2EEF" w:rsidRPr="007B7A26" w:rsidRDefault="00BA2EEF" w:rsidP="00CC0EB7">
      <w:pPr>
        <w:pStyle w:val="FootnoteText"/>
        <w:rPr>
          <w:lang w:val="en-AU"/>
        </w:rPr>
      </w:pPr>
      <w:r w:rsidRPr="007008E0">
        <w:rPr>
          <w:rStyle w:val="FootnoteReference"/>
        </w:rPr>
        <w:footnoteRef/>
      </w:r>
      <w:r w:rsidRPr="007008E0">
        <w:t xml:space="preserve"> The Department of Treasury and Finance maintains a comprehensive set of elasticities covering the relationship between major economic parameters and all revenue and expenditure lines, including superannuation, and dividends and income tax equivalents</w:t>
      </w:r>
      <w:r>
        <w:t xml:space="preserve"> </w:t>
      </w:r>
      <w:r w:rsidRPr="007008E0">
        <w:t>from the public financial</w:t>
      </w:r>
      <w:r>
        <w:t xml:space="preserve"> </w:t>
      </w:r>
      <w:r w:rsidRPr="007008E0">
        <w:t>and non-financial corporations</w:t>
      </w:r>
      <w:r>
        <w:t>.</w:t>
      </w:r>
    </w:p>
  </w:footnote>
  <w:footnote w:id="4">
    <w:p w:rsidR="00BA2EEF" w:rsidRPr="007400FD" w:rsidRDefault="00BA2EEF" w:rsidP="00CC0EB7">
      <w:pPr>
        <w:pStyle w:val="FootnoteText"/>
        <w:rPr>
          <w:lang w:val="en-AU"/>
        </w:rPr>
      </w:pPr>
      <w:r>
        <w:rPr>
          <w:rStyle w:val="FootnoteReference"/>
        </w:rPr>
        <w:footnoteRef/>
      </w:r>
      <w:r>
        <w:t xml:space="preserve"> The magnitude of the shock to dwelling investment aligns with the difference between the annual growth rate in national dwelling investment in 2007</w:t>
      </w:r>
      <w:r>
        <w:noBreakHyphen/>
        <w:t>08 (1.5 per cent) and 2008</w:t>
      </w:r>
      <w:r>
        <w:noBreakHyphen/>
        <w:t>09 (-3.1 per cent). It is worth noting that the decline in dwelling investment in 2008</w:t>
      </w:r>
      <w:r>
        <w:noBreakHyphen/>
        <w:t>09 was ameliorated by successive reductions to the official cash rate and policy measures introduced by Commonwealth, state and territory governments aimed at stimulating first home buyer activity.</w:t>
      </w:r>
    </w:p>
  </w:footnote>
  <w:footnote w:id="5">
    <w:p w:rsidR="00BA2EEF" w:rsidRPr="00E175D4" w:rsidRDefault="00BA2EEF" w:rsidP="00CC0EB7">
      <w:pPr>
        <w:pStyle w:val="FootnoteText"/>
        <w:rPr>
          <w:lang w:val="en-AU"/>
        </w:rPr>
      </w:pPr>
      <w:r>
        <w:rPr>
          <w:rStyle w:val="FootnoteReference"/>
        </w:rPr>
        <w:footnoteRef/>
      </w:r>
      <w:r>
        <w:t xml:space="preserve"> In the aftermath of the global financial crisis, Australia’s actual consumption was a little more than one per cent below its equilibrium consumption;</w:t>
      </w:r>
      <w:r w:rsidRPr="009867F0">
        <w:t xml:space="preserve"> see KPMG Economics (2017), </w:t>
      </w:r>
      <w:r>
        <w:t>‘The Global Financial Crisis: 10 </w:t>
      </w:r>
      <w:r w:rsidRPr="009867F0">
        <w:t>Years On</w:t>
      </w:r>
      <w:r>
        <w:t>’</w:t>
      </w:r>
      <w:r w:rsidRPr="009867F0">
        <w:t>, August (available from https:</w:t>
      </w:r>
      <w:r w:rsidRPr="001062A3">
        <w:rPr>
          <w:spacing w:val="-20"/>
        </w:rPr>
        <w:t>//</w:t>
      </w:r>
      <w:r w:rsidRPr="009867F0">
        <w:t>assets.kpmg.com/content/dam/kpmg/au/pdf/2017/global-financial-crisis-10-years-on.pdf).</w:t>
      </w:r>
    </w:p>
  </w:footnote>
  <w:footnote w:id="6">
    <w:p w:rsidR="00BA2EEF" w:rsidRPr="00442D47" w:rsidRDefault="00BA2EEF" w:rsidP="00CC0EB7">
      <w:pPr>
        <w:pStyle w:val="FootnoteText"/>
        <w:rPr>
          <w:lang w:val="en-AU"/>
        </w:rPr>
      </w:pPr>
      <w:r w:rsidRPr="00DB1080">
        <w:rPr>
          <w:rStyle w:val="FootnoteReference"/>
        </w:rPr>
        <w:footnoteRef/>
      </w:r>
      <w:r w:rsidRPr="00DB1080">
        <w:t xml:space="preserve"> </w:t>
      </w:r>
      <w:r w:rsidRPr="00DB1080">
        <w:rPr>
          <w:lang w:val="en-AU"/>
        </w:rPr>
        <w:t xml:space="preserve">This model does not consider the second-round effect associated with the change in GST relativity that could occur in response to </w:t>
      </w:r>
      <w:r>
        <w:rPr>
          <w:lang w:val="en-AU"/>
        </w:rPr>
        <w:t>changes in states’ fiscal capacities</w:t>
      </w:r>
      <w:r w:rsidRPr="00DB1080">
        <w:rPr>
          <w:lang w:val="en-AU"/>
        </w:rPr>
        <w:t>.</w:t>
      </w:r>
    </w:p>
  </w:footnote>
  <w:footnote w:id="7">
    <w:p w:rsidR="00BA2EEF" w:rsidRPr="00DE5C56" w:rsidRDefault="00BA2EEF" w:rsidP="00CC0EB7">
      <w:pPr>
        <w:pStyle w:val="FootnoteText"/>
        <w:rPr>
          <w:lang w:val="en-AU"/>
        </w:rPr>
      </w:pPr>
      <w:r>
        <w:rPr>
          <w:rStyle w:val="FootnoteReference"/>
        </w:rPr>
        <w:footnoteRef/>
      </w:r>
      <w:r>
        <w:t xml:space="preserve"> </w:t>
      </w:r>
      <w:r>
        <w:rPr>
          <w:lang w:val="en-AU"/>
        </w:rPr>
        <w:t>The increase in GST revenue reflects the impact of the Victoria</w:t>
      </w:r>
      <w:r>
        <w:rPr>
          <w:lang w:val="en-AU"/>
        </w:rPr>
        <w:noBreakHyphen/>
        <w:t>specific consumption shock on the national GST pool. The model used does not consider second-round effects that could alter Victoria’s GST relativity over the forward estimates.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F" w:rsidRDefault="00BA2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6EE77F9"/>
    <w:multiLevelType w:val="multilevel"/>
    <w:tmpl w:val="F104AB12"/>
    <w:numStyleLink w:val="NumberedHeadings"/>
  </w:abstractNum>
  <w:abstractNum w:abstractNumId="4"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431070"/>
    <w:multiLevelType w:val="multilevel"/>
    <w:tmpl w:val="F7AC3EE2"/>
    <w:lvl w:ilvl="0">
      <w:start w:val="4"/>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FC0E6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720E4A"/>
    <w:multiLevelType w:val="hybridMultilevel"/>
    <w:tmpl w:val="CE40E2A0"/>
    <w:lvl w:ilvl="0" w:tplc="57EEC964">
      <w:start w:val="1"/>
      <w:numFmt w:val="bullet"/>
      <w:lvlText w:val="–"/>
      <w:lvlJc w:val="left"/>
      <w:pPr>
        <w:tabs>
          <w:tab w:val="num" w:pos="360"/>
        </w:tabs>
        <w:ind w:left="360" w:hanging="360"/>
      </w:pPr>
      <w:rPr>
        <w:rFonts w:ascii="AvantGarde Bk BT" w:hAnsi="AvantGarde Bk BT" w:hint="default"/>
        <w:color w:val="auto"/>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B695180"/>
    <w:multiLevelType w:val="multilevel"/>
    <w:tmpl w:val="5E22C0F8"/>
    <w:numStyleLink w:val="Bullet"/>
  </w:abstractNum>
  <w:abstractNum w:abstractNumId="15" w15:restartNumberingAfterBreak="0">
    <w:nsid w:val="608B11F2"/>
    <w:multiLevelType w:val="multilevel"/>
    <w:tmpl w:val="5E22C0F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sz w:val="20"/>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CFF3731"/>
    <w:multiLevelType w:val="multilevel"/>
    <w:tmpl w:val="7500EB92"/>
    <w:numStyleLink w:val="Number"/>
  </w:abstractNum>
  <w:abstractNum w:abstractNumId="18" w15:restartNumberingAfterBreak="0">
    <w:nsid w:val="77E71996"/>
    <w:multiLevelType w:val="multilevel"/>
    <w:tmpl w:val="5CF81E6C"/>
    <w:styleLink w:val="Headingstyles"/>
    <w:lvl w:ilvl="0">
      <w:start w:val="1"/>
      <w:numFmt w:val="decimal"/>
      <w:lvlText w:val="%1."/>
      <w:lvlJc w:val="left"/>
      <w:pPr>
        <w:ind w:left="432" w:hanging="432"/>
      </w:pPr>
      <w:rPr>
        <w:rFonts w:hint="default"/>
        <w:b/>
        <w:i w:val="0"/>
        <w:color w:val="0063A6" w:themeColor="accent1"/>
        <w:sz w:val="32"/>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EE319CD"/>
    <w:multiLevelType w:val="hybridMultilevel"/>
    <w:tmpl w:val="12B02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2"/>
  </w:num>
  <w:num w:numId="4">
    <w:abstractNumId w:val="7"/>
  </w:num>
  <w:num w:numId="5">
    <w:abstractNumId w:val="11"/>
  </w:num>
  <w:num w:numId="6">
    <w:abstractNumId w:val="13"/>
  </w:num>
  <w:num w:numId="7">
    <w:abstractNumId w:val="14"/>
  </w:num>
  <w:num w:numId="8">
    <w:abstractNumId w:val="17"/>
  </w:num>
  <w:num w:numId="9">
    <w:abstractNumId w:val="1"/>
  </w:num>
  <w:num w:numId="10">
    <w:abstractNumId w:val="0"/>
  </w:num>
  <w:num w:numId="11">
    <w:abstractNumId w:val="6"/>
  </w:num>
  <w:num w:numId="12">
    <w:abstractNumId w:val="4"/>
  </w:num>
  <w:num w:numId="13">
    <w:abstractNumId w:val="16"/>
  </w:num>
  <w:num w:numId="14">
    <w:abstractNumId w:val="3"/>
  </w:num>
  <w:num w:numId="15">
    <w:abstractNumId w:val="19"/>
  </w:num>
  <w:num w:numId="16">
    <w:abstractNumId w:val="14"/>
    <w:lvlOverride w:ilvl="0">
      <w:lvl w:ilvl="0">
        <w:start w:val="1"/>
        <w:numFmt w:val="bullet"/>
        <w:pStyle w:val="ListBullet"/>
        <w:lvlText w:val=""/>
        <w:lvlJc w:val="left"/>
        <w:pPr>
          <w:ind w:left="284" w:hanging="284"/>
        </w:pPr>
        <w:rPr>
          <w:rFonts w:ascii="Symbol" w:hAnsi="Symbol" w:hint="default"/>
          <w:sz w:val="20"/>
          <w:szCs w:val="20"/>
        </w:rPr>
      </w:lvl>
    </w:lvlOverride>
  </w:num>
  <w:num w:numId="17">
    <w:abstractNumId w:val="18"/>
  </w:num>
  <w:num w:numId="18">
    <w:abstractNumId w:val="15"/>
  </w:num>
  <w:num w:numId="19">
    <w:abstractNumId w:val="5"/>
  </w:num>
  <w:num w:numId="20">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4"/>
    <w:lvlOverride w:ilvl="0">
      <w:lvl w:ilvl="0">
        <w:start w:val="1"/>
        <w:numFmt w:val="bullet"/>
        <w:pStyle w:val="ListBullet"/>
        <w:lvlText w:val=""/>
        <w:lvlJc w:val="left"/>
        <w:pPr>
          <w:ind w:left="284" w:hanging="284"/>
        </w:pPr>
        <w:rPr>
          <w:rFonts w:ascii="Symbol" w:hAnsi="Symbol" w:hint="default"/>
        </w:rPr>
      </w:lvl>
    </w:lvlOverride>
    <w:lvlOverride w:ilvl="1">
      <w:lvl w:ilvl="1">
        <w:start w:val="1"/>
        <w:numFmt w:val="bullet"/>
        <w:pStyle w:val="ListBullet2"/>
        <w:lvlText w:val="–"/>
        <w:lvlJc w:val="left"/>
        <w:pPr>
          <w:ind w:left="568" w:hanging="284"/>
        </w:pPr>
        <w:rPr>
          <w:rFonts w:ascii="Arial" w:hAnsi="Arial" w:hint="default"/>
        </w:rPr>
      </w:lvl>
    </w:lvlOverride>
    <w:lvlOverride w:ilvl="2">
      <w:lvl w:ilvl="2">
        <w:start w:val="1"/>
        <w:numFmt w:val="bullet"/>
        <w:pStyle w:val="ListBullet3"/>
        <w:lvlText w:val=""/>
        <w:lvlJc w:val="left"/>
        <w:pPr>
          <w:ind w:left="852" w:hanging="284"/>
        </w:pPr>
        <w:rPr>
          <w:rFonts w:ascii="Symbol" w:hAnsi="Symbol"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3">
    <w:abstractNumId w:val="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6F"/>
    <w:rsid w:val="00001A3C"/>
    <w:rsid w:val="000068BC"/>
    <w:rsid w:val="000143FE"/>
    <w:rsid w:val="00016940"/>
    <w:rsid w:val="00017EF2"/>
    <w:rsid w:val="000256AE"/>
    <w:rsid w:val="00032788"/>
    <w:rsid w:val="00033BEB"/>
    <w:rsid w:val="00037774"/>
    <w:rsid w:val="00042ABE"/>
    <w:rsid w:val="00043381"/>
    <w:rsid w:val="00055A63"/>
    <w:rsid w:val="00056736"/>
    <w:rsid w:val="00057EFB"/>
    <w:rsid w:val="00064F49"/>
    <w:rsid w:val="00065FD3"/>
    <w:rsid w:val="00073219"/>
    <w:rsid w:val="00073EFA"/>
    <w:rsid w:val="000757F1"/>
    <w:rsid w:val="00075D1E"/>
    <w:rsid w:val="00077FCF"/>
    <w:rsid w:val="00081EBA"/>
    <w:rsid w:val="00082872"/>
    <w:rsid w:val="00082D1F"/>
    <w:rsid w:val="00083462"/>
    <w:rsid w:val="0009147C"/>
    <w:rsid w:val="000915C9"/>
    <w:rsid w:val="000A03F9"/>
    <w:rsid w:val="000A07AD"/>
    <w:rsid w:val="000A2AB7"/>
    <w:rsid w:val="000A2CDF"/>
    <w:rsid w:val="000B71CA"/>
    <w:rsid w:val="000C1B0B"/>
    <w:rsid w:val="000C4367"/>
    <w:rsid w:val="000C43CD"/>
    <w:rsid w:val="000C68FD"/>
    <w:rsid w:val="000C6A23"/>
    <w:rsid w:val="000D0ECF"/>
    <w:rsid w:val="000D53D5"/>
    <w:rsid w:val="000D5949"/>
    <w:rsid w:val="000E037E"/>
    <w:rsid w:val="000E04E7"/>
    <w:rsid w:val="000E1A6C"/>
    <w:rsid w:val="000E2126"/>
    <w:rsid w:val="000E28B3"/>
    <w:rsid w:val="000F10F4"/>
    <w:rsid w:val="000F140B"/>
    <w:rsid w:val="000F29A2"/>
    <w:rsid w:val="000F34B0"/>
    <w:rsid w:val="000F5BCA"/>
    <w:rsid w:val="00103DE5"/>
    <w:rsid w:val="00104B5A"/>
    <w:rsid w:val="00104F1A"/>
    <w:rsid w:val="00105883"/>
    <w:rsid w:val="00110180"/>
    <w:rsid w:val="00113667"/>
    <w:rsid w:val="00120B97"/>
    <w:rsid w:val="001212DB"/>
    <w:rsid w:val="001213D6"/>
    <w:rsid w:val="00121FB7"/>
    <w:rsid w:val="00124F13"/>
    <w:rsid w:val="00132069"/>
    <w:rsid w:val="00150302"/>
    <w:rsid w:val="001506B1"/>
    <w:rsid w:val="00156D5B"/>
    <w:rsid w:val="001570E1"/>
    <w:rsid w:val="00157D89"/>
    <w:rsid w:val="00160DB5"/>
    <w:rsid w:val="00162517"/>
    <w:rsid w:val="00166699"/>
    <w:rsid w:val="001675E6"/>
    <w:rsid w:val="001808F7"/>
    <w:rsid w:val="001845E1"/>
    <w:rsid w:val="00185B60"/>
    <w:rsid w:val="001A10C9"/>
    <w:rsid w:val="001A393B"/>
    <w:rsid w:val="001B04ED"/>
    <w:rsid w:val="001B3B72"/>
    <w:rsid w:val="001C383E"/>
    <w:rsid w:val="001C430A"/>
    <w:rsid w:val="001D3B7B"/>
    <w:rsid w:val="001D7A51"/>
    <w:rsid w:val="001E6368"/>
    <w:rsid w:val="001E6E6F"/>
    <w:rsid w:val="001F4F51"/>
    <w:rsid w:val="00203C7E"/>
    <w:rsid w:val="00204327"/>
    <w:rsid w:val="002065D0"/>
    <w:rsid w:val="00210496"/>
    <w:rsid w:val="00212222"/>
    <w:rsid w:val="00214AB1"/>
    <w:rsid w:val="00220042"/>
    <w:rsid w:val="00220E35"/>
    <w:rsid w:val="00222883"/>
    <w:rsid w:val="002308E9"/>
    <w:rsid w:val="00237563"/>
    <w:rsid w:val="002411B7"/>
    <w:rsid w:val="00241BC9"/>
    <w:rsid w:val="00241C02"/>
    <w:rsid w:val="00247670"/>
    <w:rsid w:val="00252B8B"/>
    <w:rsid w:val="00253619"/>
    <w:rsid w:val="00255A9A"/>
    <w:rsid w:val="0025669F"/>
    <w:rsid w:val="00257E89"/>
    <w:rsid w:val="00257EB6"/>
    <w:rsid w:val="00260C82"/>
    <w:rsid w:val="00260DE7"/>
    <w:rsid w:val="0026502F"/>
    <w:rsid w:val="00271E79"/>
    <w:rsid w:val="00281F76"/>
    <w:rsid w:val="00286DB6"/>
    <w:rsid w:val="0029202A"/>
    <w:rsid w:val="00294556"/>
    <w:rsid w:val="00295E0F"/>
    <w:rsid w:val="00296CF7"/>
    <w:rsid w:val="002A0391"/>
    <w:rsid w:val="002A57BB"/>
    <w:rsid w:val="002B3B71"/>
    <w:rsid w:val="002B3E8C"/>
    <w:rsid w:val="002B526C"/>
    <w:rsid w:val="002B7AA3"/>
    <w:rsid w:val="002B7DE4"/>
    <w:rsid w:val="002C0A09"/>
    <w:rsid w:val="002C3386"/>
    <w:rsid w:val="002C3B94"/>
    <w:rsid w:val="002C3F78"/>
    <w:rsid w:val="002C491E"/>
    <w:rsid w:val="002C5BE1"/>
    <w:rsid w:val="002C6EA8"/>
    <w:rsid w:val="002C7C6A"/>
    <w:rsid w:val="002D040C"/>
    <w:rsid w:val="002D2FDE"/>
    <w:rsid w:val="002D472F"/>
    <w:rsid w:val="002D47C9"/>
    <w:rsid w:val="002D5127"/>
    <w:rsid w:val="002D528C"/>
    <w:rsid w:val="002D6492"/>
    <w:rsid w:val="002E628D"/>
    <w:rsid w:val="002F7BBC"/>
    <w:rsid w:val="00301106"/>
    <w:rsid w:val="00303015"/>
    <w:rsid w:val="00303A81"/>
    <w:rsid w:val="00306EAE"/>
    <w:rsid w:val="00307371"/>
    <w:rsid w:val="00311F02"/>
    <w:rsid w:val="003352C9"/>
    <w:rsid w:val="0033621D"/>
    <w:rsid w:val="003371B4"/>
    <w:rsid w:val="00337317"/>
    <w:rsid w:val="0034185B"/>
    <w:rsid w:val="00343667"/>
    <w:rsid w:val="00343874"/>
    <w:rsid w:val="00347922"/>
    <w:rsid w:val="00352269"/>
    <w:rsid w:val="00357C4E"/>
    <w:rsid w:val="00360393"/>
    <w:rsid w:val="00361F8A"/>
    <w:rsid w:val="00363B60"/>
    <w:rsid w:val="003703D1"/>
    <w:rsid w:val="003741F4"/>
    <w:rsid w:val="0037430B"/>
    <w:rsid w:val="00377B81"/>
    <w:rsid w:val="003805EF"/>
    <w:rsid w:val="003825F8"/>
    <w:rsid w:val="00383E40"/>
    <w:rsid w:val="00385A22"/>
    <w:rsid w:val="00390A50"/>
    <w:rsid w:val="00391A34"/>
    <w:rsid w:val="0039234B"/>
    <w:rsid w:val="00393CA4"/>
    <w:rsid w:val="00395FF7"/>
    <w:rsid w:val="00397E96"/>
    <w:rsid w:val="003A0816"/>
    <w:rsid w:val="003A1578"/>
    <w:rsid w:val="003A1BBB"/>
    <w:rsid w:val="003A5819"/>
    <w:rsid w:val="003C00A4"/>
    <w:rsid w:val="003C1269"/>
    <w:rsid w:val="003C5DBD"/>
    <w:rsid w:val="003C6991"/>
    <w:rsid w:val="003C75BF"/>
    <w:rsid w:val="003D279B"/>
    <w:rsid w:val="003D7FD7"/>
    <w:rsid w:val="003E58E4"/>
    <w:rsid w:val="003E68E6"/>
    <w:rsid w:val="003E7CD9"/>
    <w:rsid w:val="003F07FA"/>
    <w:rsid w:val="00402880"/>
    <w:rsid w:val="00403881"/>
    <w:rsid w:val="00407B77"/>
    <w:rsid w:val="00407F41"/>
    <w:rsid w:val="0041071B"/>
    <w:rsid w:val="0042008E"/>
    <w:rsid w:val="00422C6D"/>
    <w:rsid w:val="00423170"/>
    <w:rsid w:val="00424473"/>
    <w:rsid w:val="00424959"/>
    <w:rsid w:val="00426E07"/>
    <w:rsid w:val="00432BD8"/>
    <w:rsid w:val="0043401A"/>
    <w:rsid w:val="004419CD"/>
    <w:rsid w:val="00441FC3"/>
    <w:rsid w:val="00446695"/>
    <w:rsid w:val="00450141"/>
    <w:rsid w:val="00454513"/>
    <w:rsid w:val="0045635E"/>
    <w:rsid w:val="00474C53"/>
    <w:rsid w:val="00475D53"/>
    <w:rsid w:val="00480AD4"/>
    <w:rsid w:val="0048719B"/>
    <w:rsid w:val="0048771F"/>
    <w:rsid w:val="00493C2E"/>
    <w:rsid w:val="004964EC"/>
    <w:rsid w:val="00496B0F"/>
    <w:rsid w:val="00497BC3"/>
    <w:rsid w:val="004A59F9"/>
    <w:rsid w:val="004B094E"/>
    <w:rsid w:val="004B1258"/>
    <w:rsid w:val="004B1F1F"/>
    <w:rsid w:val="004B2FB9"/>
    <w:rsid w:val="004B6846"/>
    <w:rsid w:val="004C1F0B"/>
    <w:rsid w:val="004C59E7"/>
    <w:rsid w:val="004D4553"/>
    <w:rsid w:val="004D5FDF"/>
    <w:rsid w:val="004E5C31"/>
    <w:rsid w:val="004E796D"/>
    <w:rsid w:val="004F03F6"/>
    <w:rsid w:val="004F0DE7"/>
    <w:rsid w:val="004F23D1"/>
    <w:rsid w:val="004F2F5C"/>
    <w:rsid w:val="004F3EFD"/>
    <w:rsid w:val="004F5AD4"/>
    <w:rsid w:val="004F6DBA"/>
    <w:rsid w:val="004F738A"/>
    <w:rsid w:val="004F76C2"/>
    <w:rsid w:val="00500DAE"/>
    <w:rsid w:val="00506C2D"/>
    <w:rsid w:val="00510604"/>
    <w:rsid w:val="005243EA"/>
    <w:rsid w:val="005271FE"/>
    <w:rsid w:val="005307AA"/>
    <w:rsid w:val="0053103E"/>
    <w:rsid w:val="00531EF1"/>
    <w:rsid w:val="00532FB4"/>
    <w:rsid w:val="00533813"/>
    <w:rsid w:val="00535247"/>
    <w:rsid w:val="00536ACD"/>
    <w:rsid w:val="00541152"/>
    <w:rsid w:val="005416C4"/>
    <w:rsid w:val="00541C6D"/>
    <w:rsid w:val="00542B89"/>
    <w:rsid w:val="00542EF2"/>
    <w:rsid w:val="00545C39"/>
    <w:rsid w:val="0055036F"/>
    <w:rsid w:val="005563E9"/>
    <w:rsid w:val="00556B3E"/>
    <w:rsid w:val="00560E01"/>
    <w:rsid w:val="005657B2"/>
    <w:rsid w:val="00566049"/>
    <w:rsid w:val="00566692"/>
    <w:rsid w:val="00567773"/>
    <w:rsid w:val="00573F75"/>
    <w:rsid w:val="00574728"/>
    <w:rsid w:val="00576C73"/>
    <w:rsid w:val="00580399"/>
    <w:rsid w:val="00581846"/>
    <w:rsid w:val="00582593"/>
    <w:rsid w:val="005852CA"/>
    <w:rsid w:val="0058536D"/>
    <w:rsid w:val="005903BA"/>
    <w:rsid w:val="00592D41"/>
    <w:rsid w:val="005A0BEB"/>
    <w:rsid w:val="005A17D0"/>
    <w:rsid w:val="005A3B07"/>
    <w:rsid w:val="005A571E"/>
    <w:rsid w:val="005C0288"/>
    <w:rsid w:val="005C09D4"/>
    <w:rsid w:val="005C0D61"/>
    <w:rsid w:val="005C62C6"/>
    <w:rsid w:val="005D108E"/>
    <w:rsid w:val="005D7741"/>
    <w:rsid w:val="005F67DC"/>
    <w:rsid w:val="005F69EB"/>
    <w:rsid w:val="005F7313"/>
    <w:rsid w:val="00600C46"/>
    <w:rsid w:val="00601784"/>
    <w:rsid w:val="00603CAD"/>
    <w:rsid w:val="00605A27"/>
    <w:rsid w:val="00606611"/>
    <w:rsid w:val="00612683"/>
    <w:rsid w:val="00612EFC"/>
    <w:rsid w:val="006133F3"/>
    <w:rsid w:val="006135D1"/>
    <w:rsid w:val="0061407E"/>
    <w:rsid w:val="00617210"/>
    <w:rsid w:val="00617936"/>
    <w:rsid w:val="0062070B"/>
    <w:rsid w:val="006243FE"/>
    <w:rsid w:val="0062613A"/>
    <w:rsid w:val="006278D9"/>
    <w:rsid w:val="00627C2B"/>
    <w:rsid w:val="00635722"/>
    <w:rsid w:val="00636344"/>
    <w:rsid w:val="00644B4A"/>
    <w:rsid w:val="006479D1"/>
    <w:rsid w:val="00650B61"/>
    <w:rsid w:val="006517D1"/>
    <w:rsid w:val="00651946"/>
    <w:rsid w:val="0065280D"/>
    <w:rsid w:val="00655298"/>
    <w:rsid w:val="00655E86"/>
    <w:rsid w:val="00664667"/>
    <w:rsid w:val="0066512E"/>
    <w:rsid w:val="00672520"/>
    <w:rsid w:val="00676AAC"/>
    <w:rsid w:val="006773AC"/>
    <w:rsid w:val="006773B4"/>
    <w:rsid w:val="00677990"/>
    <w:rsid w:val="00680EA0"/>
    <w:rsid w:val="00684529"/>
    <w:rsid w:val="00684CDB"/>
    <w:rsid w:val="006A13C9"/>
    <w:rsid w:val="006A1F6F"/>
    <w:rsid w:val="006A35C1"/>
    <w:rsid w:val="006A6658"/>
    <w:rsid w:val="006B7967"/>
    <w:rsid w:val="006C00EB"/>
    <w:rsid w:val="006C505F"/>
    <w:rsid w:val="006C6CD5"/>
    <w:rsid w:val="006D3F55"/>
    <w:rsid w:val="006D4F41"/>
    <w:rsid w:val="006D5815"/>
    <w:rsid w:val="006E14D5"/>
    <w:rsid w:val="006E1EEA"/>
    <w:rsid w:val="006E2ADF"/>
    <w:rsid w:val="006E2BC5"/>
    <w:rsid w:val="006E30D3"/>
    <w:rsid w:val="006E400E"/>
    <w:rsid w:val="006E6F37"/>
    <w:rsid w:val="006F1D47"/>
    <w:rsid w:val="006F1F28"/>
    <w:rsid w:val="006F23B1"/>
    <w:rsid w:val="006F56A0"/>
    <w:rsid w:val="007021B4"/>
    <w:rsid w:val="00705B7B"/>
    <w:rsid w:val="007116A2"/>
    <w:rsid w:val="00720B4C"/>
    <w:rsid w:val="00722C32"/>
    <w:rsid w:val="00722E77"/>
    <w:rsid w:val="00724409"/>
    <w:rsid w:val="00725696"/>
    <w:rsid w:val="00725906"/>
    <w:rsid w:val="00726975"/>
    <w:rsid w:val="00726F1F"/>
    <w:rsid w:val="00727E4F"/>
    <w:rsid w:val="00727E66"/>
    <w:rsid w:val="00731598"/>
    <w:rsid w:val="007346C0"/>
    <w:rsid w:val="007349CB"/>
    <w:rsid w:val="007352B3"/>
    <w:rsid w:val="00737FCE"/>
    <w:rsid w:val="00741825"/>
    <w:rsid w:val="0074391C"/>
    <w:rsid w:val="00743B4A"/>
    <w:rsid w:val="00743CE4"/>
    <w:rsid w:val="00751550"/>
    <w:rsid w:val="00753E64"/>
    <w:rsid w:val="007575FF"/>
    <w:rsid w:val="0076376B"/>
    <w:rsid w:val="007676F1"/>
    <w:rsid w:val="00771A05"/>
    <w:rsid w:val="007721EA"/>
    <w:rsid w:val="007723E5"/>
    <w:rsid w:val="00773F07"/>
    <w:rsid w:val="00780DA0"/>
    <w:rsid w:val="00785130"/>
    <w:rsid w:val="007852EB"/>
    <w:rsid w:val="00790E40"/>
    <w:rsid w:val="00790FB8"/>
    <w:rsid w:val="007919BA"/>
    <w:rsid w:val="007925EF"/>
    <w:rsid w:val="00794C4A"/>
    <w:rsid w:val="0079507A"/>
    <w:rsid w:val="00796429"/>
    <w:rsid w:val="00797CD1"/>
    <w:rsid w:val="007A0D8B"/>
    <w:rsid w:val="007A11BE"/>
    <w:rsid w:val="007A3D87"/>
    <w:rsid w:val="007A4996"/>
    <w:rsid w:val="007A4FC6"/>
    <w:rsid w:val="007A5BD1"/>
    <w:rsid w:val="007A7975"/>
    <w:rsid w:val="007B51DD"/>
    <w:rsid w:val="007D6D1A"/>
    <w:rsid w:val="007E03A5"/>
    <w:rsid w:val="007E041A"/>
    <w:rsid w:val="007E2ECD"/>
    <w:rsid w:val="007E4AE6"/>
    <w:rsid w:val="007E5EFE"/>
    <w:rsid w:val="007E618D"/>
    <w:rsid w:val="007F0C71"/>
    <w:rsid w:val="007F1AAF"/>
    <w:rsid w:val="00801B7F"/>
    <w:rsid w:val="0080479F"/>
    <w:rsid w:val="008121FC"/>
    <w:rsid w:val="00813A48"/>
    <w:rsid w:val="00814A7C"/>
    <w:rsid w:val="008155D0"/>
    <w:rsid w:val="0082046F"/>
    <w:rsid w:val="00820AFD"/>
    <w:rsid w:val="008256FF"/>
    <w:rsid w:val="00825EEF"/>
    <w:rsid w:val="00831AE5"/>
    <w:rsid w:val="008320DA"/>
    <w:rsid w:val="0083463B"/>
    <w:rsid w:val="00843CEC"/>
    <w:rsid w:val="00863164"/>
    <w:rsid w:val="0086442A"/>
    <w:rsid w:val="0086647D"/>
    <w:rsid w:val="00886DF7"/>
    <w:rsid w:val="0089207D"/>
    <w:rsid w:val="00893855"/>
    <w:rsid w:val="008A5A91"/>
    <w:rsid w:val="008A5F0E"/>
    <w:rsid w:val="008D128E"/>
    <w:rsid w:val="008D29E5"/>
    <w:rsid w:val="008D37BD"/>
    <w:rsid w:val="008D495B"/>
    <w:rsid w:val="008D5DD6"/>
    <w:rsid w:val="008E1571"/>
    <w:rsid w:val="008E28F8"/>
    <w:rsid w:val="008E3105"/>
    <w:rsid w:val="008E469A"/>
    <w:rsid w:val="008E554D"/>
    <w:rsid w:val="008E66EA"/>
    <w:rsid w:val="008F1020"/>
    <w:rsid w:val="008F732B"/>
    <w:rsid w:val="008F7E7A"/>
    <w:rsid w:val="00900DF0"/>
    <w:rsid w:val="00901B8C"/>
    <w:rsid w:val="00903544"/>
    <w:rsid w:val="009046BD"/>
    <w:rsid w:val="009103EC"/>
    <w:rsid w:val="009146D5"/>
    <w:rsid w:val="009174A7"/>
    <w:rsid w:val="00917D22"/>
    <w:rsid w:val="00920209"/>
    <w:rsid w:val="00920DF5"/>
    <w:rsid w:val="00924B15"/>
    <w:rsid w:val="009344B5"/>
    <w:rsid w:val="00934FFB"/>
    <w:rsid w:val="00935EB1"/>
    <w:rsid w:val="00936B58"/>
    <w:rsid w:val="00943EAD"/>
    <w:rsid w:val="00945629"/>
    <w:rsid w:val="00947417"/>
    <w:rsid w:val="009479BF"/>
    <w:rsid w:val="00950409"/>
    <w:rsid w:val="00950FB1"/>
    <w:rsid w:val="00952665"/>
    <w:rsid w:val="00953503"/>
    <w:rsid w:val="009556A3"/>
    <w:rsid w:val="009661EB"/>
    <w:rsid w:val="009754F2"/>
    <w:rsid w:val="00976878"/>
    <w:rsid w:val="0098338B"/>
    <w:rsid w:val="00983AF0"/>
    <w:rsid w:val="009862B3"/>
    <w:rsid w:val="009A62A4"/>
    <w:rsid w:val="009B01B7"/>
    <w:rsid w:val="009B080A"/>
    <w:rsid w:val="009B185C"/>
    <w:rsid w:val="009B2F1C"/>
    <w:rsid w:val="009B3E27"/>
    <w:rsid w:val="009B7B27"/>
    <w:rsid w:val="009C7E23"/>
    <w:rsid w:val="009D44E6"/>
    <w:rsid w:val="009E1F58"/>
    <w:rsid w:val="009E302E"/>
    <w:rsid w:val="009E4D30"/>
    <w:rsid w:val="009E6EDF"/>
    <w:rsid w:val="009F07A5"/>
    <w:rsid w:val="009F160B"/>
    <w:rsid w:val="009F6886"/>
    <w:rsid w:val="009F6D73"/>
    <w:rsid w:val="00A015F0"/>
    <w:rsid w:val="00A02E8B"/>
    <w:rsid w:val="00A038C0"/>
    <w:rsid w:val="00A04622"/>
    <w:rsid w:val="00A04880"/>
    <w:rsid w:val="00A105F2"/>
    <w:rsid w:val="00A119C9"/>
    <w:rsid w:val="00A1348E"/>
    <w:rsid w:val="00A171DC"/>
    <w:rsid w:val="00A20782"/>
    <w:rsid w:val="00A2094F"/>
    <w:rsid w:val="00A20F1E"/>
    <w:rsid w:val="00A21C10"/>
    <w:rsid w:val="00A264FE"/>
    <w:rsid w:val="00A27CC6"/>
    <w:rsid w:val="00A30D6D"/>
    <w:rsid w:val="00A31061"/>
    <w:rsid w:val="00A3270A"/>
    <w:rsid w:val="00A40680"/>
    <w:rsid w:val="00A42771"/>
    <w:rsid w:val="00A47629"/>
    <w:rsid w:val="00A50C8B"/>
    <w:rsid w:val="00A545AB"/>
    <w:rsid w:val="00A63051"/>
    <w:rsid w:val="00A637FA"/>
    <w:rsid w:val="00A72634"/>
    <w:rsid w:val="00A73AF1"/>
    <w:rsid w:val="00A75888"/>
    <w:rsid w:val="00A75FEE"/>
    <w:rsid w:val="00A767A3"/>
    <w:rsid w:val="00A85FA2"/>
    <w:rsid w:val="00A9345E"/>
    <w:rsid w:val="00A934D3"/>
    <w:rsid w:val="00A94E87"/>
    <w:rsid w:val="00A97443"/>
    <w:rsid w:val="00A977EF"/>
    <w:rsid w:val="00AA749B"/>
    <w:rsid w:val="00AB0C55"/>
    <w:rsid w:val="00AB5FA5"/>
    <w:rsid w:val="00AB724F"/>
    <w:rsid w:val="00AC4001"/>
    <w:rsid w:val="00AD76A1"/>
    <w:rsid w:val="00AE6757"/>
    <w:rsid w:val="00AE6A3A"/>
    <w:rsid w:val="00AF5018"/>
    <w:rsid w:val="00AF6157"/>
    <w:rsid w:val="00AF6BAD"/>
    <w:rsid w:val="00AF7DCE"/>
    <w:rsid w:val="00B04832"/>
    <w:rsid w:val="00B05DA6"/>
    <w:rsid w:val="00B121BD"/>
    <w:rsid w:val="00B146AC"/>
    <w:rsid w:val="00B14D35"/>
    <w:rsid w:val="00B161C7"/>
    <w:rsid w:val="00B17122"/>
    <w:rsid w:val="00B20E1E"/>
    <w:rsid w:val="00B23EF9"/>
    <w:rsid w:val="00B34A89"/>
    <w:rsid w:val="00B353C6"/>
    <w:rsid w:val="00B36C77"/>
    <w:rsid w:val="00B40211"/>
    <w:rsid w:val="00B406F7"/>
    <w:rsid w:val="00B4330C"/>
    <w:rsid w:val="00B4755F"/>
    <w:rsid w:val="00B56791"/>
    <w:rsid w:val="00B56B25"/>
    <w:rsid w:val="00B56C73"/>
    <w:rsid w:val="00B57501"/>
    <w:rsid w:val="00B70D99"/>
    <w:rsid w:val="00B72498"/>
    <w:rsid w:val="00B77344"/>
    <w:rsid w:val="00B809CD"/>
    <w:rsid w:val="00B83597"/>
    <w:rsid w:val="00B862F0"/>
    <w:rsid w:val="00B91C7F"/>
    <w:rsid w:val="00B936B8"/>
    <w:rsid w:val="00B972AB"/>
    <w:rsid w:val="00BA26F2"/>
    <w:rsid w:val="00BA2EEF"/>
    <w:rsid w:val="00BA3E86"/>
    <w:rsid w:val="00BA777D"/>
    <w:rsid w:val="00BB2087"/>
    <w:rsid w:val="00BB48B9"/>
    <w:rsid w:val="00BB5904"/>
    <w:rsid w:val="00BC111A"/>
    <w:rsid w:val="00BC1376"/>
    <w:rsid w:val="00BC21AD"/>
    <w:rsid w:val="00BC6329"/>
    <w:rsid w:val="00BC6724"/>
    <w:rsid w:val="00BD0231"/>
    <w:rsid w:val="00BD0D9B"/>
    <w:rsid w:val="00BD2A8E"/>
    <w:rsid w:val="00BD2AB3"/>
    <w:rsid w:val="00BD3445"/>
    <w:rsid w:val="00BD5AE7"/>
    <w:rsid w:val="00BE12EA"/>
    <w:rsid w:val="00BE1710"/>
    <w:rsid w:val="00BE2FBB"/>
    <w:rsid w:val="00BF07FE"/>
    <w:rsid w:val="00BF08BC"/>
    <w:rsid w:val="00BF6E17"/>
    <w:rsid w:val="00BF7FB5"/>
    <w:rsid w:val="00C00568"/>
    <w:rsid w:val="00C00BF1"/>
    <w:rsid w:val="00C0112E"/>
    <w:rsid w:val="00C0462D"/>
    <w:rsid w:val="00C04F08"/>
    <w:rsid w:val="00C134E2"/>
    <w:rsid w:val="00C2116C"/>
    <w:rsid w:val="00C2687B"/>
    <w:rsid w:val="00C32D27"/>
    <w:rsid w:val="00C36FCD"/>
    <w:rsid w:val="00C41521"/>
    <w:rsid w:val="00C461A9"/>
    <w:rsid w:val="00C4714D"/>
    <w:rsid w:val="00C55AF8"/>
    <w:rsid w:val="00C573F8"/>
    <w:rsid w:val="00C647E9"/>
    <w:rsid w:val="00C65BE3"/>
    <w:rsid w:val="00C661B9"/>
    <w:rsid w:val="00C72D96"/>
    <w:rsid w:val="00C7540B"/>
    <w:rsid w:val="00C75490"/>
    <w:rsid w:val="00C77D7E"/>
    <w:rsid w:val="00C8052C"/>
    <w:rsid w:val="00C80D95"/>
    <w:rsid w:val="00C8749B"/>
    <w:rsid w:val="00C90B98"/>
    <w:rsid w:val="00CA29CB"/>
    <w:rsid w:val="00CA41CF"/>
    <w:rsid w:val="00CA4410"/>
    <w:rsid w:val="00CA4F8B"/>
    <w:rsid w:val="00CA6435"/>
    <w:rsid w:val="00CB1847"/>
    <w:rsid w:val="00CB43A2"/>
    <w:rsid w:val="00CB74DA"/>
    <w:rsid w:val="00CC0EB7"/>
    <w:rsid w:val="00CC213C"/>
    <w:rsid w:val="00CC3DD5"/>
    <w:rsid w:val="00CD1FEA"/>
    <w:rsid w:val="00CD6752"/>
    <w:rsid w:val="00CD6B20"/>
    <w:rsid w:val="00CD6F54"/>
    <w:rsid w:val="00CE30BD"/>
    <w:rsid w:val="00CE4B69"/>
    <w:rsid w:val="00CE5CF8"/>
    <w:rsid w:val="00CE6A19"/>
    <w:rsid w:val="00CE6EDF"/>
    <w:rsid w:val="00CE763C"/>
    <w:rsid w:val="00CF2B70"/>
    <w:rsid w:val="00CF5E6F"/>
    <w:rsid w:val="00D07E7D"/>
    <w:rsid w:val="00D101DC"/>
    <w:rsid w:val="00D11960"/>
    <w:rsid w:val="00D11A1E"/>
    <w:rsid w:val="00D14DDE"/>
    <w:rsid w:val="00D24263"/>
    <w:rsid w:val="00D334A1"/>
    <w:rsid w:val="00D341DE"/>
    <w:rsid w:val="00D3519E"/>
    <w:rsid w:val="00D379C4"/>
    <w:rsid w:val="00D40DA2"/>
    <w:rsid w:val="00D429FE"/>
    <w:rsid w:val="00D44E20"/>
    <w:rsid w:val="00D451B9"/>
    <w:rsid w:val="00D474A4"/>
    <w:rsid w:val="00D47616"/>
    <w:rsid w:val="00D61C86"/>
    <w:rsid w:val="00D63655"/>
    <w:rsid w:val="00D65A1B"/>
    <w:rsid w:val="00D71612"/>
    <w:rsid w:val="00D7231C"/>
    <w:rsid w:val="00D72C12"/>
    <w:rsid w:val="00D732CA"/>
    <w:rsid w:val="00D74A53"/>
    <w:rsid w:val="00D75608"/>
    <w:rsid w:val="00D759E4"/>
    <w:rsid w:val="00D75A85"/>
    <w:rsid w:val="00D760FE"/>
    <w:rsid w:val="00D827B1"/>
    <w:rsid w:val="00D83C56"/>
    <w:rsid w:val="00D90086"/>
    <w:rsid w:val="00D90A97"/>
    <w:rsid w:val="00D97443"/>
    <w:rsid w:val="00D977CF"/>
    <w:rsid w:val="00DA4CB5"/>
    <w:rsid w:val="00DA769F"/>
    <w:rsid w:val="00DB2A52"/>
    <w:rsid w:val="00DB7BB3"/>
    <w:rsid w:val="00DD1082"/>
    <w:rsid w:val="00DE3014"/>
    <w:rsid w:val="00DE38D7"/>
    <w:rsid w:val="00DE7ED9"/>
    <w:rsid w:val="00DF14C0"/>
    <w:rsid w:val="00DF4973"/>
    <w:rsid w:val="00DF4B2E"/>
    <w:rsid w:val="00E108FF"/>
    <w:rsid w:val="00E11F9C"/>
    <w:rsid w:val="00E173B6"/>
    <w:rsid w:val="00E237D3"/>
    <w:rsid w:val="00E244F1"/>
    <w:rsid w:val="00E24BDC"/>
    <w:rsid w:val="00E32FD9"/>
    <w:rsid w:val="00E34095"/>
    <w:rsid w:val="00E36DAC"/>
    <w:rsid w:val="00E40EDA"/>
    <w:rsid w:val="00E41328"/>
    <w:rsid w:val="00E42052"/>
    <w:rsid w:val="00E46DD4"/>
    <w:rsid w:val="00E46E4F"/>
    <w:rsid w:val="00E52A0F"/>
    <w:rsid w:val="00E64CBF"/>
    <w:rsid w:val="00E65539"/>
    <w:rsid w:val="00E709BA"/>
    <w:rsid w:val="00E70FAF"/>
    <w:rsid w:val="00E7185E"/>
    <w:rsid w:val="00E73BCA"/>
    <w:rsid w:val="00E73BF7"/>
    <w:rsid w:val="00E75212"/>
    <w:rsid w:val="00E815F9"/>
    <w:rsid w:val="00E8244C"/>
    <w:rsid w:val="00E832D3"/>
    <w:rsid w:val="00E96DB2"/>
    <w:rsid w:val="00E96E74"/>
    <w:rsid w:val="00EA2E2D"/>
    <w:rsid w:val="00EA36EE"/>
    <w:rsid w:val="00EA4E6B"/>
    <w:rsid w:val="00EA5C59"/>
    <w:rsid w:val="00EA7160"/>
    <w:rsid w:val="00EB0619"/>
    <w:rsid w:val="00EB2DF9"/>
    <w:rsid w:val="00EB3AE5"/>
    <w:rsid w:val="00EB414D"/>
    <w:rsid w:val="00EB4924"/>
    <w:rsid w:val="00EB68A5"/>
    <w:rsid w:val="00EC3EAA"/>
    <w:rsid w:val="00EC7040"/>
    <w:rsid w:val="00EC7339"/>
    <w:rsid w:val="00ED06E6"/>
    <w:rsid w:val="00ED07D6"/>
    <w:rsid w:val="00ED316C"/>
    <w:rsid w:val="00ED3271"/>
    <w:rsid w:val="00ED349A"/>
    <w:rsid w:val="00ED5415"/>
    <w:rsid w:val="00ED5DFC"/>
    <w:rsid w:val="00EE0ACF"/>
    <w:rsid w:val="00EE3840"/>
    <w:rsid w:val="00EF0A38"/>
    <w:rsid w:val="00EF3C02"/>
    <w:rsid w:val="00F0128E"/>
    <w:rsid w:val="00F021FC"/>
    <w:rsid w:val="00F055E2"/>
    <w:rsid w:val="00F108B2"/>
    <w:rsid w:val="00F110B5"/>
    <w:rsid w:val="00F12718"/>
    <w:rsid w:val="00F15DE6"/>
    <w:rsid w:val="00F270C7"/>
    <w:rsid w:val="00F3421F"/>
    <w:rsid w:val="00F34CEB"/>
    <w:rsid w:val="00F36C92"/>
    <w:rsid w:val="00F4185A"/>
    <w:rsid w:val="00F420F6"/>
    <w:rsid w:val="00F476D0"/>
    <w:rsid w:val="00F531BE"/>
    <w:rsid w:val="00F55D36"/>
    <w:rsid w:val="00F6286D"/>
    <w:rsid w:val="00F65FF9"/>
    <w:rsid w:val="00F70996"/>
    <w:rsid w:val="00F74250"/>
    <w:rsid w:val="00F74BC1"/>
    <w:rsid w:val="00F80610"/>
    <w:rsid w:val="00F8170E"/>
    <w:rsid w:val="00F858E5"/>
    <w:rsid w:val="00F87DA9"/>
    <w:rsid w:val="00F919DB"/>
    <w:rsid w:val="00F91FC1"/>
    <w:rsid w:val="00F9559A"/>
    <w:rsid w:val="00F973E4"/>
    <w:rsid w:val="00FA3262"/>
    <w:rsid w:val="00FA68DF"/>
    <w:rsid w:val="00FA7528"/>
    <w:rsid w:val="00FB1BDF"/>
    <w:rsid w:val="00FB2A00"/>
    <w:rsid w:val="00FB7E9F"/>
    <w:rsid w:val="00FC05D4"/>
    <w:rsid w:val="00FC08D9"/>
    <w:rsid w:val="00FC235B"/>
    <w:rsid w:val="00FC597C"/>
    <w:rsid w:val="00FC5E1B"/>
    <w:rsid w:val="00FD279A"/>
    <w:rsid w:val="00FD4336"/>
    <w:rsid w:val="00FD6FE4"/>
    <w:rsid w:val="00FE69C2"/>
    <w:rsid w:val="00FE7CCE"/>
    <w:rsid w:val="00FF3B45"/>
    <w:rsid w:val="00FF6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6BEE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1"/>
    <w:lsdException w:name="toc 4" w:semiHidden="1" w:uiPriority="96"/>
    <w:lsdException w:name="toc 5" w:semiHidden="1" w:uiPriority="96"/>
    <w:lsdException w:name="toc 6" w:semiHidden="1" w:uiPriority="96"/>
    <w:lsdException w:name="toc 7" w:semiHidden="1" w:uiPriority="96"/>
    <w:lsdException w:name="toc 8" w:semiHidden="1" w:uiPriority="96"/>
    <w:lsdException w:name="toc 9" w:semiHidden="1" w:uiPriority="91" w:unhideWhenUsed="1"/>
    <w:lsdException w:name="Normal Indent" w:semiHidden="1" w:unhideWhenUsed="1"/>
    <w:lsdException w:name="footnote text" w:semiHidden="1" w:unhideWhenUsed="1"/>
    <w:lsdException w:name="annotation text" w:semiHidden="1" w:unhideWhenUsed="1"/>
    <w:lsdException w:name="header" w:semiHidden="1" w:uiPriority="85" w:unhideWhenUsed="1"/>
    <w:lsdException w:name="footer" w:semiHidden="1" w:uiPriority="8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CDB"/>
    <w:pPr>
      <w:keepLines/>
    </w:pPr>
  </w:style>
  <w:style w:type="paragraph" w:styleId="Heading10">
    <w:name w:val="heading 1"/>
    <w:next w:val="Normal"/>
    <w:link w:val="Heading1Char"/>
    <w:uiPriority w:val="9"/>
    <w:qFormat/>
    <w:rsid w:val="00A97443"/>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82046F"/>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5F7313"/>
    <w:pPr>
      <w:numPr>
        <w:ilvl w:val="2"/>
      </w:numPr>
      <w:tabs>
        <w:tab w:val="clear" w:pos="9582"/>
        <w:tab w:val="left" w:pos="850"/>
        <w:tab w:val="right" w:pos="7710"/>
      </w:tabs>
      <w:spacing w:after="120"/>
      <w:outlineLvl w:val="2"/>
    </w:pPr>
    <w:rPr>
      <w:bCs/>
      <w:sz w:val="22"/>
    </w:rPr>
  </w:style>
  <w:style w:type="paragraph" w:styleId="Heading4">
    <w:name w:val="heading 4"/>
    <w:basedOn w:val="Heading30"/>
    <w:next w:val="Normal"/>
    <w:link w:val="Heading4Char"/>
    <w:uiPriority w:val="9"/>
    <w:qFormat/>
    <w:rsid w:val="00393CA4"/>
    <w:pPr>
      <w:numPr>
        <w:ilvl w:val="3"/>
      </w:numPr>
      <w:spacing w:before="180"/>
      <w:outlineLvl w:val="3"/>
    </w:pPr>
    <w:rPr>
      <w:b w:val="0"/>
      <w:bCs w:val="0"/>
      <w:i/>
      <w:iCs/>
      <w:spacing w:val="0"/>
    </w:rPr>
  </w:style>
  <w:style w:type="paragraph" w:styleId="Heading5">
    <w:name w:val="heading 5"/>
    <w:basedOn w:val="Heading4"/>
    <w:next w:val="Normal"/>
    <w:link w:val="Heading5Char"/>
    <w:uiPriority w:val="9"/>
    <w:unhideWhenUsed/>
    <w:rsid w:val="00EB0619"/>
    <w:pPr>
      <w:numPr>
        <w:ilvl w:val="4"/>
      </w:numPr>
      <w:outlineLvl w:val="4"/>
    </w:pPr>
    <w:rPr>
      <w:b/>
      <w:i w:val="0"/>
      <w:sz w:val="21"/>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A97443"/>
    <w:rPr>
      <w:rFonts w:asciiTheme="majorHAnsi" w:eastAsiaTheme="majorEastAsia" w:hAnsiTheme="majorHAnsi" w:cstheme="majorBidi"/>
      <w:b/>
      <w:bCs/>
      <w:caps/>
      <w:spacing w:val="-2"/>
      <w:sz w:val="26"/>
      <w:szCs w:val="28"/>
    </w:rPr>
  </w:style>
  <w:style w:type="paragraph" w:customStyle="1" w:styleId="Chapterheading">
    <w:name w:val="Chapter heading"/>
    <w:basedOn w:val="Normal"/>
    <w:next w:val="Heading10"/>
    <w:uiPriority w:val="89"/>
    <w:rsid w:val="0061407E"/>
    <w:pPr>
      <w:keepNext/>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Heading3Char">
    <w:name w:val="Heading 3 Char"/>
    <w:basedOn w:val="DefaultParagraphFont"/>
    <w:link w:val="Heading30"/>
    <w:uiPriority w:val="9"/>
    <w:rsid w:val="005F7313"/>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0"/>
    <w:uiPriority w:val="9"/>
    <w:rsid w:val="0082046F"/>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393CA4"/>
    <w:rPr>
      <w:rFonts w:asciiTheme="majorHAnsi" w:eastAsiaTheme="majorEastAsia" w:hAnsiTheme="majorHAnsi" w:cstheme="majorBidi"/>
      <w:i/>
      <w:iCs/>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link w:val="SourceChar"/>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52"/>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semiHidden/>
    <w:rsid w:val="007A11BE"/>
    <w:rPr>
      <w:rFonts w:eastAsiaTheme="minorEastAsia"/>
      <w:sz w:val="20"/>
      <w:lang w:val="en-US" w:eastAsia="ja-JP"/>
    </w:rPr>
  </w:style>
  <w:style w:type="character" w:styleId="SubtleEmphasis">
    <w:name w:val="Subtle Emphasis"/>
    <w:basedOn w:val="DefaultParagraphFont"/>
    <w:uiPriority w:val="98"/>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97"/>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6E14D5"/>
    <w:rPr>
      <w:rFonts w:asciiTheme="majorHAnsi" w:hAnsiTheme="majorHAnsi"/>
      <w:sz w:val="18"/>
    </w:rPr>
  </w:style>
  <w:style w:type="paragraph" w:customStyle="1" w:styleId="Footerodd">
    <w:name w:val="Footer (odd)"/>
    <w:basedOn w:val="Footer"/>
    <w:link w:val="FooteroddChar"/>
    <w:uiPriority w:val="84"/>
    <w:rsid w:val="006E14D5"/>
    <w:pPr>
      <w:pBdr>
        <w:top w:val="single" w:sz="6" w:space="1" w:color="auto"/>
      </w:pBdr>
      <w:tabs>
        <w:tab w:val="clear" w:pos="4513"/>
        <w:tab w:val="clear" w:pos="9026"/>
        <w:tab w:val="center" w:pos="4820"/>
        <w:tab w:val="right" w:pos="7710"/>
      </w:tabs>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241C02"/>
    <w:pPr>
      <w:tabs>
        <w:tab w:val="right" w:leader="dot" w:pos="9639"/>
      </w:tabs>
      <w:spacing w:before="60"/>
    </w:pPr>
    <w:rPr>
      <w:rFonts w:asciiTheme="majorHAnsi" w:hAnsiTheme="majorHAnsi"/>
      <w:b/>
      <w:spacing w:val="-2"/>
      <w:sz w:val="21"/>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EB0619"/>
    <w:rPr>
      <w:rFonts w:asciiTheme="majorHAnsi" w:eastAsiaTheme="majorEastAsia" w:hAnsiTheme="majorHAnsi" w:cstheme="majorBidi"/>
      <w:b/>
      <w:iCs/>
      <w:sz w:val="21"/>
      <w:szCs w:val="26"/>
    </w:rPr>
  </w:style>
  <w:style w:type="paragraph" w:styleId="ListBullet">
    <w:name w:val="List Bullet"/>
    <w:basedOn w:val="Normal"/>
    <w:link w:val="ListBulletChar"/>
    <w:uiPriority w:val="19"/>
    <w:qFormat/>
    <w:rsid w:val="00393CA4"/>
    <w:pPr>
      <w:numPr>
        <w:numId w:val="7"/>
      </w:numPr>
      <w:spacing w:before="60"/>
    </w:pPr>
  </w:style>
  <w:style w:type="paragraph" w:styleId="List">
    <w:name w:val="List"/>
    <w:basedOn w:val="Normal"/>
    <w:uiPriority w:val="29"/>
    <w:unhideWhenUsed/>
    <w:rsid w:val="008A5A91"/>
    <w:pPr>
      <w:keepLines w:val="0"/>
      <w:tabs>
        <w:tab w:val="left" w:pos="284"/>
        <w:tab w:val="left" w:pos="567"/>
        <w:tab w:val="left" w:pos="851"/>
      </w:tabs>
    </w:pPr>
  </w:style>
  <w:style w:type="paragraph" w:styleId="ListContinue">
    <w:name w:val="List Continue"/>
    <w:basedOn w:val="Normal"/>
    <w:uiPriority w:val="24"/>
    <w:qFormat/>
    <w:rsid w:val="006C00EB"/>
    <w:pPr>
      <w:spacing w:before="60"/>
      <w:ind w:left="284"/>
    </w:pPr>
  </w:style>
  <w:style w:type="paragraph" w:styleId="ListContinue2">
    <w:name w:val="List Continue 2"/>
    <w:basedOn w:val="Normal"/>
    <w:uiPriority w:val="24"/>
    <w:rsid w:val="006C00EB"/>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84"/>
    <w:rsid w:val="004419CD"/>
    <w:pPr>
      <w:tabs>
        <w:tab w:val="center" w:pos="4513"/>
        <w:tab w:val="right" w:pos="9026"/>
      </w:tabs>
      <w:spacing w:before="0"/>
    </w:pPr>
  </w:style>
  <w:style w:type="paragraph" w:styleId="TOC2">
    <w:name w:val="toc 2"/>
    <w:basedOn w:val="TOC1"/>
    <w:next w:val="Normal"/>
    <w:uiPriority w:val="39"/>
    <w:rsid w:val="003C6991"/>
    <w:pPr>
      <w:tabs>
        <w:tab w:val="clear" w:pos="9639"/>
        <w:tab w:val="right" w:leader="dot" w:pos="7711"/>
      </w:tabs>
      <w:spacing w:before="40" w:after="40" w:line="264" w:lineRule="auto"/>
      <w:ind w:left="284" w:right="567"/>
      <w:contextualSpacing/>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4B094E"/>
    <w:rPr>
      <w:color w:val="auto"/>
      <w:u w:val="single"/>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EB0619"/>
    <w:pPr>
      <w:keepNext/>
    </w:pPr>
    <w:rPr>
      <w:rFonts w:asciiTheme="majorHAnsi" w:hAnsiTheme="majorHAnsi"/>
      <w:b/>
    </w:rPr>
  </w:style>
  <w:style w:type="paragraph" w:customStyle="1" w:styleId="HighlightBoxBullet">
    <w:name w:val="Highlight Box Bullet"/>
    <w:basedOn w:val="ListBullet"/>
    <w:link w:val="HighlightBoxBulletChar"/>
    <w:uiPriority w:val="61"/>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link w:val="TableHeadingChar"/>
    <w:uiPriority w:val="49"/>
    <w:qFormat/>
    <w:rsid w:val="00FA7528"/>
    <w:pPr>
      <w:keepNext/>
      <w:tabs>
        <w:tab w:val="left" w:pos="1134"/>
        <w:tab w:val="right" w:pos="7711"/>
        <w:tab w:val="right" w:pos="9639"/>
        <w:tab w:val="right" w:pos="14742"/>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82046F"/>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C7540B"/>
    <w:pPr>
      <w:tabs>
        <w:tab w:val="left" w:pos="567"/>
        <w:tab w:val="right" w:leader="dot" w:pos="3629"/>
      </w:tabs>
      <w:spacing w:after="100"/>
      <w:ind w:left="567" w:hanging="567"/>
    </w:pPr>
    <w:rPr>
      <w:spacing w:val="-2"/>
    </w:rPr>
  </w:style>
  <w:style w:type="paragraph" w:customStyle="1" w:styleId="Footereven">
    <w:name w:val="Footer (even)"/>
    <w:basedOn w:val="Footer"/>
    <w:link w:val="FooterevenChar"/>
    <w:uiPriority w:val="84"/>
    <w:rsid w:val="006E14D5"/>
    <w:pPr>
      <w:pBdr>
        <w:top w:val="single" w:sz="6" w:space="1" w:color="auto"/>
      </w:pBdr>
      <w:tabs>
        <w:tab w:val="clear" w:pos="4513"/>
        <w:tab w:val="clear" w:pos="9026"/>
        <w:tab w:val="center" w:pos="2835"/>
        <w:tab w:val="right" w:pos="7710"/>
      </w:tabs>
    </w:pPr>
    <w:rPr>
      <w:rFonts w:asciiTheme="majorHAnsi" w:hAnsiTheme="majorHAnsi"/>
      <w:sz w:val="18"/>
    </w:rPr>
  </w:style>
  <w:style w:type="table" w:customStyle="1" w:styleId="DTFTable">
    <w:name w:val="DTF Table"/>
    <w:basedOn w:val="TableNormal"/>
    <w:uiPriority w:val="99"/>
    <w:rsid w:val="007A3D87"/>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8"/>
      </w:numPr>
      <w:spacing w:before="60"/>
      <w:ind w:left="851"/>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82046F"/>
    <w:pPr>
      <w:numPr>
        <w:numId w:val="14"/>
      </w:numPr>
    </w:pPr>
  </w:style>
  <w:style w:type="paragraph" w:customStyle="1" w:styleId="Heading2">
    <w:name w:val="Heading 2 (#)"/>
    <w:basedOn w:val="Heading20"/>
    <w:link w:val="Heading2Char0"/>
    <w:uiPriority w:val="14"/>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rsid w:val="00BA2EEF"/>
    <w:pPr>
      <w:numPr>
        <w:numId w:val="14"/>
      </w:numPr>
    </w:pPr>
    <w:rPr>
      <w:sz w:val="20"/>
    </w:rPr>
  </w:style>
  <w:style w:type="character" w:customStyle="1" w:styleId="Heading3Char0">
    <w:name w:val="Heading 3 (#) Char"/>
    <w:basedOn w:val="Heading3Char"/>
    <w:link w:val="Heading3"/>
    <w:uiPriority w:val="14"/>
    <w:rsid w:val="00BA2EEF"/>
    <w:rPr>
      <w:rFonts w:asciiTheme="majorHAnsi" w:eastAsiaTheme="majorEastAsia" w:hAnsiTheme="majorHAnsi" w:cstheme="majorBidi"/>
      <w:b/>
      <w:bCs/>
      <w:spacing w:val="-2"/>
      <w:sz w:val="20"/>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84"/>
    <w:rsid w:val="00644B4A"/>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00568"/>
    <w:pPr>
      <w:spacing w:after="120"/>
    </w:p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rsid w:val="00C00568"/>
    <w:rPr>
      <w:b/>
      <w:bCs/>
      <w:smallCaps/>
      <w:spacing w:val="5"/>
    </w:rPr>
  </w:style>
  <w:style w:type="paragraph" w:styleId="Caption">
    <w:name w:val="caption"/>
    <w:basedOn w:val="Normal"/>
    <w:next w:val="Normal"/>
    <w:uiPriority w:val="35"/>
    <w:semiHidden/>
    <w:unhideWhenUsed/>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rPr>
      <w:sz w:val="20"/>
      <w:szCs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spacing w:before="0"/>
      <w:ind w:left="220" w:hanging="220"/>
    </w:pPr>
  </w:style>
  <w:style w:type="paragraph" w:styleId="Index2">
    <w:name w:val="index 2"/>
    <w:basedOn w:val="Normal"/>
    <w:next w:val="Normal"/>
    <w:autoRedefine/>
    <w:uiPriority w:val="99"/>
    <w:semiHidden/>
    <w:unhideWhenUsed/>
    <w:rsid w:val="00C00568"/>
    <w:pPr>
      <w:spacing w:before="0"/>
      <w:ind w:left="440" w:hanging="220"/>
    </w:p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rsid w:val="00C00568"/>
    <w:rPr>
      <w:b/>
      <w:bCs/>
      <w:i/>
      <w:iCs/>
      <w:color w:val="0063A6" w:themeColor="accent1"/>
    </w:rPr>
  </w:style>
  <w:style w:type="paragraph" w:styleId="IntenseQuote">
    <w:name w:val="Intense Quote"/>
    <w:basedOn w:val="Normal"/>
    <w:next w:val="Normal"/>
    <w:link w:val="IntenseQuoteChar"/>
    <w:uiPriority w:val="30"/>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rsid w:val="00C00568"/>
    <w:rPr>
      <w:b/>
      <w:bCs/>
      <w:i/>
      <w:iCs/>
      <w:color w:val="0063A6" w:themeColor="accent1"/>
    </w:rPr>
  </w:style>
  <w:style w:type="character" w:styleId="IntenseReference">
    <w:name w:val="Intense Reference"/>
    <w:basedOn w:val="DefaultParagraphFont"/>
    <w:uiPriority w:val="32"/>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rsid w:val="00C00568"/>
    <w:rPr>
      <w:i/>
      <w:iCs/>
      <w:color w:val="000000" w:themeColor="text1"/>
    </w:rPr>
  </w:style>
  <w:style w:type="character" w:customStyle="1" w:styleId="QuoteChar">
    <w:name w:val="Quote Char"/>
    <w:basedOn w:val="DefaultParagraphFont"/>
    <w:link w:val="Quote"/>
    <w:uiPriority w:val="29"/>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rsid w:val="00C00568"/>
    <w:rPr>
      <w:b/>
      <w:bCs/>
    </w:rPr>
  </w:style>
  <w:style w:type="paragraph" w:styleId="Subtitle">
    <w:name w:val="Subtitle"/>
    <w:basedOn w:val="Normal"/>
    <w:next w:val="Normal"/>
    <w:link w:val="SubtitleChar"/>
    <w:uiPriority w:val="11"/>
    <w:rsid w:val="00C00568"/>
    <w:pPr>
      <w:numPr>
        <w:ilvl w:val="1"/>
      </w:numPr>
    </w:pPr>
    <w:rPr>
      <w:rFonts w:asciiTheme="majorHAnsi" w:eastAsiaTheme="majorEastAsia" w:hAnsiTheme="majorHAnsi" w:cstheme="majorBidi"/>
      <w:i/>
      <w:iCs/>
      <w:color w:val="0063A6" w:themeColor="accent1"/>
      <w:spacing w:val="15"/>
      <w:sz w:val="24"/>
      <w:szCs w:val="24"/>
    </w:rPr>
  </w:style>
  <w:style w:type="character" w:customStyle="1" w:styleId="SubtitleChar">
    <w:name w:val="Subtitle Char"/>
    <w:basedOn w:val="DefaultParagraphFont"/>
    <w:link w:val="Subtitle"/>
    <w:uiPriority w:val="11"/>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C00568"/>
    <w:pPr>
      <w:pBdr>
        <w:bottom w:val="single" w:sz="8" w:space="4" w:color="0063A6" w:themeColor="accent1"/>
      </w:pBdr>
      <w:spacing w:before="0"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4"/>
    <w:rsid w:val="006E14D5"/>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TableUnits">
    <w:name w:val="Table Units"/>
    <w:basedOn w:val="Normal"/>
    <w:next w:val="Normal"/>
    <w:link w:val="TableUnitsChar"/>
    <w:uiPriority w:val="50"/>
    <w:qFormat/>
    <w:rsid w:val="0083463B"/>
    <w:pPr>
      <w:keepNext/>
      <w:tabs>
        <w:tab w:val="left" w:pos="567"/>
        <w:tab w:val="right" w:pos="9639"/>
        <w:tab w:val="right" w:pos="14742"/>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HighlightBoxBulletChar">
    <w:name w:val="Highlight Box Bullet Char"/>
    <w:basedOn w:val="DefaultParagraphFont"/>
    <w:link w:val="HighlightBoxBullet"/>
    <w:uiPriority w:val="61"/>
    <w:rsid w:val="00F055E2"/>
    <w:rPr>
      <w:shd w:val="clear" w:color="auto" w:fill="F2F2F2" w:themeFill="background1" w:themeFillShade="F2"/>
    </w:rPr>
  </w:style>
  <w:style w:type="character" w:customStyle="1" w:styleId="SourceChar">
    <w:name w:val="Source Char"/>
    <w:link w:val="Source"/>
    <w:uiPriority w:val="51"/>
    <w:locked/>
    <w:rsid w:val="00F055E2"/>
    <w:rPr>
      <w:rFonts w:asciiTheme="majorHAnsi" w:hAnsiTheme="majorHAnsi"/>
      <w:i/>
      <w:spacing w:val="-2"/>
      <w:sz w:val="14"/>
    </w:rPr>
  </w:style>
  <w:style w:type="character" w:customStyle="1" w:styleId="TableHeadingChar">
    <w:name w:val="Table Heading Char"/>
    <w:basedOn w:val="DefaultParagraphFont"/>
    <w:link w:val="TableHeading"/>
    <w:uiPriority w:val="49"/>
    <w:rsid w:val="00FA7528"/>
    <w:rPr>
      <w:rFonts w:asciiTheme="majorHAnsi" w:hAnsiTheme="majorHAnsi"/>
      <w:b/>
      <w:sz w:val="20"/>
      <w:szCs w:val="20"/>
    </w:rPr>
  </w:style>
  <w:style w:type="table" w:customStyle="1" w:styleId="DTFTable1">
    <w:name w:val="DTF Table1"/>
    <w:basedOn w:val="TableNormal"/>
    <w:uiPriority w:val="99"/>
    <w:rsid w:val="006133F3"/>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table" w:customStyle="1" w:styleId="DTFTextTable1">
    <w:name w:val="DTF Text Table1"/>
    <w:basedOn w:val="DTFTable"/>
    <w:uiPriority w:val="99"/>
    <w:rsid w:val="006133F3"/>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ListBulletChar">
    <w:name w:val="List Bullet Char"/>
    <w:basedOn w:val="DefaultParagraphFont"/>
    <w:link w:val="ListBullet"/>
    <w:uiPriority w:val="19"/>
    <w:rsid w:val="00393CA4"/>
  </w:style>
  <w:style w:type="table" w:customStyle="1" w:styleId="DTFFinancialTable">
    <w:name w:val="DTF Financial Table"/>
    <w:basedOn w:val="TableNormal"/>
    <w:uiPriority w:val="99"/>
    <w:rsid w:val="004B6846"/>
    <w:pPr>
      <w:spacing w:before="20" w:after="20"/>
      <w:jc w:val="right"/>
    </w:pPr>
    <w:rPr>
      <w:rFonts w:asciiTheme="majorHAnsi" w:hAnsiTheme="majorHAnsi"/>
      <w:spacing w:val="4"/>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numbering" w:customStyle="1" w:styleId="Headingstyles">
    <w:name w:val="Heading styles"/>
    <w:uiPriority w:val="99"/>
    <w:rsid w:val="004B6846"/>
    <w:pPr>
      <w:numPr>
        <w:numId w:val="17"/>
      </w:numPr>
    </w:pPr>
  </w:style>
  <w:style w:type="character" w:customStyle="1" w:styleId="TableUnitsChar">
    <w:name w:val="Table Units Char"/>
    <w:basedOn w:val="DefaultParagraphFont"/>
    <w:link w:val="TableUnits"/>
    <w:uiPriority w:val="50"/>
    <w:rsid w:val="004B6846"/>
    <w:rPr>
      <w:rFonts w:asciiTheme="majorHAnsi" w:hAnsiTheme="majorHAnsi"/>
      <w:b/>
      <w:sz w:val="20"/>
      <w:szCs w:val="20"/>
    </w:rPr>
  </w:style>
  <w:style w:type="paragraph" w:customStyle="1" w:styleId="ControlledEntitiesDepartment">
    <w:name w:val="Controlled Entities Department"/>
    <w:basedOn w:val="Normal"/>
    <w:next w:val="Normal"/>
    <w:uiPriority w:val="97"/>
    <w:qFormat/>
    <w:rsid w:val="004B6846"/>
    <w:pPr>
      <w:shd w:val="clear" w:color="auto" w:fill="D9D9D9" w:themeFill="background1" w:themeFillShade="D9"/>
      <w:spacing w:before="40"/>
    </w:pPr>
    <w:rPr>
      <w:rFonts w:asciiTheme="majorHAnsi" w:eastAsia="Times New Roman" w:hAnsiTheme="majorHAnsi" w:cs="Times New Roman"/>
      <w:b/>
      <w:bCs/>
      <w:color w:val="000000" w:themeColor="text1"/>
      <w:sz w:val="18"/>
      <w:szCs w:val="18"/>
      <w:lang w:eastAsia="en-AU"/>
    </w:rPr>
  </w:style>
  <w:style w:type="paragraph" w:customStyle="1" w:styleId="ControlledEntitiesSector">
    <w:name w:val="Controlled Entities Sector"/>
    <w:basedOn w:val="Normal"/>
    <w:next w:val="ControlledEntitiesDepartment"/>
    <w:uiPriority w:val="98"/>
    <w:qFormat/>
    <w:rsid w:val="004B6846"/>
    <w:pPr>
      <w:shd w:val="clear" w:color="auto" w:fill="000000" w:themeFill="text1"/>
      <w:spacing w:before="20" w:after="60"/>
      <w:jc w:val="center"/>
    </w:pPr>
    <w:rPr>
      <w:rFonts w:asciiTheme="majorHAnsi" w:eastAsia="Times New Roman" w:hAnsiTheme="majorHAnsi" w:cstheme="minorHAnsi"/>
      <w:b/>
      <w:i/>
      <w:color w:val="FFFFFF" w:themeColor="background1"/>
      <w:sz w:val="18"/>
      <w:lang w:eastAsia="en-AU"/>
    </w:rPr>
  </w:style>
  <w:style w:type="paragraph" w:customStyle="1" w:styleId="Heading1Continued">
    <w:name w:val="Heading 1 Continued"/>
    <w:basedOn w:val="Heading10"/>
    <w:qFormat/>
    <w:rsid w:val="00CB74DA"/>
  </w:style>
  <w:style w:type="paragraph" w:customStyle="1" w:styleId="Heading1-AppendixE">
    <w:name w:val="Heading 1 - Appendix E"/>
    <w:basedOn w:val="Heading10"/>
    <w:qFormat/>
    <w:rsid w:val="00CB74DA"/>
  </w:style>
  <w:style w:type="paragraph" w:customStyle="1" w:styleId="Heading1-AppendixE0">
    <w:name w:val="Heading 1 (#) - Appendix E"/>
    <w:basedOn w:val="Heading1"/>
    <w:qFormat/>
    <w:rsid w:val="00CB74DA"/>
  </w:style>
  <w:style w:type="character" w:styleId="UnresolvedMention">
    <w:name w:val="Unresolved Mention"/>
    <w:basedOn w:val="DefaultParagraphFont"/>
    <w:uiPriority w:val="99"/>
    <w:semiHidden/>
    <w:unhideWhenUsed/>
    <w:rsid w:val="004B09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07802">
      <w:bodyDiv w:val="1"/>
      <w:marLeft w:val="0"/>
      <w:marRight w:val="0"/>
      <w:marTop w:val="0"/>
      <w:marBottom w:val="0"/>
      <w:divBdr>
        <w:top w:val="none" w:sz="0" w:space="0" w:color="auto"/>
        <w:left w:val="none" w:sz="0" w:space="0" w:color="auto"/>
        <w:bottom w:val="none" w:sz="0" w:space="0" w:color="auto"/>
        <w:right w:val="none" w:sz="0" w:space="0" w:color="auto"/>
      </w:divBdr>
    </w:div>
    <w:div w:id="16080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footer" Target="footer8.xml"/><Relationship Id="rId42" Type="http://schemas.openxmlformats.org/officeDocument/2006/relationships/footer" Target="footer18.xml"/><Relationship Id="rId47" Type="http://schemas.openxmlformats.org/officeDocument/2006/relationships/header" Target="header15.xml"/><Relationship Id="rId63" Type="http://schemas.openxmlformats.org/officeDocument/2006/relationships/footer" Target="footer27.xml"/><Relationship Id="rId68" Type="http://schemas.openxmlformats.org/officeDocument/2006/relationships/footer" Target="footer30.xml"/><Relationship Id="rId84" Type="http://schemas.openxmlformats.org/officeDocument/2006/relationships/header" Target="header35.xml"/><Relationship Id="rId89" Type="http://schemas.openxmlformats.org/officeDocument/2006/relationships/image" Target="media/image6.emf"/><Relationship Id="rId112" Type="http://schemas.openxmlformats.org/officeDocument/2006/relationships/footer" Target="footer52.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6.xml"/><Relationship Id="rId107" Type="http://schemas.openxmlformats.org/officeDocument/2006/relationships/header" Target="header42.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19.xml"/><Relationship Id="rId58" Type="http://schemas.openxmlformats.org/officeDocument/2006/relationships/footer" Target="footer25.xml"/><Relationship Id="rId66" Type="http://schemas.openxmlformats.org/officeDocument/2006/relationships/header" Target="header26.xml"/><Relationship Id="rId74" Type="http://schemas.openxmlformats.org/officeDocument/2006/relationships/footer" Target="footer33.xml"/><Relationship Id="rId79" Type="http://schemas.openxmlformats.org/officeDocument/2006/relationships/footer" Target="footer35.xml"/><Relationship Id="rId87" Type="http://schemas.openxmlformats.org/officeDocument/2006/relationships/header" Target="header36.xml"/><Relationship Id="rId102" Type="http://schemas.openxmlformats.org/officeDocument/2006/relationships/footer" Target="footer46.xml"/><Relationship Id="rId110" Type="http://schemas.openxmlformats.org/officeDocument/2006/relationships/footer" Target="footer51.xml"/><Relationship Id="rId5" Type="http://schemas.openxmlformats.org/officeDocument/2006/relationships/footnotes" Target="footnotes.xml"/><Relationship Id="rId61" Type="http://schemas.openxmlformats.org/officeDocument/2006/relationships/header" Target="header24.xml"/><Relationship Id="rId82" Type="http://schemas.openxmlformats.org/officeDocument/2006/relationships/footer" Target="footer37.xml"/><Relationship Id="rId90" Type="http://schemas.openxmlformats.org/officeDocument/2006/relationships/image" Target="media/image7.emf"/><Relationship Id="rId95" Type="http://schemas.openxmlformats.org/officeDocument/2006/relationships/footer" Target="footer42.xml"/><Relationship Id="rId1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21.xml"/><Relationship Id="rId56" Type="http://schemas.openxmlformats.org/officeDocument/2006/relationships/footer" Target="footer24.xml"/><Relationship Id="rId64" Type="http://schemas.openxmlformats.org/officeDocument/2006/relationships/footer" Target="footer28.xml"/><Relationship Id="rId69" Type="http://schemas.openxmlformats.org/officeDocument/2006/relationships/header" Target="header27.xml"/><Relationship Id="rId77" Type="http://schemas.openxmlformats.org/officeDocument/2006/relationships/header" Target="header31.xml"/><Relationship Id="rId100" Type="http://schemas.openxmlformats.org/officeDocument/2006/relationships/footer" Target="footer45.xml"/><Relationship Id="rId105" Type="http://schemas.openxmlformats.org/officeDocument/2006/relationships/footer" Target="footer47.xml"/><Relationship Id="rId113"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eader" Target="header18.xml"/><Relationship Id="rId72" Type="http://schemas.openxmlformats.org/officeDocument/2006/relationships/header" Target="header29.xml"/><Relationship Id="rId80" Type="http://schemas.openxmlformats.org/officeDocument/2006/relationships/footer" Target="footer36.xml"/><Relationship Id="rId85" Type="http://schemas.openxmlformats.org/officeDocument/2006/relationships/footer" Target="footer38.xml"/><Relationship Id="rId93" Type="http://schemas.openxmlformats.org/officeDocument/2006/relationships/image" Target="media/image10.emf"/><Relationship Id="rId98" Type="http://schemas.openxmlformats.org/officeDocument/2006/relationships/header" Target="header38.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4.xml"/><Relationship Id="rId33" Type="http://schemas.openxmlformats.org/officeDocument/2006/relationships/footer" Target="footer13.xml"/><Relationship Id="rId38" Type="http://schemas.openxmlformats.org/officeDocument/2006/relationships/header" Target="header11.xml"/><Relationship Id="rId46" Type="http://schemas.openxmlformats.org/officeDocument/2006/relationships/footer" Target="footer20.xml"/><Relationship Id="rId59" Type="http://schemas.openxmlformats.org/officeDocument/2006/relationships/header" Target="header22.xml"/><Relationship Id="rId67" Type="http://schemas.openxmlformats.org/officeDocument/2006/relationships/footer" Target="footer29.xml"/><Relationship Id="rId103" Type="http://schemas.openxmlformats.org/officeDocument/2006/relationships/header" Target="header40.xml"/><Relationship Id="rId108" Type="http://schemas.openxmlformats.org/officeDocument/2006/relationships/footer" Target="footer49.xml"/><Relationship Id="rId20" Type="http://schemas.openxmlformats.org/officeDocument/2006/relationships/footer" Target="footer7.xml"/><Relationship Id="rId41" Type="http://schemas.openxmlformats.org/officeDocument/2006/relationships/header" Target="header12.xml"/><Relationship Id="rId54" Type="http://schemas.openxmlformats.org/officeDocument/2006/relationships/header" Target="header20.xml"/><Relationship Id="rId62" Type="http://schemas.openxmlformats.org/officeDocument/2006/relationships/footer" Target="footer26.xml"/><Relationship Id="rId70" Type="http://schemas.openxmlformats.org/officeDocument/2006/relationships/footer" Target="footer31.xml"/><Relationship Id="rId75" Type="http://schemas.openxmlformats.org/officeDocument/2006/relationships/header" Target="header30.xml"/><Relationship Id="rId83" Type="http://schemas.openxmlformats.org/officeDocument/2006/relationships/header" Target="header34.xml"/><Relationship Id="rId88" Type="http://schemas.openxmlformats.org/officeDocument/2006/relationships/footer" Target="footer40.xml"/><Relationship Id="rId91" Type="http://schemas.openxmlformats.org/officeDocument/2006/relationships/image" Target="media/image8.emf"/><Relationship Id="rId96" Type="http://schemas.openxmlformats.org/officeDocument/2006/relationships/footer" Target="footer43.xml"/><Relationship Id="rId111" Type="http://schemas.openxmlformats.org/officeDocument/2006/relationships/hyperlink" Target="http://www.dtf.vic.gov.a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16.xml"/><Relationship Id="rId57" Type="http://schemas.openxmlformats.org/officeDocument/2006/relationships/header" Target="header21.xml"/><Relationship Id="rId106" Type="http://schemas.openxmlformats.org/officeDocument/2006/relationships/footer" Target="footer48.xml"/><Relationship Id="rId114"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eader" Target="header7.xml"/><Relationship Id="rId44" Type="http://schemas.openxmlformats.org/officeDocument/2006/relationships/header" Target="header14.xml"/><Relationship Id="rId52" Type="http://schemas.openxmlformats.org/officeDocument/2006/relationships/footer" Target="footer22.xml"/><Relationship Id="rId60" Type="http://schemas.openxmlformats.org/officeDocument/2006/relationships/header" Target="header23.xml"/><Relationship Id="rId65" Type="http://schemas.openxmlformats.org/officeDocument/2006/relationships/header" Target="header25.xml"/><Relationship Id="rId73" Type="http://schemas.openxmlformats.org/officeDocument/2006/relationships/footer" Target="footer32.xml"/><Relationship Id="rId78" Type="http://schemas.openxmlformats.org/officeDocument/2006/relationships/header" Target="header32.xml"/><Relationship Id="rId81" Type="http://schemas.openxmlformats.org/officeDocument/2006/relationships/header" Target="header33.xml"/><Relationship Id="rId86" Type="http://schemas.openxmlformats.org/officeDocument/2006/relationships/footer" Target="footer39.xml"/><Relationship Id="rId94" Type="http://schemas.openxmlformats.org/officeDocument/2006/relationships/footer" Target="footer41.xml"/><Relationship Id="rId99" Type="http://schemas.openxmlformats.org/officeDocument/2006/relationships/footer" Target="footer44.xml"/><Relationship Id="rId101" Type="http://schemas.openxmlformats.org/officeDocument/2006/relationships/header" Target="header39.xml"/><Relationship Id="rId4" Type="http://schemas.openxmlformats.org/officeDocument/2006/relationships/webSettings" Target="webSettings.xml"/><Relationship Id="rId9" Type="http://schemas.openxmlformats.org/officeDocument/2006/relationships/hyperlink" Target="mailto:IPpolicy@dtf.vic.gov.au" TargetMode="External"/><Relationship Id="rId13" Type="http://schemas.openxmlformats.org/officeDocument/2006/relationships/image" Target="media/image3.png"/><Relationship Id="rId18" Type="http://schemas.openxmlformats.org/officeDocument/2006/relationships/header" Target="header1.xml"/><Relationship Id="rId39" Type="http://schemas.openxmlformats.org/officeDocument/2006/relationships/footer" Target="footer16.xml"/><Relationship Id="rId109" Type="http://schemas.openxmlformats.org/officeDocument/2006/relationships/footer" Target="footer50.xml"/><Relationship Id="rId34" Type="http://schemas.openxmlformats.org/officeDocument/2006/relationships/footer" Target="footer14.xml"/><Relationship Id="rId50" Type="http://schemas.openxmlformats.org/officeDocument/2006/relationships/header" Target="header17.xml"/><Relationship Id="rId55" Type="http://schemas.openxmlformats.org/officeDocument/2006/relationships/footer" Target="footer23.xml"/><Relationship Id="rId76" Type="http://schemas.openxmlformats.org/officeDocument/2006/relationships/footer" Target="footer34.xml"/><Relationship Id="rId97" Type="http://schemas.openxmlformats.org/officeDocument/2006/relationships/header" Target="header37.xml"/><Relationship Id="rId104" Type="http://schemas.openxmlformats.org/officeDocument/2006/relationships/header" Target="header41.xml"/><Relationship Id="rId7" Type="http://schemas.openxmlformats.org/officeDocument/2006/relationships/image" Target="media/image1.wmf"/><Relationship Id="rId71" Type="http://schemas.openxmlformats.org/officeDocument/2006/relationships/header" Target="header28.xml"/><Relationship Id="rId92" Type="http://schemas.openxmlformats.org/officeDocument/2006/relationships/image" Target="media/image9.emf"/></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160</Pages>
  <Words>41043</Words>
  <Characters>233949</Characters>
  <Application>Microsoft Office Word</Application>
  <DocSecurity>0</DocSecurity>
  <Lines>1949</Lines>
  <Paragraphs>548</Paragraphs>
  <ScaleCrop>false</ScaleCrop>
  <HeadingPairs>
    <vt:vector size="2" baseType="variant">
      <vt:variant>
        <vt:lpstr>Title</vt:lpstr>
      </vt:variant>
      <vt:variant>
        <vt:i4>1</vt:i4>
      </vt:variant>
    </vt:vector>
  </HeadingPairs>
  <TitlesOfParts>
    <vt:vector size="1" baseType="lpstr">
      <vt:lpstr>2018-19 Budget Update</vt:lpstr>
    </vt:vector>
  </TitlesOfParts>
  <Company/>
  <LinksUpToDate>false</LinksUpToDate>
  <CharactersWithSpaces>274444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Budget Update</dc:title>
  <dc:subject/>
  <dc:creator/>
  <cp:keywords/>
  <cp:lastModifiedBy/>
  <cp:revision>1</cp:revision>
  <dcterms:created xsi:type="dcterms:W3CDTF">2018-12-09T22:10:00Z</dcterms:created>
  <dcterms:modified xsi:type="dcterms:W3CDTF">2018-12-09T22:25:00Z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d6d49221-1654-4663-9c7f-aa5deb33606a</vt:lpwstr>
  </property>
  <property fmtid="{D5CDD505-2E9C-101B-9397-08002B2CF9AE}" pid="3" name="Classification">
    <vt:lpwstr>Do Not Mark</vt:lpwstr>
  </property>
</Properties>
</file>