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96" w:rsidRPr="00BC0ACB" w:rsidRDefault="00E11977" w:rsidP="00E11977">
      <w:pPr>
        <w:pStyle w:val="Title"/>
        <w:rPr>
          <w:i/>
        </w:rPr>
      </w:pPr>
      <w:bookmarkStart w:id="0" w:name="_Toc442780672"/>
      <w:r w:rsidRPr="00BC0ACB">
        <w:t xml:space="preserve">Department of Treasury and Finance </w:t>
      </w:r>
      <w:r w:rsidRPr="00BC0ACB">
        <w:rPr>
          <w:i/>
        </w:rPr>
        <w:t>201</w:t>
      </w:r>
      <w:r w:rsidR="00CE17B4">
        <w:rPr>
          <w:i/>
        </w:rPr>
        <w:t>8</w:t>
      </w:r>
      <w:r w:rsidRPr="00BC0ACB">
        <w:rPr>
          <w:i/>
        </w:rPr>
        <w:t>–1</w:t>
      </w:r>
      <w:r w:rsidR="00CE17B4">
        <w:rPr>
          <w:i/>
        </w:rPr>
        <w:t>9</w:t>
      </w:r>
      <w:r w:rsidRPr="00BC0ACB">
        <w:rPr>
          <w:i/>
        </w:rPr>
        <w:t xml:space="preserve"> Annual Report</w:t>
      </w:r>
    </w:p>
    <w:p w:rsidR="003D6D85" w:rsidRDefault="003D6D85" w:rsidP="00A647EA">
      <w:pPr>
        <w:pStyle w:val="Heading3"/>
        <w:tabs>
          <w:tab w:val="right" w:pos="9270"/>
        </w:tabs>
        <w:ind w:right="-244"/>
      </w:pPr>
      <w:r w:rsidRPr="00BC0ACB">
        <w:t>Details of individual consultancies (valued at $10 000 or greater excluding GST)</w:t>
      </w:r>
      <w:r w:rsidR="00A647EA">
        <w:tab/>
        <w:t>($)</w:t>
      </w:r>
    </w:p>
    <w:tbl>
      <w:tblPr>
        <w:tblStyle w:val="DTFtexttable"/>
        <w:tblW w:w="9327" w:type="dxa"/>
        <w:tblLook w:val="0460" w:firstRow="1" w:lastRow="1" w:firstColumn="0" w:lastColumn="0" w:noHBand="0" w:noVBand="1"/>
      </w:tblPr>
      <w:tblGrid>
        <w:gridCol w:w="2747"/>
        <w:gridCol w:w="2620"/>
        <w:gridCol w:w="1350"/>
        <w:gridCol w:w="1260"/>
        <w:gridCol w:w="1350"/>
      </w:tblGrid>
      <w:tr w:rsidR="009C184A" w:rsidRPr="00CE17B4" w:rsidTr="00DD5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747" w:type="dxa"/>
            <w:noWrap/>
            <w:hideMark/>
          </w:tcPr>
          <w:p w:rsidR="009C184A" w:rsidRPr="00CE17B4" w:rsidRDefault="009C184A" w:rsidP="00855CD9">
            <w:pPr>
              <w:pStyle w:val="Tableheader"/>
              <w:rPr>
                <w:b/>
              </w:rPr>
            </w:pPr>
            <w:r w:rsidRPr="00CE17B4">
              <w:rPr>
                <w:b/>
              </w:rPr>
              <w:t>Consultant engaged</w:t>
            </w:r>
          </w:p>
        </w:tc>
        <w:tc>
          <w:tcPr>
            <w:tcW w:w="2620" w:type="dxa"/>
            <w:hideMark/>
          </w:tcPr>
          <w:p w:rsidR="009C184A" w:rsidRPr="00CE17B4" w:rsidRDefault="009C184A" w:rsidP="00855CD9">
            <w:pPr>
              <w:pStyle w:val="Tableheader"/>
              <w:rPr>
                <w:b/>
              </w:rPr>
            </w:pPr>
            <w:r w:rsidRPr="00CE17B4">
              <w:rPr>
                <w:b/>
              </w:rPr>
              <w:t>Purpose of consultancy</w:t>
            </w:r>
          </w:p>
        </w:tc>
        <w:tc>
          <w:tcPr>
            <w:tcW w:w="1350" w:type="dxa"/>
            <w:hideMark/>
          </w:tcPr>
          <w:p w:rsidR="009C184A" w:rsidRPr="00CE17B4" w:rsidRDefault="009C184A" w:rsidP="00855CD9">
            <w:pPr>
              <w:pStyle w:val="Tableheader"/>
              <w:jc w:val="right"/>
              <w:rPr>
                <w:b/>
              </w:rPr>
            </w:pPr>
            <w:r w:rsidRPr="00CE17B4">
              <w:rPr>
                <w:b/>
              </w:rPr>
              <w:t>Total approved project fee (excl. GST)</w:t>
            </w:r>
          </w:p>
        </w:tc>
        <w:tc>
          <w:tcPr>
            <w:tcW w:w="1260" w:type="dxa"/>
            <w:hideMark/>
          </w:tcPr>
          <w:p w:rsidR="009C184A" w:rsidRPr="00CE17B4" w:rsidRDefault="009C184A" w:rsidP="00855CD9">
            <w:pPr>
              <w:pStyle w:val="Tableheader"/>
              <w:jc w:val="right"/>
              <w:rPr>
                <w:b/>
              </w:rPr>
            </w:pPr>
            <w:r w:rsidRPr="00CE17B4">
              <w:rPr>
                <w:b/>
              </w:rPr>
              <w:t>Expenditure 2018–19</w:t>
            </w:r>
            <w:r w:rsidRPr="00CE17B4">
              <w:rPr>
                <w:b/>
              </w:rPr>
              <w:br/>
              <w:t>(excl. GST)</w:t>
            </w:r>
          </w:p>
        </w:tc>
        <w:tc>
          <w:tcPr>
            <w:tcW w:w="1350" w:type="dxa"/>
            <w:hideMark/>
          </w:tcPr>
          <w:p w:rsidR="009C184A" w:rsidRPr="00CE17B4" w:rsidRDefault="009C184A" w:rsidP="00855CD9">
            <w:pPr>
              <w:pStyle w:val="Tableheader"/>
              <w:jc w:val="right"/>
              <w:rPr>
                <w:b/>
              </w:rPr>
            </w:pPr>
            <w:r w:rsidRPr="00CE17B4">
              <w:rPr>
                <w:b/>
              </w:rPr>
              <w:t>Future expenditure</w:t>
            </w:r>
            <w:r w:rsidRPr="00CE17B4">
              <w:rPr>
                <w:b/>
              </w:rPr>
              <w:br/>
              <w:t>(excl. GST)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Acton Advisory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(West Gate Tunnel)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320 000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123 341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47 986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Aquasia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(Desalination plant debt and ownership structure)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284 000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258 396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22 513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Aquasia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(Desalination plant tax advice)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458 182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213 358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241 187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785730" w:rsidP="00DD52E7">
            <w:pPr>
              <w:pStyle w:val="Tabletext"/>
            </w:pPr>
            <w:r w:rsidRPr="00DD52E7">
              <w:t xml:space="preserve">ARRB </w:t>
            </w:r>
            <w:r w:rsidR="00DD52E7" w:rsidRPr="00DD52E7">
              <w:t>Group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General Professional Advice (Forward looking cost base)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182 910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178 480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94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Ashurst Australia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(Sale of the State's interest in the Snowy Hydro Project 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950 000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10 200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489 760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785730" w:rsidP="00DD52E7">
            <w:pPr>
              <w:pStyle w:val="Tabletext"/>
            </w:pPr>
            <w:r w:rsidRPr="00DD52E7">
              <w:t xml:space="preserve">BIS </w:t>
            </w:r>
            <w:r w:rsidR="00DD52E7" w:rsidRPr="00DD52E7">
              <w:t>Oxford Economics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(Commercialisation of land titles and registry functions of Land Use Victoria)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726 385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163 480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51 567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Centre for International Economics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services (Assessment methods for major events)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82 014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68 402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14 161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Clayton Utz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(Housing initiatives)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852 382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398 554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330 030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Clayton Utz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(Public private partnership refinancing </w:t>
            </w:r>
            <w:r>
              <w:t>and</w:t>
            </w:r>
            <w:r w:rsidRPr="00DD52E7">
              <w:t xml:space="preserve"> project advice </w:t>
            </w:r>
            <w:r>
              <w:t>–</w:t>
            </w:r>
            <w:r w:rsidRPr="00DD52E7">
              <w:t xml:space="preserve"> Ravenhall 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44 060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44 060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Clayton Utz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(Refinancing East Link)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38 045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36 655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1 480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Clayton Utz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(Public private partnership refinancing </w:t>
            </w:r>
            <w:r>
              <w:t>and</w:t>
            </w:r>
            <w:r w:rsidRPr="00DD52E7">
              <w:t xml:space="preserve"> project advice </w:t>
            </w:r>
            <w:r>
              <w:t>–</w:t>
            </w:r>
            <w:r w:rsidRPr="00DD52E7">
              <w:t xml:space="preserve"> Peninsula Link)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25 000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25 000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Corrs Chambers Westgarth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(Desalination plant)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200 000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62 500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137 500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Corrs Chambers Westgarth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transactional advice (Partnerships Vic</w:t>
            </w:r>
            <w:r>
              <w:t>toria</w:t>
            </w:r>
            <w:r w:rsidRPr="00DD52E7">
              <w:t xml:space="preserve">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101 818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40 000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60 909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Deloitte Access Economics Pty</w:t>
            </w:r>
            <w:r>
              <w:t> </w:t>
            </w:r>
            <w:r w:rsidRPr="00DD52E7">
              <w:t>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services (Strategic policy review)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155 671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155 671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lastRenderedPageBreak/>
              <w:t>Deloitte Counsulting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advice (E</w:t>
            </w:r>
            <w:r>
              <w:noBreakHyphen/>
            </w:r>
            <w:r w:rsidRPr="00DD52E7">
              <w:t>procurement)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439 444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399 444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36 364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Deloitte Touche Tohmatsu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(Analysis on Commonwealths proposed changes to GST)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60 000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60 000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Deloitte Touche Tohmatsu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(Analyse elective surgery activity)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133 804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24 109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108 489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Department of Health and Human Services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(Bendigo Hospital)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39 278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39 289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Ernst &amp; Young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services (Program management office development)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249 818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248 000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283 303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Ernst &amp; Young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(Housing initiatives strategy)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652 347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178 526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147 260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Ernst &amp; Young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(Partnerships addressing disadvantage)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200 000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92 677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107 323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Ernst &amp; Young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(Long term financing options)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268 000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89 455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89 091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Ernst &amp; Young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(Ravenhall Prison)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62 909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58 364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4 545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Ernst &amp; Young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(Design of the Victorian </w:t>
            </w:r>
            <w:r w:rsidR="00CB742A">
              <w:t xml:space="preserve">Business Growth </w:t>
            </w:r>
            <w:bookmarkStart w:id="1" w:name="_GoBack"/>
            <w:bookmarkEnd w:id="1"/>
            <w:r w:rsidRPr="00DD52E7">
              <w:t>Fund)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190 909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51 500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139 409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Flagstaff Partners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(Commercialisation of land titles and registry functions of Land Use Victoria)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2 827 200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617 500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834 318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King &amp; Wood Mallesons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(Partnerships addressing disadvantage)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433 636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150 333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28 636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KPMG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(Commercialisation of land titles and registry functions of Land Use Victoria)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5 543 532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2 878 601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KPMG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General professional services (Feasibility assessment SRIMS)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409 091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405 000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4 091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KPMG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(Bendigo Hospital)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71 818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71 818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KPMG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(Victorian Business Growth Fund)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44 364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37 430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6 933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lastRenderedPageBreak/>
              <w:t>M21 Advisory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services (Establishment of OPV function and capability)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416 364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11 165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23 555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Minter Ellison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(Victorian Business Growth Fund)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197 500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18 783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178 717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Minter Ellison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(Commercialisation of land titles and registry functions of Land Use Victoria)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4 455 455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2 867 728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PPB Advisory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transaction advice (Review financial viability and business model)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909 091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177 114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731 977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General professional advice (North East Link)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2 866 667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2 397 266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445 159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(Accounting and tax advice Victorian desalination project refinancing and debt restructure 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798 092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387 809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389 374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General professional advice (Engineering procurement contract management system)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605 455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204 546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395 454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(Peninsula Link)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645 818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140 000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500 000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advice (Risk</w:t>
            </w:r>
            <w:r>
              <w:t xml:space="preserve"> management</w:t>
            </w:r>
            <w:r w:rsidRPr="00DD52E7">
              <w:t xml:space="preserve"> framework)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139 150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99 273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39 877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advice (Superannuation</w:t>
            </w:r>
            <w:r>
              <w:noBreakHyphen/>
            </w:r>
            <w:r w:rsidRPr="00DD52E7">
              <w:t>related financial reporting services)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413 636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9 180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341 771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services (Emergency services super defined benefit scheme)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413 636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31 620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341 771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General professional advice (Interstate stamp duty)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48 560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18 360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28 382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services (Corporate group structure and the Victorian Regulatory Framework)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58 977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17 693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 consulting (australia) pty limited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General professional services (Building approvals)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528 880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234 364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294 516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PricewaterhouseCoopers consulting (australia) pty limited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advice (Advisory service for VPS demand forecasting review)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149 532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92 846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Quantom Creators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General professional advice (Policy paper for Victorian Chief Engineer)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59 545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19 738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31 818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lastRenderedPageBreak/>
              <w:t>Rothschild Australia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 xml:space="preserve">Commercial and transaction advice (North East Link) 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2 200 000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435 230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1 764 770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Towers Watson Australia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(Actuarial advise for the commercialization of land titles and registry functions)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37 500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18 490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18 838</w:t>
            </w:r>
          </w:p>
        </w:tc>
      </w:tr>
      <w:tr w:rsidR="00DD52E7" w:rsidRPr="004D7DBF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Turner &amp; Townsend Pty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(Review of detailed costs and the public sector comparator for the suburban roads upgrade packages)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554 225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237 962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136 437</w:t>
            </w:r>
          </w:p>
        </w:tc>
      </w:tr>
      <w:tr w:rsidR="00DD52E7" w:rsidRPr="004D7DBF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UBS AG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(Commercialisation of land titles and registry functions of Land Use Victoria)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6 180 875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6 180 875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–</w:t>
            </w:r>
          </w:p>
        </w:tc>
      </w:tr>
      <w:tr w:rsidR="00DD52E7" w:rsidRPr="00E43307" w:rsidTr="00DD52E7"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Victoria University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(Scenarios analysis relating to the effect of changes in Australia's trading conditions on Victoria's budget balance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21 000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15 000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5 455</w:t>
            </w:r>
          </w:p>
        </w:tc>
      </w:tr>
      <w:tr w:rsidR="00DD52E7" w:rsidRPr="00E43307" w:rsidTr="00DD5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Willis Australia Ltd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 w:rsidRPr="00DD52E7">
              <w:t>Commercial and transaction advice (Commercialisation of land titles and registry functions of Land Use Victoria)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88 000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70 000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"/>
            </w:pPr>
            <w:r w:rsidRPr="00DD52E7">
              <w:t>18 000</w:t>
            </w:r>
          </w:p>
        </w:tc>
      </w:tr>
      <w:tr w:rsidR="00DD52E7" w:rsidRPr="00DD52E7" w:rsidTr="00DD52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7" w:type="dxa"/>
            <w:noWrap/>
          </w:tcPr>
          <w:p w:rsidR="00DD52E7" w:rsidRPr="00DD52E7" w:rsidRDefault="00DD52E7" w:rsidP="00DD52E7">
            <w:pPr>
              <w:pStyle w:val="Tabletext"/>
            </w:pPr>
            <w:r w:rsidRPr="00DD52E7">
              <w:t>Total</w:t>
            </w:r>
          </w:p>
        </w:tc>
        <w:tc>
          <w:tcPr>
            <w:tcW w:w="2620" w:type="dxa"/>
          </w:tcPr>
          <w:p w:rsidR="00DD52E7" w:rsidRPr="00DD52E7" w:rsidRDefault="00DD52E7" w:rsidP="00DD52E7">
            <w:pPr>
              <w:pStyle w:val="Tabletext"/>
            </w:pPr>
            <w:r>
              <w:t>52 consultancies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bold"/>
              <w:rPr>
                <w:b/>
              </w:rPr>
            </w:pPr>
            <w:r w:rsidRPr="00DD52E7">
              <w:rPr>
                <w:b/>
              </w:rPr>
              <w:t>37 834 576</w:t>
            </w:r>
          </w:p>
        </w:tc>
        <w:tc>
          <w:tcPr>
            <w:tcW w:w="1260" w:type="dxa"/>
            <w:noWrap/>
          </w:tcPr>
          <w:p w:rsidR="00DD52E7" w:rsidRPr="00DD52E7" w:rsidRDefault="00DD52E7" w:rsidP="00DD52E7">
            <w:pPr>
              <w:pStyle w:val="Tabletextrightbold"/>
              <w:rPr>
                <w:b/>
              </w:rPr>
            </w:pPr>
            <w:r w:rsidRPr="00DD52E7">
              <w:rPr>
                <w:b/>
              </w:rPr>
              <w:t>20 865 184</w:t>
            </w:r>
          </w:p>
        </w:tc>
        <w:tc>
          <w:tcPr>
            <w:tcW w:w="1350" w:type="dxa"/>
            <w:noWrap/>
          </w:tcPr>
          <w:p w:rsidR="00DD52E7" w:rsidRPr="00DD52E7" w:rsidRDefault="00DD52E7" w:rsidP="00DD52E7">
            <w:pPr>
              <w:pStyle w:val="Tabletextrightbold"/>
              <w:rPr>
                <w:b/>
              </w:rPr>
            </w:pPr>
            <w:r w:rsidRPr="00DD52E7">
              <w:rPr>
                <w:b/>
              </w:rPr>
              <w:t>8 872 820</w:t>
            </w:r>
          </w:p>
        </w:tc>
      </w:tr>
    </w:tbl>
    <w:p w:rsidR="001A4906" w:rsidRDefault="001A4906" w:rsidP="00CE17B4"/>
    <w:p w:rsidR="00A647EA" w:rsidRDefault="003D6D85" w:rsidP="00A647EA">
      <w:pPr>
        <w:pStyle w:val="Heading3"/>
        <w:pageBreakBefore/>
        <w:tabs>
          <w:tab w:val="right" w:pos="9270"/>
        </w:tabs>
        <w:ind w:right="-245"/>
      </w:pPr>
      <w:r w:rsidRPr="00BC0ACB">
        <w:lastRenderedPageBreak/>
        <w:t>Details of individual consultancies (valued at less than $10 000)</w:t>
      </w:r>
      <w:r w:rsidR="00A647EA" w:rsidRPr="00A647EA">
        <w:t xml:space="preserve"> </w:t>
      </w:r>
      <w:r w:rsidR="00A647EA">
        <w:tab/>
        <w:t>($)</w:t>
      </w:r>
    </w:p>
    <w:tbl>
      <w:tblPr>
        <w:tblStyle w:val="DTFtexttable"/>
        <w:tblW w:w="9287" w:type="dxa"/>
        <w:tblLook w:val="0460" w:firstRow="1" w:lastRow="1" w:firstColumn="0" w:lastColumn="0" w:noHBand="0" w:noVBand="1"/>
      </w:tblPr>
      <w:tblGrid>
        <w:gridCol w:w="2462"/>
        <w:gridCol w:w="2818"/>
        <w:gridCol w:w="1349"/>
        <w:gridCol w:w="1327"/>
        <w:gridCol w:w="1331"/>
      </w:tblGrid>
      <w:tr w:rsidR="00CE17B4" w:rsidRPr="00BC0ACB" w:rsidTr="00855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2462" w:type="dxa"/>
            <w:hideMark/>
          </w:tcPr>
          <w:p w:rsidR="00CE17B4" w:rsidRPr="00BC0ACB" w:rsidRDefault="00CE17B4" w:rsidP="00855CD9">
            <w:pPr>
              <w:pStyle w:val="Tableheader"/>
              <w:rPr>
                <w:b/>
              </w:rPr>
            </w:pPr>
            <w:bookmarkStart w:id="2" w:name="_Hlk17809178"/>
            <w:r w:rsidRPr="00BC0ACB">
              <w:rPr>
                <w:b/>
              </w:rPr>
              <w:t>Consultant engaged</w:t>
            </w:r>
          </w:p>
        </w:tc>
        <w:tc>
          <w:tcPr>
            <w:tcW w:w="2818" w:type="dxa"/>
            <w:hideMark/>
          </w:tcPr>
          <w:p w:rsidR="00CE17B4" w:rsidRPr="00BC0ACB" w:rsidRDefault="00CE17B4" w:rsidP="00855CD9">
            <w:pPr>
              <w:pStyle w:val="Tableheader"/>
              <w:rPr>
                <w:b/>
              </w:rPr>
            </w:pPr>
            <w:r w:rsidRPr="00BC0ACB">
              <w:rPr>
                <w:b/>
              </w:rPr>
              <w:t>Purpose of consultancy</w:t>
            </w:r>
          </w:p>
        </w:tc>
        <w:tc>
          <w:tcPr>
            <w:tcW w:w="1349" w:type="dxa"/>
            <w:hideMark/>
          </w:tcPr>
          <w:p w:rsidR="00CE17B4" w:rsidRPr="00BC0ACB" w:rsidRDefault="00CE17B4" w:rsidP="00855CD9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Total approved project fee (excl. GST)</w:t>
            </w:r>
          </w:p>
        </w:tc>
        <w:tc>
          <w:tcPr>
            <w:tcW w:w="1327" w:type="dxa"/>
            <w:hideMark/>
          </w:tcPr>
          <w:p w:rsidR="00CE17B4" w:rsidRPr="00BC0ACB" w:rsidRDefault="00CE17B4" w:rsidP="00855CD9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Expenditure 201</w:t>
            </w:r>
            <w:r w:rsidR="009C43CD">
              <w:rPr>
                <w:b/>
              </w:rPr>
              <w:t>8</w:t>
            </w:r>
            <w:r w:rsidRPr="00BC0ACB">
              <w:rPr>
                <w:b/>
              </w:rPr>
              <w:t>-1</w:t>
            </w:r>
            <w:r w:rsidR="009C43CD">
              <w:rPr>
                <w:b/>
              </w:rPr>
              <w:t>9</w:t>
            </w:r>
            <w:r w:rsidRPr="00BC0ACB">
              <w:rPr>
                <w:b/>
              </w:rPr>
              <w:br/>
              <w:t>(excl. GST)</w:t>
            </w:r>
          </w:p>
        </w:tc>
        <w:tc>
          <w:tcPr>
            <w:tcW w:w="1331" w:type="dxa"/>
            <w:hideMark/>
          </w:tcPr>
          <w:p w:rsidR="00CE17B4" w:rsidRPr="00BC0ACB" w:rsidRDefault="00CE17B4" w:rsidP="00855CD9">
            <w:pPr>
              <w:pStyle w:val="Tableheader"/>
              <w:jc w:val="right"/>
              <w:rPr>
                <w:b/>
              </w:rPr>
            </w:pPr>
            <w:r w:rsidRPr="00BC0ACB">
              <w:rPr>
                <w:b/>
              </w:rPr>
              <w:t>Future expenditure</w:t>
            </w:r>
            <w:r w:rsidRPr="00BC0ACB">
              <w:rPr>
                <w:b/>
              </w:rPr>
              <w:br/>
              <w:t>(excl. GST)</w:t>
            </w:r>
          </w:p>
        </w:tc>
      </w:tr>
      <w:tr w:rsidR="00F86E0F" w:rsidRPr="00F86E0F" w:rsidTr="00855CD9">
        <w:trPr>
          <w:trHeight w:val="6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Clayton Utz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Commercial and transaction advice (Public private partnership refinancing and project advice – City Link concession deed)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5 000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5 000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>
              <w:t>–</w:t>
            </w:r>
          </w:p>
        </w:tc>
      </w:tr>
      <w:tr w:rsidR="00F86E0F" w:rsidRPr="00F86E0F" w:rsidTr="00855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Corrs Chambers Westgarth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Commercial and transactional advice (Advice on the application of Victoria's Competitive Neutrality Policy)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5 000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4 968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32</w:t>
            </w:r>
          </w:p>
        </w:tc>
      </w:tr>
      <w:tr w:rsidR="00F86E0F" w:rsidRPr="00F86E0F" w:rsidTr="00855CD9">
        <w:trPr>
          <w:trHeight w:val="6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PS Projects Pty Ltd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Commercial and transaction advice  (Procurement review of the Royal Victorian Eye and Ear Hospital Project)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6 000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4 000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2 000</w:t>
            </w:r>
          </w:p>
        </w:tc>
      </w:tr>
      <w:tr w:rsidR="00F86E0F" w:rsidRPr="00F86E0F" w:rsidTr="00855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Spectrum Planning Solutions Pty Ltd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General professional services (Options for improving local government performance)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9 000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9 000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>
              <w:t>–</w:t>
            </w:r>
          </w:p>
        </w:tc>
      </w:tr>
      <w:tr w:rsidR="00F86E0F" w:rsidRPr="00F86E0F" w:rsidTr="00855CD9">
        <w:trPr>
          <w:trHeight w:val="3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SyRis Consulting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General professional advice (Professional services report on GST issues)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5 000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4 920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>
              <w:t>–</w:t>
            </w:r>
          </w:p>
        </w:tc>
      </w:tr>
      <w:tr w:rsidR="00F86E0F" w:rsidRPr="00F86E0F" w:rsidTr="00855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The University of Melbourne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General professional services (Policy option paper on how the State Government can effectively support housing affordability for all Victorians)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9 077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9 071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>
              <w:t>–</w:t>
            </w:r>
          </w:p>
        </w:tc>
      </w:tr>
      <w:tr w:rsidR="00F86E0F" w:rsidRPr="00F86E0F" w:rsidTr="00855CD9">
        <w:trPr>
          <w:trHeight w:val="600"/>
        </w:trPr>
        <w:tc>
          <w:tcPr>
            <w:tcW w:w="2462" w:type="dxa"/>
          </w:tcPr>
          <w:p w:rsidR="00F86E0F" w:rsidRPr="001A4906" w:rsidRDefault="00F86E0F" w:rsidP="00F86E0F">
            <w:pPr>
              <w:pStyle w:val="Tabletext"/>
            </w:pPr>
            <w:r w:rsidRPr="001A4906">
              <w:t>Victoria University</w:t>
            </w:r>
          </w:p>
        </w:tc>
        <w:tc>
          <w:tcPr>
            <w:tcW w:w="2818" w:type="dxa"/>
          </w:tcPr>
          <w:p w:rsidR="00F86E0F" w:rsidRPr="00F86E0F" w:rsidRDefault="00F86E0F" w:rsidP="00F86E0F">
            <w:pPr>
              <w:pStyle w:val="Tabletext"/>
            </w:pPr>
            <w:r w:rsidRPr="00F86E0F">
              <w:t>Commercial and transaction advice (Mid</w:t>
            </w:r>
            <w:r w:rsidRPr="00F86E0F">
              <w:noBreakHyphen/>
              <w:t>year update to macroeconomic condition)</w:t>
            </w:r>
          </w:p>
        </w:tc>
        <w:tc>
          <w:tcPr>
            <w:tcW w:w="1349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89 009</w:t>
            </w:r>
          </w:p>
        </w:tc>
        <w:tc>
          <w:tcPr>
            <w:tcW w:w="1327" w:type="dxa"/>
            <w:noWrap/>
          </w:tcPr>
          <w:p w:rsidR="00F86E0F" w:rsidRPr="00F86E0F" w:rsidRDefault="00F86E0F" w:rsidP="00F86E0F">
            <w:pPr>
              <w:pStyle w:val="Tabletextright"/>
            </w:pPr>
            <w:r w:rsidRPr="00F86E0F">
              <w:t>7 856</w:t>
            </w:r>
          </w:p>
        </w:tc>
        <w:tc>
          <w:tcPr>
            <w:tcW w:w="1331" w:type="dxa"/>
            <w:noWrap/>
          </w:tcPr>
          <w:p w:rsidR="00F86E0F" w:rsidRPr="00F86E0F" w:rsidRDefault="00F86E0F" w:rsidP="00F86E0F">
            <w:pPr>
              <w:pStyle w:val="Tabletextright"/>
            </w:pPr>
            <w:r>
              <w:t>–</w:t>
            </w:r>
          </w:p>
        </w:tc>
      </w:tr>
      <w:tr w:rsidR="00CE17B4" w:rsidRPr="00BC0ACB" w:rsidTr="00855C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62" w:type="dxa"/>
            <w:hideMark/>
          </w:tcPr>
          <w:p w:rsidR="00CE17B4" w:rsidRPr="00BC0ACB" w:rsidRDefault="00CE17B4" w:rsidP="00855CD9">
            <w:pPr>
              <w:pStyle w:val="Tabletextboldwhite"/>
              <w:rPr>
                <w:b/>
              </w:rPr>
            </w:pPr>
            <w:r w:rsidRPr="00BC0ACB">
              <w:rPr>
                <w:b/>
              </w:rPr>
              <w:t>Total</w:t>
            </w:r>
          </w:p>
        </w:tc>
        <w:tc>
          <w:tcPr>
            <w:tcW w:w="2818" w:type="dxa"/>
            <w:hideMark/>
          </w:tcPr>
          <w:p w:rsidR="00CE17B4" w:rsidRPr="00BC0ACB" w:rsidRDefault="009C43CD" w:rsidP="00855CD9">
            <w:pPr>
              <w:pStyle w:val="Tabletextboldwhite"/>
              <w:rPr>
                <w:b/>
              </w:rPr>
            </w:pPr>
            <w:r>
              <w:rPr>
                <w:b/>
              </w:rPr>
              <w:t>7</w:t>
            </w:r>
            <w:r w:rsidR="00CE17B4" w:rsidRPr="00BC0ACB">
              <w:rPr>
                <w:b/>
              </w:rPr>
              <w:t xml:space="preserve"> consultancies</w:t>
            </w:r>
          </w:p>
        </w:tc>
        <w:tc>
          <w:tcPr>
            <w:tcW w:w="1349" w:type="dxa"/>
          </w:tcPr>
          <w:p w:rsidR="00CE17B4" w:rsidRPr="004D7DBF" w:rsidRDefault="00CE17B4" w:rsidP="00855CD9">
            <w:pPr>
              <w:pStyle w:val="Tabletextrightbold"/>
              <w:rPr>
                <w:b/>
              </w:rPr>
            </w:pPr>
            <w:r w:rsidRPr="004D7DBF">
              <w:rPr>
                <w:b/>
              </w:rPr>
              <w:t>128 086</w:t>
            </w:r>
          </w:p>
        </w:tc>
        <w:tc>
          <w:tcPr>
            <w:tcW w:w="1327" w:type="dxa"/>
          </w:tcPr>
          <w:p w:rsidR="00CE17B4" w:rsidRPr="004D7DBF" w:rsidRDefault="00CE17B4" w:rsidP="00855CD9">
            <w:pPr>
              <w:pStyle w:val="Tabletextrightbold"/>
              <w:rPr>
                <w:b/>
              </w:rPr>
            </w:pPr>
            <w:r w:rsidRPr="004D7DBF">
              <w:rPr>
                <w:b/>
              </w:rPr>
              <w:t>44 815</w:t>
            </w:r>
          </w:p>
        </w:tc>
        <w:tc>
          <w:tcPr>
            <w:tcW w:w="1331" w:type="dxa"/>
          </w:tcPr>
          <w:p w:rsidR="00CE17B4" w:rsidRPr="004D7DBF" w:rsidRDefault="00CE17B4" w:rsidP="00855CD9">
            <w:pPr>
              <w:pStyle w:val="Tabletextrightbold"/>
              <w:rPr>
                <w:b/>
              </w:rPr>
            </w:pPr>
            <w:r w:rsidRPr="004D7DBF">
              <w:rPr>
                <w:b/>
              </w:rPr>
              <w:t>2 032</w:t>
            </w:r>
          </w:p>
        </w:tc>
      </w:tr>
      <w:bookmarkEnd w:id="2"/>
    </w:tbl>
    <w:p w:rsidR="00D0398F" w:rsidRDefault="00D0398F" w:rsidP="00536724">
      <w:pPr>
        <w:rPr>
          <w:rFonts w:eastAsiaTheme="majorEastAsia"/>
        </w:rPr>
      </w:pPr>
    </w:p>
    <w:bookmarkEnd w:id="0"/>
    <w:p w:rsidR="00BD09EE" w:rsidRDefault="00BD09EE" w:rsidP="00536724">
      <w:pPr>
        <w:rPr>
          <w:rFonts w:eastAsiaTheme="majorEastAsia"/>
        </w:rPr>
      </w:pPr>
    </w:p>
    <w:sectPr w:rsidR="00BD09EE" w:rsidSect="00BD6EE3">
      <w:headerReference w:type="default" r:id="rId8"/>
      <w:footerReference w:type="default" r:id="rId9"/>
      <w:pgSz w:w="11906" w:h="16838" w:code="9"/>
      <w:pgMar w:top="2160" w:right="1440" w:bottom="99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30" w:rsidRDefault="00785730" w:rsidP="002D711A">
      <w:pPr>
        <w:spacing w:after="0" w:line="240" w:lineRule="auto"/>
      </w:pPr>
      <w:r>
        <w:separator/>
      </w:r>
    </w:p>
  </w:endnote>
  <w:endnote w:type="continuationSeparator" w:id="0">
    <w:p w:rsidR="00785730" w:rsidRDefault="00785730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30" w:rsidRPr="00652D4E" w:rsidRDefault="00785730" w:rsidP="00652D4E">
    <w:pPr>
      <w:pStyle w:val="Spacer"/>
      <w:tabs>
        <w:tab w:val="right" w:pos="9000"/>
      </w:tabs>
      <w:rPr>
        <w:rStyle w:val="PageNumber"/>
        <w:sz w:val="18"/>
      </w:rPr>
    </w:pPr>
    <w:r w:rsidRPr="00652D4E"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10236835</wp:posOffset>
              </wp:positionV>
              <wp:extent cx="7562088" cy="265176"/>
              <wp:effectExtent l="0" t="0" r="0" b="1905"/>
              <wp:wrapNone/>
              <wp:docPr id="3" name="MSIPCMd4a04fb6b5bf7e84842fa5a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088" cy="2651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85730" w:rsidRPr="00626A91" w:rsidRDefault="00785730" w:rsidP="00626A9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626A9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a04fb6b5bf7e84842fa5a4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6.05pt;width:595.45pt;height:20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" o:allowincell="f" filled="f" stroked="f" strokeweight=".5pt">
              <v:textbox inset="20pt,0,,0">
                <w:txbxContent>
                  <w:p w:rsidR="00785730" w:rsidRPr="00626A91" w:rsidRDefault="00785730" w:rsidP="00626A9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626A9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52D4E">
      <w:rPr>
        <w:b/>
        <w:color w:val="0063A6" w:themeColor="accent1"/>
        <w:sz w:val="18"/>
      </w:rPr>
      <w:fldChar w:fldCharType="begin"/>
    </w:r>
    <w:r w:rsidRPr="00652D4E">
      <w:rPr>
        <w:b/>
        <w:color w:val="0063A6" w:themeColor="accent1"/>
        <w:sz w:val="18"/>
      </w:rPr>
      <w:instrText xml:space="preserve"> StyleRef “Title” </w:instrText>
    </w:r>
    <w:r w:rsidRPr="00652D4E">
      <w:rPr>
        <w:b/>
        <w:color w:val="0063A6" w:themeColor="accent1"/>
        <w:sz w:val="18"/>
      </w:rPr>
      <w:fldChar w:fldCharType="separate"/>
    </w:r>
    <w:r w:rsidR="00CB742A">
      <w:rPr>
        <w:b/>
        <w:noProof/>
        <w:color w:val="0063A6" w:themeColor="accent1"/>
        <w:sz w:val="18"/>
      </w:rPr>
      <w:t>Department of Treasury and Finance 2018–19 Annual Report</w:t>
    </w:r>
    <w:r w:rsidRPr="00652D4E">
      <w:rPr>
        <w:b/>
        <w:color w:val="0063A6" w:themeColor="accent1"/>
        <w:sz w:val="18"/>
      </w:rPr>
      <w:fldChar w:fldCharType="end"/>
    </w:r>
    <w:r w:rsidRPr="00652D4E">
      <w:rPr>
        <w:sz w:val="18"/>
      </w:rPr>
      <w:t xml:space="preserve"> </w:t>
    </w:r>
    <w:r w:rsidRPr="00652D4E">
      <w:rPr>
        <w:sz w:val="18"/>
      </w:rPr>
      <w:tab/>
      <w:t xml:space="preserve">Page </w:t>
    </w:r>
    <w:r w:rsidRPr="00652D4E">
      <w:rPr>
        <w:rStyle w:val="PageNumber"/>
        <w:sz w:val="18"/>
      </w:rPr>
      <w:fldChar w:fldCharType="begin"/>
    </w:r>
    <w:r w:rsidRPr="00652D4E">
      <w:rPr>
        <w:rStyle w:val="PageNumber"/>
        <w:sz w:val="18"/>
      </w:rPr>
      <w:instrText xml:space="preserve"> Page </w:instrText>
    </w:r>
    <w:r w:rsidRPr="00652D4E">
      <w:rPr>
        <w:rStyle w:val="PageNumber"/>
        <w:sz w:val="18"/>
      </w:rPr>
      <w:fldChar w:fldCharType="separate"/>
    </w:r>
    <w:r w:rsidRPr="00652D4E">
      <w:rPr>
        <w:rStyle w:val="PageNumber"/>
        <w:sz w:val="18"/>
      </w:rPr>
      <w:t>7</w:t>
    </w:r>
    <w:r w:rsidRPr="00652D4E">
      <w:rPr>
        <w:rStyle w:val="PageNumber"/>
        <w:sz w:val="18"/>
      </w:rPr>
      <w:fldChar w:fldCharType="end"/>
    </w:r>
  </w:p>
  <w:p w:rsidR="00785730" w:rsidRPr="00C022F9" w:rsidRDefault="00785730" w:rsidP="0041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30" w:rsidRDefault="00785730" w:rsidP="002D711A">
      <w:pPr>
        <w:spacing w:after="0" w:line="240" w:lineRule="auto"/>
      </w:pPr>
      <w:r>
        <w:separator/>
      </w:r>
    </w:p>
  </w:footnote>
  <w:footnote w:type="continuationSeparator" w:id="0">
    <w:p w:rsidR="00785730" w:rsidRDefault="00785730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30" w:rsidRPr="0041689E" w:rsidRDefault="0078573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C5DEC9" wp14:editId="4300B423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D0B8AF2" wp14:editId="0EDE0C6E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7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13C"/>
    <w:multiLevelType w:val="hybridMultilevel"/>
    <w:tmpl w:val="DB34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84A22"/>
    <w:multiLevelType w:val="hybridMultilevel"/>
    <w:tmpl w:val="C480F83C"/>
    <w:lvl w:ilvl="0" w:tplc="BE3EF5B8">
      <w:numFmt w:val="bullet"/>
      <w:lvlText w:val="-"/>
      <w:lvlJc w:val="left"/>
      <w:pPr>
        <w:ind w:left="6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23732AC6"/>
    <w:multiLevelType w:val="hybridMultilevel"/>
    <w:tmpl w:val="DDBE6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1778A9"/>
    <w:multiLevelType w:val="hybridMultilevel"/>
    <w:tmpl w:val="85105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04211"/>
    <w:multiLevelType w:val="hybridMultilevel"/>
    <w:tmpl w:val="9B28D0CA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8E8331D"/>
    <w:multiLevelType w:val="hybridMultilevel"/>
    <w:tmpl w:val="EE1AF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A1C"/>
    <w:multiLevelType w:val="multilevel"/>
    <w:tmpl w:val="394A3B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10" w15:restartNumberingAfterBreak="0">
    <w:nsid w:val="6F87598C"/>
    <w:multiLevelType w:val="hybridMultilevel"/>
    <w:tmpl w:val="7806F6AC"/>
    <w:lvl w:ilvl="0" w:tplc="D974E9F2">
      <w:start w:val="1"/>
      <w:numFmt w:val="bullet"/>
      <w:pStyle w:val="Tableheader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4"/>
  </w:num>
  <w:num w:numId="18">
    <w:abstractNumId w:val="4"/>
  </w:num>
  <w:num w:numId="19">
    <w:abstractNumId w:val="12"/>
  </w:num>
  <w:num w:numId="20">
    <w:abstractNumId w:val="11"/>
  </w:num>
  <w:num w:numId="21">
    <w:abstractNumId w:val="1"/>
  </w:num>
  <w:num w:numId="22">
    <w:abstractNumId w:val="1"/>
  </w:num>
  <w:num w:numId="23">
    <w:abstractNumId w:val="1"/>
  </w:num>
  <w:num w:numId="24">
    <w:abstractNumId w:val="12"/>
  </w:num>
  <w:num w:numId="25">
    <w:abstractNumId w:val="13"/>
  </w:num>
  <w:num w:numId="26">
    <w:abstractNumId w:val="4"/>
  </w:num>
  <w:num w:numId="27">
    <w:abstractNumId w:val="4"/>
  </w:num>
  <w:num w:numId="28">
    <w:abstractNumId w:val="9"/>
  </w:num>
  <w:num w:numId="29">
    <w:abstractNumId w:val="3"/>
  </w:num>
  <w:num w:numId="30">
    <w:abstractNumId w:val="10"/>
  </w:num>
  <w:num w:numId="31">
    <w:abstractNumId w:val="6"/>
  </w:num>
  <w:num w:numId="32">
    <w:abstractNumId w:val="8"/>
  </w:num>
  <w:num w:numId="33">
    <w:abstractNumId w:val="2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77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45A86"/>
    <w:rsid w:val="00073D18"/>
    <w:rsid w:val="0007595B"/>
    <w:rsid w:val="00075E6C"/>
    <w:rsid w:val="00075E96"/>
    <w:rsid w:val="000852F1"/>
    <w:rsid w:val="00085505"/>
    <w:rsid w:val="000A54AA"/>
    <w:rsid w:val="000B29AD"/>
    <w:rsid w:val="000B353F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27591"/>
    <w:rsid w:val="00134CEA"/>
    <w:rsid w:val="001422CC"/>
    <w:rsid w:val="001617B6"/>
    <w:rsid w:val="00165E66"/>
    <w:rsid w:val="0018794C"/>
    <w:rsid w:val="001A3DD1"/>
    <w:rsid w:val="001A4906"/>
    <w:rsid w:val="001A60C0"/>
    <w:rsid w:val="001B1449"/>
    <w:rsid w:val="001B3270"/>
    <w:rsid w:val="001C7B1C"/>
    <w:rsid w:val="001C7BAE"/>
    <w:rsid w:val="001D717E"/>
    <w:rsid w:val="001E1545"/>
    <w:rsid w:val="001E31FA"/>
    <w:rsid w:val="001E64F6"/>
    <w:rsid w:val="00217051"/>
    <w:rsid w:val="00222BEB"/>
    <w:rsid w:val="00225E60"/>
    <w:rsid w:val="0023202C"/>
    <w:rsid w:val="00236203"/>
    <w:rsid w:val="002373E8"/>
    <w:rsid w:val="002418A5"/>
    <w:rsid w:val="00245043"/>
    <w:rsid w:val="0025097B"/>
    <w:rsid w:val="00257760"/>
    <w:rsid w:val="0027638A"/>
    <w:rsid w:val="00292D36"/>
    <w:rsid w:val="00297281"/>
    <w:rsid w:val="002A29CF"/>
    <w:rsid w:val="002C54E0"/>
    <w:rsid w:val="002D10F4"/>
    <w:rsid w:val="002D69EB"/>
    <w:rsid w:val="002D711A"/>
    <w:rsid w:val="002D7336"/>
    <w:rsid w:val="002E3396"/>
    <w:rsid w:val="002F2BE1"/>
    <w:rsid w:val="00300ECD"/>
    <w:rsid w:val="0031149C"/>
    <w:rsid w:val="00320C38"/>
    <w:rsid w:val="00330917"/>
    <w:rsid w:val="00343AC1"/>
    <w:rsid w:val="0035319C"/>
    <w:rsid w:val="0036584A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856"/>
    <w:rsid w:val="003D6D85"/>
    <w:rsid w:val="003E0399"/>
    <w:rsid w:val="003E3E26"/>
    <w:rsid w:val="003F1295"/>
    <w:rsid w:val="003F76FC"/>
    <w:rsid w:val="004002EB"/>
    <w:rsid w:val="00402FE1"/>
    <w:rsid w:val="00405C57"/>
    <w:rsid w:val="00411A32"/>
    <w:rsid w:val="004164B1"/>
    <w:rsid w:val="0041689E"/>
    <w:rsid w:val="004236C8"/>
    <w:rsid w:val="00427681"/>
    <w:rsid w:val="00433DB7"/>
    <w:rsid w:val="00453750"/>
    <w:rsid w:val="00456941"/>
    <w:rsid w:val="004619B9"/>
    <w:rsid w:val="004669E3"/>
    <w:rsid w:val="004702EA"/>
    <w:rsid w:val="004819E6"/>
    <w:rsid w:val="00482D02"/>
    <w:rsid w:val="00484382"/>
    <w:rsid w:val="004A7519"/>
    <w:rsid w:val="004B41CA"/>
    <w:rsid w:val="004B50FD"/>
    <w:rsid w:val="004D3518"/>
    <w:rsid w:val="004D62D6"/>
    <w:rsid w:val="004E3A79"/>
    <w:rsid w:val="0053416C"/>
    <w:rsid w:val="00536724"/>
    <w:rsid w:val="00541BDE"/>
    <w:rsid w:val="00541C2F"/>
    <w:rsid w:val="00563527"/>
    <w:rsid w:val="005667B3"/>
    <w:rsid w:val="00572B0F"/>
    <w:rsid w:val="0058124E"/>
    <w:rsid w:val="00584301"/>
    <w:rsid w:val="0058466C"/>
    <w:rsid w:val="00584B8D"/>
    <w:rsid w:val="005875A3"/>
    <w:rsid w:val="005A3416"/>
    <w:rsid w:val="005B27FE"/>
    <w:rsid w:val="005C3E6D"/>
    <w:rsid w:val="005F61DF"/>
    <w:rsid w:val="005F7322"/>
    <w:rsid w:val="006023F9"/>
    <w:rsid w:val="00610559"/>
    <w:rsid w:val="00624F38"/>
    <w:rsid w:val="00626A91"/>
    <w:rsid w:val="006332F6"/>
    <w:rsid w:val="006361E7"/>
    <w:rsid w:val="0064339C"/>
    <w:rsid w:val="006446CC"/>
    <w:rsid w:val="00652625"/>
    <w:rsid w:val="00652D4E"/>
    <w:rsid w:val="006534B2"/>
    <w:rsid w:val="0065615D"/>
    <w:rsid w:val="00657011"/>
    <w:rsid w:val="006650B5"/>
    <w:rsid w:val="006651B1"/>
    <w:rsid w:val="00665778"/>
    <w:rsid w:val="006738C4"/>
    <w:rsid w:val="00680BFC"/>
    <w:rsid w:val="006826D1"/>
    <w:rsid w:val="006A5B34"/>
    <w:rsid w:val="006A5F5B"/>
    <w:rsid w:val="006B0715"/>
    <w:rsid w:val="006C4323"/>
    <w:rsid w:val="006C77A9"/>
    <w:rsid w:val="006E2C89"/>
    <w:rsid w:val="006F58DA"/>
    <w:rsid w:val="006F6693"/>
    <w:rsid w:val="00700B9F"/>
    <w:rsid w:val="00707FE8"/>
    <w:rsid w:val="00717535"/>
    <w:rsid w:val="00723357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85730"/>
    <w:rsid w:val="00791020"/>
    <w:rsid w:val="00791AEF"/>
    <w:rsid w:val="007932B7"/>
    <w:rsid w:val="007A155D"/>
    <w:rsid w:val="007A34F2"/>
    <w:rsid w:val="007A5F82"/>
    <w:rsid w:val="007B0AC7"/>
    <w:rsid w:val="007B75A4"/>
    <w:rsid w:val="007C35C7"/>
    <w:rsid w:val="007F1A4C"/>
    <w:rsid w:val="00801314"/>
    <w:rsid w:val="008022C3"/>
    <w:rsid w:val="008041E6"/>
    <w:rsid w:val="008065D2"/>
    <w:rsid w:val="0082194C"/>
    <w:rsid w:val="008220C4"/>
    <w:rsid w:val="008222FF"/>
    <w:rsid w:val="008241FF"/>
    <w:rsid w:val="00826ADD"/>
    <w:rsid w:val="00833C1F"/>
    <w:rsid w:val="008411E5"/>
    <w:rsid w:val="008411E9"/>
    <w:rsid w:val="0084200F"/>
    <w:rsid w:val="008438C2"/>
    <w:rsid w:val="00843B2C"/>
    <w:rsid w:val="008471C4"/>
    <w:rsid w:val="00854A8E"/>
    <w:rsid w:val="00855CD9"/>
    <w:rsid w:val="00891CC4"/>
    <w:rsid w:val="008A0AC8"/>
    <w:rsid w:val="008A4900"/>
    <w:rsid w:val="008C3368"/>
    <w:rsid w:val="008D0281"/>
    <w:rsid w:val="008D315B"/>
    <w:rsid w:val="008E231F"/>
    <w:rsid w:val="008E3C4E"/>
    <w:rsid w:val="008F334C"/>
    <w:rsid w:val="008F6D45"/>
    <w:rsid w:val="00903F64"/>
    <w:rsid w:val="00912208"/>
    <w:rsid w:val="0091367A"/>
    <w:rsid w:val="00915D59"/>
    <w:rsid w:val="00944FE2"/>
    <w:rsid w:val="00960C1C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184A"/>
    <w:rsid w:val="009C3953"/>
    <w:rsid w:val="009C3D88"/>
    <w:rsid w:val="009C43CD"/>
    <w:rsid w:val="009C5843"/>
    <w:rsid w:val="009D650A"/>
    <w:rsid w:val="009E3858"/>
    <w:rsid w:val="009E70DD"/>
    <w:rsid w:val="009F2E9E"/>
    <w:rsid w:val="009F2ED9"/>
    <w:rsid w:val="009F3231"/>
    <w:rsid w:val="009F5C58"/>
    <w:rsid w:val="00A023A0"/>
    <w:rsid w:val="00A14DDB"/>
    <w:rsid w:val="00A1562B"/>
    <w:rsid w:val="00A170F4"/>
    <w:rsid w:val="00A2559E"/>
    <w:rsid w:val="00A25FD9"/>
    <w:rsid w:val="00A46BA8"/>
    <w:rsid w:val="00A47634"/>
    <w:rsid w:val="00A612FE"/>
    <w:rsid w:val="00A647EA"/>
    <w:rsid w:val="00A9320B"/>
    <w:rsid w:val="00AA26B8"/>
    <w:rsid w:val="00AA3B00"/>
    <w:rsid w:val="00AA6FB5"/>
    <w:rsid w:val="00AB3FE2"/>
    <w:rsid w:val="00AB557B"/>
    <w:rsid w:val="00AC6DA5"/>
    <w:rsid w:val="00AC72C9"/>
    <w:rsid w:val="00AD3322"/>
    <w:rsid w:val="00AD7E4E"/>
    <w:rsid w:val="00AF09F9"/>
    <w:rsid w:val="00AF34DE"/>
    <w:rsid w:val="00AF4D58"/>
    <w:rsid w:val="00AF6666"/>
    <w:rsid w:val="00AF6D81"/>
    <w:rsid w:val="00B02214"/>
    <w:rsid w:val="00B02F7F"/>
    <w:rsid w:val="00B10154"/>
    <w:rsid w:val="00B21839"/>
    <w:rsid w:val="00B23687"/>
    <w:rsid w:val="00B31DD0"/>
    <w:rsid w:val="00B31F14"/>
    <w:rsid w:val="00B63E83"/>
    <w:rsid w:val="00B809E3"/>
    <w:rsid w:val="00B81B44"/>
    <w:rsid w:val="00B9053B"/>
    <w:rsid w:val="00B90EF2"/>
    <w:rsid w:val="00B9292A"/>
    <w:rsid w:val="00BC0ACB"/>
    <w:rsid w:val="00BC3422"/>
    <w:rsid w:val="00BC5BF9"/>
    <w:rsid w:val="00BD09EE"/>
    <w:rsid w:val="00BD2F85"/>
    <w:rsid w:val="00BD6EE3"/>
    <w:rsid w:val="00BE0BFF"/>
    <w:rsid w:val="00BE3C07"/>
    <w:rsid w:val="00C015B9"/>
    <w:rsid w:val="00C022F9"/>
    <w:rsid w:val="00C032EA"/>
    <w:rsid w:val="00C06EB5"/>
    <w:rsid w:val="00C1145F"/>
    <w:rsid w:val="00C44169"/>
    <w:rsid w:val="00C637E1"/>
    <w:rsid w:val="00C70D50"/>
    <w:rsid w:val="00C75EA6"/>
    <w:rsid w:val="00C76412"/>
    <w:rsid w:val="00C8243E"/>
    <w:rsid w:val="00C907D7"/>
    <w:rsid w:val="00C92338"/>
    <w:rsid w:val="00CA7C3A"/>
    <w:rsid w:val="00CB742A"/>
    <w:rsid w:val="00CC2DB2"/>
    <w:rsid w:val="00CD0307"/>
    <w:rsid w:val="00CD3D1B"/>
    <w:rsid w:val="00CE17B4"/>
    <w:rsid w:val="00CE2230"/>
    <w:rsid w:val="00CE62B3"/>
    <w:rsid w:val="00CF7DCA"/>
    <w:rsid w:val="00D0398F"/>
    <w:rsid w:val="00D211E9"/>
    <w:rsid w:val="00D2312F"/>
    <w:rsid w:val="00D269C1"/>
    <w:rsid w:val="00D3141B"/>
    <w:rsid w:val="00D44953"/>
    <w:rsid w:val="00D51831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50AE"/>
    <w:rsid w:val="00DA3AAD"/>
    <w:rsid w:val="00DB312B"/>
    <w:rsid w:val="00DB5E12"/>
    <w:rsid w:val="00DC5654"/>
    <w:rsid w:val="00DC658F"/>
    <w:rsid w:val="00DD52E7"/>
    <w:rsid w:val="00DE60CC"/>
    <w:rsid w:val="00DF7936"/>
    <w:rsid w:val="00E02A81"/>
    <w:rsid w:val="00E07EA4"/>
    <w:rsid w:val="00E11977"/>
    <w:rsid w:val="00E15569"/>
    <w:rsid w:val="00E24AD3"/>
    <w:rsid w:val="00E26B32"/>
    <w:rsid w:val="00E31444"/>
    <w:rsid w:val="00E407B6"/>
    <w:rsid w:val="00E41EF1"/>
    <w:rsid w:val="00E42942"/>
    <w:rsid w:val="00E468A6"/>
    <w:rsid w:val="00E53E32"/>
    <w:rsid w:val="00E71BDF"/>
    <w:rsid w:val="00E83CA7"/>
    <w:rsid w:val="00E9038C"/>
    <w:rsid w:val="00E97A8A"/>
    <w:rsid w:val="00EB0EEB"/>
    <w:rsid w:val="00EB6FFA"/>
    <w:rsid w:val="00EC171D"/>
    <w:rsid w:val="00EC4490"/>
    <w:rsid w:val="00EC5A3D"/>
    <w:rsid w:val="00ED487E"/>
    <w:rsid w:val="00EE2D9F"/>
    <w:rsid w:val="00EE7303"/>
    <w:rsid w:val="00EE7A0D"/>
    <w:rsid w:val="00EF0D21"/>
    <w:rsid w:val="00EF264C"/>
    <w:rsid w:val="00F15866"/>
    <w:rsid w:val="00F17CE1"/>
    <w:rsid w:val="00F2115C"/>
    <w:rsid w:val="00F22ABA"/>
    <w:rsid w:val="00F247F2"/>
    <w:rsid w:val="00F36B12"/>
    <w:rsid w:val="00F417C3"/>
    <w:rsid w:val="00F60F9F"/>
    <w:rsid w:val="00F64F08"/>
    <w:rsid w:val="00F652D2"/>
    <w:rsid w:val="00F734F5"/>
    <w:rsid w:val="00F86E0F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368A6D05"/>
  <w15:docId w15:val="{192707C2-B6A1-4270-93CD-77A6CE3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7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11977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50F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19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11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11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2335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1197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1197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1197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1197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1197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1197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1197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B50FD"/>
    <w:rPr>
      <w:rFonts w:asciiTheme="majorHAnsi" w:eastAsiaTheme="majorEastAsia" w:hAnsiTheme="majorHAnsi" w:cstheme="majorBidi"/>
      <w:b/>
      <w:bCs/>
      <w:color w:val="0063A6" w:themeColor="accent1"/>
      <w:spacing w:val="2"/>
      <w:sz w:val="26"/>
      <w:szCs w:val="26"/>
    </w:rPr>
  </w:style>
  <w:style w:type="paragraph" w:customStyle="1" w:styleId="Bullet1">
    <w:name w:val="Bullet 1"/>
    <w:uiPriority w:val="1"/>
    <w:qFormat/>
    <w:rsid w:val="00E11977"/>
    <w:pPr>
      <w:numPr>
        <w:numId w:val="1"/>
      </w:numPr>
      <w:spacing w:before="100" w:after="100" w:line="240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1197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1197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1197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1197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1197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1197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1197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1197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E1197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1197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1197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E1197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1197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E1197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1197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1197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1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977"/>
    <w:rPr>
      <w:spacing w:val="2"/>
    </w:rPr>
  </w:style>
  <w:style w:type="paragraph" w:styleId="Footer">
    <w:name w:val="footer"/>
    <w:basedOn w:val="Normal"/>
    <w:link w:val="FooterChar"/>
    <w:uiPriority w:val="24"/>
    <w:rsid w:val="00E1197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1197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1197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1197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1197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1197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1197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1197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1197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1197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1197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72335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1197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link w:val="TabletextChar"/>
    <w:uiPriority w:val="5"/>
    <w:qFormat/>
    <w:rsid w:val="00E1197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1197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1197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1197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1197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E1197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E1197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36724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E1197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E1197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E11977"/>
    <w:pPr>
      <w:ind w:left="288"/>
    </w:pPr>
  </w:style>
  <w:style w:type="paragraph" w:customStyle="1" w:styleId="Numpara">
    <w:name w:val="Num para"/>
    <w:basedOn w:val="ListParagraph"/>
    <w:uiPriority w:val="2"/>
    <w:qFormat/>
    <w:rsid w:val="00E1197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E1197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1197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1197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7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E1197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1197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1197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1197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1197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1197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E11977"/>
    <w:pPr>
      <w:ind w:left="792"/>
    </w:pPr>
  </w:style>
  <w:style w:type="paragraph" w:styleId="Caption">
    <w:name w:val="caption"/>
    <w:basedOn w:val="Normal"/>
    <w:next w:val="Normal"/>
    <w:uiPriority w:val="35"/>
    <w:rsid w:val="00E1197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bullet">
    <w:name w:val="Table header bullet"/>
    <w:basedOn w:val="Tableheader"/>
    <w:qFormat/>
    <w:rsid w:val="004B50FD"/>
    <w:pPr>
      <w:numPr>
        <w:numId w:val="30"/>
      </w:numPr>
      <w:spacing w:before="0" w:after="0"/>
      <w:ind w:left="245" w:hanging="245"/>
    </w:pPr>
    <w:rPr>
      <w:b w:val="0"/>
      <w:sz w:val="14"/>
      <w:szCs w:val="14"/>
    </w:rPr>
  </w:style>
  <w:style w:type="paragraph" w:customStyle="1" w:styleId="TableBulletDash">
    <w:name w:val="Table Bullet Dash"/>
    <w:basedOn w:val="Normal"/>
    <w:uiPriority w:val="16"/>
    <w:rsid w:val="00E11977"/>
    <w:pPr>
      <w:numPr>
        <w:ilvl w:val="1"/>
        <w:numId w:val="28"/>
      </w:numPr>
      <w:tabs>
        <w:tab w:val="clear" w:pos="454"/>
        <w:tab w:val="num" w:pos="607"/>
      </w:tabs>
      <w:spacing w:before="0" w:after="0" w:line="240" w:lineRule="auto"/>
      <w:ind w:left="607" w:hanging="270"/>
    </w:pPr>
    <w:rPr>
      <w:rFonts w:ascii="Calibri" w:eastAsia="Times New Roman" w:hAnsi="Calibri" w:cs="Calibri"/>
      <w:color w:val="404040"/>
      <w:spacing w:val="0"/>
      <w:szCs w:val="22"/>
    </w:rPr>
  </w:style>
  <w:style w:type="paragraph" w:customStyle="1" w:styleId="TableBullet0">
    <w:name w:val="Table Bullet"/>
    <w:basedOn w:val="Normal"/>
    <w:uiPriority w:val="16"/>
    <w:qFormat/>
    <w:rsid w:val="009C3953"/>
    <w:pPr>
      <w:tabs>
        <w:tab w:val="num" w:pos="227"/>
      </w:tabs>
      <w:spacing w:before="0" w:after="0" w:line="240" w:lineRule="auto"/>
      <w:ind w:left="227" w:hanging="227"/>
    </w:pPr>
    <w:rPr>
      <w:rFonts w:ascii="Calibri" w:eastAsia="Times New Roman" w:hAnsi="Calibri" w:cs="Calibri"/>
      <w:color w:val="404040" w:themeColor="text1" w:themeTint="BF"/>
      <w:spacing w:val="0"/>
      <w:szCs w:val="22"/>
    </w:rPr>
  </w:style>
  <w:style w:type="paragraph" w:customStyle="1" w:styleId="Tabletextboldwhite">
    <w:name w:val="Table text bold white"/>
    <w:basedOn w:val="Tabletext"/>
    <w:qFormat/>
    <w:rsid w:val="00536724"/>
    <w:rPr>
      <w:rFonts w:eastAsia="Times New Roman"/>
      <w:b/>
      <w:color w:val="FFFFFF" w:themeColor="background1"/>
    </w:rPr>
  </w:style>
  <w:style w:type="paragraph" w:customStyle="1" w:styleId="Tabletextrightbold">
    <w:name w:val="Table text right bold"/>
    <w:basedOn w:val="Tabletextright"/>
    <w:qFormat/>
    <w:rsid w:val="00536724"/>
    <w:rPr>
      <w:rFonts w:eastAsia="Times New Roman"/>
      <w:b/>
      <w:color w:val="FFFFFF" w:themeColor="background1"/>
    </w:rPr>
  </w:style>
  <w:style w:type="character" w:customStyle="1" w:styleId="TabletextChar">
    <w:name w:val="Table text Char"/>
    <w:link w:val="Tabletext"/>
    <w:uiPriority w:val="5"/>
    <w:rsid w:val="00DD52E7"/>
    <w:rPr>
      <w:spacing w:val="2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8ED4-5251-4CFE-BA91-B8C295D8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69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Kate Atherton (DTF)</cp:lastModifiedBy>
  <cp:revision>17</cp:revision>
  <cp:lastPrinted>2019-08-02T04:00:00Z</cp:lastPrinted>
  <dcterms:created xsi:type="dcterms:W3CDTF">2019-08-01T22:57:00Z</dcterms:created>
  <dcterms:modified xsi:type="dcterms:W3CDTF">2019-09-30T00:29:00Z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45a82230-0f27-4baa-b207-350340062113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Deidre.Steain@dtf.vic.gov.au</vt:lpwstr>
  </property>
  <property fmtid="{D5CDD505-2E9C-101B-9397-08002B2CF9AE}" pid="8" name="MSIP_Label_7158ebbd-6c5e-441f-bfc9-4eb8c11e3978_SetDate">
    <vt:lpwstr>2019-08-01T22:57:17.2635208Z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