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1.xml" ContentType="application/vnd.openxmlformats-officedocument.wordprocessingml.header+xml"/>
  <Override PartName="/word/footer3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4.xml" ContentType="application/vnd.openxmlformats-officedocument.wordprocessingml.header+xml"/>
  <Override PartName="/word/footer4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8F" w:rsidRDefault="00F8108F" w:rsidP="00F8108F">
      <w:bookmarkStart w:id="0" w:name="_GoBack"/>
      <w:bookmarkEnd w:id="0"/>
      <w:r>
        <w:rPr>
          <w:noProof/>
        </w:rPr>
        <w:drawing>
          <wp:anchor distT="0" distB="0" distL="114300" distR="114300" simplePos="0" relativeHeight="251658240" behindDoc="0" locked="0" layoutInCell="1" allowOverlap="1">
            <wp:simplePos x="0" y="0"/>
            <wp:positionH relativeFrom="column">
              <wp:posOffset>-720090</wp:posOffset>
            </wp:positionH>
            <wp:positionV relativeFrom="paragraph">
              <wp:posOffset>-530226</wp:posOffset>
            </wp:positionV>
            <wp:extent cx="6349696" cy="9020175"/>
            <wp:effectExtent l="0" t="0" r="0" b="0"/>
            <wp:wrapTopAndBottom/>
            <wp:docPr id="7" name="Picture 7" descr="Cover image. 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BU cover3.png"/>
                    <pic:cNvPicPr/>
                  </pic:nvPicPr>
                  <pic:blipFill>
                    <a:blip r:embed="rId8">
                      <a:extLst>
                        <a:ext uri="{28A0092B-C50C-407E-A947-70E740481C1C}">
                          <a14:useLocalDpi xmlns:a14="http://schemas.microsoft.com/office/drawing/2010/main" val="0"/>
                        </a:ext>
                      </a:extLst>
                    </a:blip>
                    <a:stretch>
                      <a:fillRect/>
                    </a:stretch>
                  </pic:blipFill>
                  <pic:spPr>
                    <a:xfrm>
                      <a:off x="0" y="0"/>
                      <a:ext cx="6350639" cy="9021515"/>
                    </a:xfrm>
                    <a:prstGeom prst="rect">
                      <a:avLst/>
                    </a:prstGeom>
                  </pic:spPr>
                </pic:pic>
              </a:graphicData>
            </a:graphic>
            <wp14:sizeRelH relativeFrom="page">
              <wp14:pctWidth>0</wp14:pctWidth>
            </wp14:sizeRelH>
            <wp14:sizeRelV relativeFrom="page">
              <wp14:pctHeight>0</wp14:pctHeight>
            </wp14:sizeRelV>
          </wp:anchor>
        </w:drawing>
      </w:r>
    </w:p>
    <w:p w:rsidR="00F8108F" w:rsidRDefault="00F8108F" w:rsidP="00F8108F">
      <w:pPr>
        <w:keepLines w:val="0"/>
      </w:pPr>
      <w:r>
        <w:rPr>
          <w:noProof/>
        </w:rPr>
        <w:lastRenderedPageBreak/>
        <w:drawing>
          <wp:anchor distT="0" distB="0" distL="114300" distR="114300" simplePos="0" relativeHeight="251659264" behindDoc="0" locked="0" layoutInCell="1" allowOverlap="1">
            <wp:simplePos x="0" y="0"/>
            <wp:positionH relativeFrom="column">
              <wp:posOffset>-720090</wp:posOffset>
            </wp:positionH>
            <wp:positionV relativeFrom="paragraph">
              <wp:posOffset>-539750</wp:posOffset>
            </wp:positionV>
            <wp:extent cx="6336030" cy="9001125"/>
            <wp:effectExtent l="0" t="0" r="7620" b="9525"/>
            <wp:wrapTopAndBottom/>
            <wp:docPr id="8" name="Picture 8" descr="The Secretary&#10;Department of Treasury and Finance&#10;1 Treasury Place&#10;Melbourne Victoria 3002&#10;Australia&#10;&#10;Telephone: +61 3 9651 5111&#10;Facsimile: +61 3 9651 2062&#10;Website: dtf.vic.gov.au&#10;&#10;Authorised by the Victorian Government&#10;1 Treasury Place, Melbourne, 3002&#10;&#10;Printed by Doculink Australia, &#10;Port Melbourne&#10;&#10;Printed on recycled paper&#10;&#10;&#10;© State of Victoria 2018&#10; &#10;This work, the 2018 Victorian Pre-Election Budget Update, is licensed under a Creative Commons Attribution 4.0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10;&#10;Copyright queries may be directed to IPpolicy@dtf.vic.gov.au&#10;&#10;ISSN 1838-5982&#10;&#10;Published Nov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BU cover4.png"/>
                    <pic:cNvPicPr/>
                  </pic:nvPicPr>
                  <pic:blipFill>
                    <a:blip r:embed="rId9">
                      <a:extLst>
                        <a:ext uri="{28A0092B-C50C-407E-A947-70E740481C1C}">
                          <a14:useLocalDpi xmlns:a14="http://schemas.microsoft.com/office/drawing/2010/main" val="0"/>
                        </a:ext>
                      </a:extLst>
                    </a:blip>
                    <a:stretch>
                      <a:fillRect/>
                    </a:stretch>
                  </pic:blipFill>
                  <pic:spPr>
                    <a:xfrm>
                      <a:off x="0" y="0"/>
                      <a:ext cx="6336030" cy="9001125"/>
                    </a:xfrm>
                    <a:prstGeom prst="rect">
                      <a:avLst/>
                    </a:prstGeom>
                  </pic:spPr>
                </pic:pic>
              </a:graphicData>
            </a:graphic>
            <wp14:sizeRelH relativeFrom="page">
              <wp14:pctWidth>0</wp14:pctWidth>
            </wp14:sizeRelH>
            <wp14:sizeRelV relativeFrom="page">
              <wp14:pctHeight>0</wp14:pctHeight>
            </wp14:sizeRelV>
          </wp:anchor>
        </w:drawing>
      </w:r>
      <w:r>
        <w:br w:type="page"/>
      </w:r>
    </w:p>
    <w:p w:rsidR="00F8108F" w:rsidRDefault="00F8108F" w:rsidP="00A2031D">
      <w:pPr>
        <w:pBdr>
          <w:bottom w:val="single" w:sz="12" w:space="0" w:color="auto"/>
        </w:pBdr>
        <w:spacing w:before="1560"/>
        <w:jc w:val="center"/>
        <w:rPr>
          <w:rFonts w:ascii="Calibri" w:hAnsi="Calibri"/>
          <w:b/>
          <w:sz w:val="52"/>
          <w:szCs w:val="52"/>
        </w:rPr>
        <w:sectPr w:rsidR="00F8108F" w:rsidSect="00287535">
          <w:footerReference w:type="even" r:id="rId10"/>
          <w:type w:val="continuous"/>
          <w:pgSz w:w="9979" w:h="14175" w:code="9"/>
          <w:pgMar w:top="850" w:right="1134" w:bottom="850" w:left="1134" w:header="624" w:footer="567" w:gutter="0"/>
          <w:cols w:sep="1" w:space="567"/>
          <w:docGrid w:linePitch="360"/>
        </w:sectPr>
      </w:pPr>
    </w:p>
    <w:p w:rsidR="006D735A" w:rsidRPr="007B2462" w:rsidRDefault="0064222D" w:rsidP="00A2031D">
      <w:pPr>
        <w:pBdr>
          <w:bottom w:val="single" w:sz="12" w:space="0" w:color="auto"/>
        </w:pBdr>
        <w:spacing w:before="1560"/>
        <w:jc w:val="center"/>
        <w:rPr>
          <w:rFonts w:ascii="Calibri" w:hAnsi="Calibri"/>
          <w:b/>
          <w:sz w:val="52"/>
          <w:szCs w:val="52"/>
        </w:rPr>
      </w:pPr>
      <w:r>
        <w:rPr>
          <w:rFonts w:ascii="Calibri" w:hAnsi="Calibri"/>
          <w:b/>
          <w:sz w:val="52"/>
          <w:szCs w:val="52"/>
        </w:rPr>
        <w:lastRenderedPageBreak/>
        <w:t>2018</w:t>
      </w:r>
    </w:p>
    <w:p w:rsidR="006D735A" w:rsidRPr="00E34C95" w:rsidRDefault="0064222D" w:rsidP="00A2031D">
      <w:pPr>
        <w:jc w:val="center"/>
        <w:rPr>
          <w:rFonts w:ascii="Calibri" w:hAnsi="Calibri"/>
          <w:b/>
          <w:sz w:val="50"/>
          <w:szCs w:val="52"/>
        </w:rPr>
      </w:pPr>
      <w:r>
        <w:rPr>
          <w:rFonts w:ascii="Calibri" w:hAnsi="Calibri"/>
          <w:b/>
          <w:sz w:val="52"/>
          <w:szCs w:val="52"/>
        </w:rPr>
        <w:t>Victorian Pre-Election</w:t>
      </w:r>
      <w:r>
        <w:rPr>
          <w:rFonts w:ascii="Calibri" w:hAnsi="Calibri"/>
          <w:b/>
          <w:sz w:val="52"/>
          <w:szCs w:val="52"/>
        </w:rPr>
        <w:br/>
        <w:t>Budget Update</w:t>
      </w:r>
    </w:p>
    <w:p w:rsidR="006D735A" w:rsidRDefault="006D735A" w:rsidP="00A2031D">
      <w:pPr>
        <w:jc w:val="center"/>
        <w:rPr>
          <w:rFonts w:ascii="Calibri" w:hAnsi="Calibri"/>
          <w:sz w:val="30"/>
          <w:szCs w:val="30"/>
        </w:rPr>
      </w:pPr>
    </w:p>
    <w:p w:rsidR="006D735A" w:rsidRPr="007B2462" w:rsidRDefault="006D735A" w:rsidP="00A2031D">
      <w:pPr>
        <w:jc w:val="center"/>
        <w:rPr>
          <w:rFonts w:ascii="Calibri" w:hAnsi="Calibri"/>
          <w:sz w:val="30"/>
          <w:szCs w:val="30"/>
        </w:rPr>
      </w:pPr>
    </w:p>
    <w:p w:rsidR="006D735A" w:rsidRDefault="006D735A" w:rsidP="00A2031D">
      <w:pPr>
        <w:jc w:val="center"/>
        <w:rPr>
          <w:rFonts w:ascii="Calibri" w:hAnsi="Calibri" w:cs="Calibri"/>
          <w:noProof/>
          <w:lang w:eastAsia="en-AU"/>
        </w:rPr>
      </w:pPr>
    </w:p>
    <w:p w:rsidR="006C4EB8" w:rsidRDefault="006C4EB8" w:rsidP="00A2031D">
      <w:pPr>
        <w:jc w:val="center"/>
        <w:rPr>
          <w:rFonts w:ascii="Calibri" w:hAnsi="Calibri" w:cs="Calibri"/>
          <w:noProof/>
          <w:lang w:eastAsia="en-AU"/>
        </w:rPr>
      </w:pPr>
    </w:p>
    <w:p w:rsidR="006C4EB8" w:rsidRDefault="006C4EB8" w:rsidP="00A2031D">
      <w:pPr>
        <w:jc w:val="center"/>
        <w:rPr>
          <w:rFonts w:ascii="Calibri" w:hAnsi="Calibri" w:cs="Calibri"/>
          <w:noProof/>
          <w:lang w:eastAsia="en-AU"/>
        </w:rPr>
      </w:pPr>
    </w:p>
    <w:p w:rsidR="006C4EB8" w:rsidRDefault="006C4EB8" w:rsidP="00A2031D">
      <w:pPr>
        <w:jc w:val="center"/>
        <w:rPr>
          <w:rFonts w:ascii="Calibri" w:hAnsi="Calibri" w:cs="Calibri"/>
          <w:noProof/>
          <w:lang w:eastAsia="en-AU"/>
        </w:rPr>
      </w:pPr>
    </w:p>
    <w:p w:rsidR="006C4EB8" w:rsidRDefault="006C4EB8" w:rsidP="00A2031D">
      <w:pPr>
        <w:jc w:val="center"/>
        <w:rPr>
          <w:rFonts w:ascii="Calibri" w:hAnsi="Calibri" w:cs="Calibri"/>
          <w:noProof/>
          <w:lang w:eastAsia="en-AU"/>
        </w:rPr>
      </w:pPr>
    </w:p>
    <w:p w:rsidR="006C4EB8" w:rsidRDefault="006C4EB8" w:rsidP="00A2031D">
      <w:pPr>
        <w:jc w:val="center"/>
        <w:rPr>
          <w:rFonts w:ascii="Calibri" w:hAnsi="Calibri" w:cs="Calibri"/>
          <w:noProof/>
          <w:lang w:eastAsia="en-AU"/>
        </w:rPr>
      </w:pPr>
    </w:p>
    <w:p w:rsidR="006C4EB8" w:rsidRPr="007B2462" w:rsidRDefault="006C4EB8" w:rsidP="00A2031D">
      <w:pPr>
        <w:jc w:val="center"/>
      </w:pPr>
    </w:p>
    <w:p w:rsidR="006D735A" w:rsidRPr="007B2462" w:rsidRDefault="006D735A" w:rsidP="00A2031D">
      <w:pPr>
        <w:jc w:val="center"/>
        <w:rPr>
          <w:sz w:val="36"/>
          <w:szCs w:val="36"/>
        </w:rPr>
      </w:pPr>
    </w:p>
    <w:p w:rsidR="006D735A" w:rsidRPr="007B2462" w:rsidRDefault="006D735A" w:rsidP="00A2031D">
      <w:pPr>
        <w:jc w:val="center"/>
        <w:rPr>
          <w:sz w:val="36"/>
          <w:szCs w:val="36"/>
        </w:rPr>
      </w:pPr>
    </w:p>
    <w:p w:rsidR="006D735A" w:rsidRPr="007B2462" w:rsidRDefault="006D735A" w:rsidP="00A2031D">
      <w:pPr>
        <w:jc w:val="center"/>
        <w:rPr>
          <w:sz w:val="36"/>
          <w:szCs w:val="36"/>
        </w:rPr>
      </w:pPr>
    </w:p>
    <w:p w:rsidR="006D735A" w:rsidRPr="007B2462" w:rsidRDefault="006C4EB8" w:rsidP="00A2031D">
      <w:pPr>
        <w:jc w:val="center"/>
        <w:rPr>
          <w:rFonts w:ascii="Calibri" w:hAnsi="Calibri"/>
          <w:sz w:val="30"/>
          <w:szCs w:val="30"/>
        </w:rPr>
      </w:pPr>
      <w:r>
        <w:rPr>
          <w:rFonts w:ascii="Calibri" w:hAnsi="Calibri"/>
          <w:sz w:val="30"/>
          <w:szCs w:val="30"/>
        </w:rPr>
        <w:t xml:space="preserve">A report by the Secretary of the </w:t>
      </w:r>
      <w:r>
        <w:rPr>
          <w:rFonts w:ascii="Calibri" w:hAnsi="Calibri"/>
          <w:sz w:val="30"/>
          <w:szCs w:val="30"/>
        </w:rPr>
        <w:br/>
        <w:t>Department of Treasury and Finance</w:t>
      </w:r>
    </w:p>
    <w:p w:rsidR="006D735A" w:rsidRDefault="006D735A" w:rsidP="00A2031D"/>
    <w:p w:rsidR="006C4EB8" w:rsidRPr="007B2462" w:rsidRDefault="006C4EB8" w:rsidP="00A2031D"/>
    <w:p w:rsidR="006D735A" w:rsidRPr="006C4EB8" w:rsidRDefault="006C4EB8" w:rsidP="006C4EB8">
      <w:pPr>
        <w:jc w:val="center"/>
        <w:rPr>
          <w:rFonts w:ascii="Calibri" w:hAnsi="Calibri"/>
          <w:sz w:val="30"/>
          <w:szCs w:val="30"/>
        </w:rPr>
      </w:pPr>
      <w:r w:rsidRPr="006C4EB8">
        <w:rPr>
          <w:rFonts w:ascii="Calibri" w:hAnsi="Calibri"/>
          <w:sz w:val="30"/>
          <w:szCs w:val="30"/>
        </w:rPr>
        <w:t>November 2018</w:t>
      </w:r>
    </w:p>
    <w:p w:rsidR="006D735A" w:rsidRDefault="006D735A" w:rsidP="008416B3"/>
    <w:p w:rsidR="006D735A" w:rsidRDefault="006D735A" w:rsidP="008416B3">
      <w:pPr>
        <w:sectPr w:rsidR="006D735A" w:rsidSect="00F8108F">
          <w:headerReference w:type="default" r:id="rId11"/>
          <w:footerReference w:type="default" r:id="rId12"/>
          <w:pgSz w:w="9979" w:h="14175" w:code="9"/>
          <w:pgMar w:top="850" w:right="1134" w:bottom="850" w:left="1134" w:header="624" w:footer="567" w:gutter="0"/>
          <w:cols w:sep="1" w:space="567"/>
          <w:docGrid w:linePitch="360"/>
        </w:sectPr>
      </w:pPr>
    </w:p>
    <w:p w:rsidR="006D735A" w:rsidRPr="006F6363" w:rsidRDefault="006D735A" w:rsidP="00A2031D">
      <w:pPr>
        <w:pBdr>
          <w:bottom w:val="single" w:sz="6" w:space="1" w:color="auto"/>
        </w:pBdr>
        <w:spacing w:before="1440" w:after="360"/>
        <w:rPr>
          <w:rFonts w:ascii="Calibri" w:hAnsi="Calibri"/>
          <w:b/>
          <w:caps/>
          <w:sz w:val="36"/>
        </w:rPr>
      </w:pPr>
      <w:bookmarkStart w:id="1" w:name="_Toc481013395"/>
      <w:r w:rsidRPr="006F6363">
        <w:rPr>
          <w:rFonts w:ascii="Calibri" w:hAnsi="Calibri"/>
          <w:b/>
          <w:caps/>
          <w:sz w:val="36"/>
        </w:rPr>
        <w:lastRenderedPageBreak/>
        <w:t>TABLE OF CONTENTS</w:t>
      </w:r>
      <w:bookmarkEnd w:id="1"/>
    </w:p>
    <w:p w:rsidR="00834D1D" w:rsidRDefault="006D735A">
      <w:pPr>
        <w:pStyle w:val="TOC1"/>
        <w:rPr>
          <w:rFonts w:asciiTheme="minorHAnsi" w:eastAsiaTheme="minorEastAsia" w:hAnsiTheme="minorHAnsi"/>
          <w:b w:val="0"/>
          <w:noProof/>
          <w:spacing w:val="0"/>
          <w:szCs w:val="22"/>
          <w:lang w:eastAsia="en-AU"/>
        </w:rPr>
      </w:pPr>
      <w:r w:rsidRPr="000A1C51">
        <w:rPr>
          <w:b w:val="0"/>
        </w:rPr>
        <w:fldChar w:fldCharType="begin"/>
      </w:r>
      <w:r w:rsidRPr="000A1C51">
        <w:rPr>
          <w:b w:val="0"/>
        </w:rPr>
        <w:instrText xml:space="preserve"> TOC \h \z \t "Heading 1,2,Chapter heading,1,Heading 1 (#),2" </w:instrText>
      </w:r>
      <w:r w:rsidRPr="000A1C51">
        <w:rPr>
          <w:b w:val="0"/>
        </w:rPr>
        <w:fldChar w:fldCharType="separate"/>
      </w:r>
      <w:hyperlink w:anchor="_Toc528864753" w:history="1">
        <w:r w:rsidR="00834D1D" w:rsidRPr="004E466C">
          <w:rPr>
            <w:rStyle w:val="Hyperlink"/>
            <w:noProof/>
          </w:rPr>
          <w:t>Foreword</w:t>
        </w:r>
        <w:r w:rsidR="00834D1D">
          <w:rPr>
            <w:noProof/>
            <w:webHidden/>
          </w:rPr>
          <w:tab/>
        </w:r>
        <w:r w:rsidR="00834D1D">
          <w:rPr>
            <w:noProof/>
            <w:webHidden/>
          </w:rPr>
          <w:fldChar w:fldCharType="begin"/>
        </w:r>
        <w:r w:rsidR="00834D1D">
          <w:rPr>
            <w:noProof/>
            <w:webHidden/>
          </w:rPr>
          <w:instrText xml:space="preserve"> PAGEREF _Toc528864753 \h </w:instrText>
        </w:r>
        <w:r w:rsidR="00834D1D">
          <w:rPr>
            <w:noProof/>
            <w:webHidden/>
          </w:rPr>
        </w:r>
        <w:r w:rsidR="00834D1D">
          <w:rPr>
            <w:noProof/>
            <w:webHidden/>
          </w:rPr>
          <w:fldChar w:fldCharType="separate"/>
        </w:r>
        <w:r w:rsidR="00132FE0">
          <w:rPr>
            <w:noProof/>
            <w:webHidden/>
          </w:rPr>
          <w:t>1</w:t>
        </w:r>
        <w:r w:rsidR="00834D1D">
          <w:rPr>
            <w:noProof/>
            <w:webHidden/>
          </w:rPr>
          <w:fldChar w:fldCharType="end"/>
        </w:r>
      </w:hyperlink>
    </w:p>
    <w:p w:rsidR="00834D1D" w:rsidRDefault="00132FE0">
      <w:pPr>
        <w:pStyle w:val="TOC1"/>
        <w:rPr>
          <w:rFonts w:asciiTheme="minorHAnsi" w:eastAsiaTheme="minorEastAsia" w:hAnsiTheme="minorHAnsi"/>
          <w:b w:val="0"/>
          <w:noProof/>
          <w:spacing w:val="0"/>
          <w:szCs w:val="22"/>
          <w:lang w:eastAsia="en-AU"/>
        </w:rPr>
      </w:pPr>
      <w:hyperlink w:anchor="_Toc528864754" w:history="1">
        <w:r w:rsidR="00834D1D" w:rsidRPr="004E466C">
          <w:rPr>
            <w:rStyle w:val="Hyperlink"/>
            <w:noProof/>
          </w:rPr>
          <w:t>Chapter 1 – Economic conditions and outlook</w:t>
        </w:r>
        <w:r w:rsidR="00834D1D">
          <w:rPr>
            <w:noProof/>
            <w:webHidden/>
          </w:rPr>
          <w:tab/>
        </w:r>
        <w:r w:rsidR="00834D1D">
          <w:rPr>
            <w:noProof/>
            <w:webHidden/>
          </w:rPr>
          <w:fldChar w:fldCharType="begin"/>
        </w:r>
        <w:r w:rsidR="00834D1D">
          <w:rPr>
            <w:noProof/>
            <w:webHidden/>
          </w:rPr>
          <w:instrText xml:space="preserve"> PAGEREF _Toc528864754 \h </w:instrText>
        </w:r>
        <w:r w:rsidR="00834D1D">
          <w:rPr>
            <w:noProof/>
            <w:webHidden/>
          </w:rPr>
        </w:r>
        <w:r w:rsidR="00834D1D">
          <w:rPr>
            <w:noProof/>
            <w:webHidden/>
          </w:rPr>
          <w:fldChar w:fldCharType="separate"/>
        </w:r>
        <w:r>
          <w:rPr>
            <w:noProof/>
            <w:webHidden/>
          </w:rPr>
          <w:t>3</w:t>
        </w:r>
        <w:r w:rsidR="00834D1D">
          <w:rPr>
            <w:noProof/>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55" w:history="1">
        <w:r w:rsidR="00834D1D" w:rsidRPr="004E466C">
          <w:rPr>
            <w:rStyle w:val="Hyperlink"/>
          </w:rPr>
          <w:t>Victorian economic conditions and outlook</w:t>
        </w:r>
        <w:r w:rsidR="00834D1D">
          <w:rPr>
            <w:webHidden/>
          </w:rPr>
          <w:tab/>
        </w:r>
        <w:r w:rsidR="00834D1D">
          <w:rPr>
            <w:webHidden/>
          </w:rPr>
          <w:fldChar w:fldCharType="begin"/>
        </w:r>
        <w:r w:rsidR="00834D1D">
          <w:rPr>
            <w:webHidden/>
          </w:rPr>
          <w:instrText xml:space="preserve"> PAGEREF _Toc528864755 \h </w:instrText>
        </w:r>
        <w:r w:rsidR="00834D1D">
          <w:rPr>
            <w:webHidden/>
          </w:rPr>
        </w:r>
        <w:r w:rsidR="00834D1D">
          <w:rPr>
            <w:webHidden/>
          </w:rPr>
          <w:fldChar w:fldCharType="separate"/>
        </w:r>
        <w:r>
          <w:rPr>
            <w:webHidden/>
          </w:rPr>
          <w:t>3</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56" w:history="1">
        <w:r w:rsidR="00834D1D" w:rsidRPr="004E466C">
          <w:rPr>
            <w:rStyle w:val="Hyperlink"/>
          </w:rPr>
          <w:t>Australian economic conditions and outlook</w:t>
        </w:r>
        <w:r w:rsidR="00834D1D">
          <w:rPr>
            <w:webHidden/>
          </w:rPr>
          <w:tab/>
        </w:r>
        <w:r w:rsidR="00834D1D">
          <w:rPr>
            <w:webHidden/>
          </w:rPr>
          <w:fldChar w:fldCharType="begin"/>
        </w:r>
        <w:r w:rsidR="00834D1D">
          <w:rPr>
            <w:webHidden/>
          </w:rPr>
          <w:instrText xml:space="preserve"> PAGEREF _Toc528864756 \h </w:instrText>
        </w:r>
        <w:r w:rsidR="00834D1D">
          <w:rPr>
            <w:webHidden/>
          </w:rPr>
        </w:r>
        <w:r w:rsidR="00834D1D">
          <w:rPr>
            <w:webHidden/>
          </w:rPr>
          <w:fldChar w:fldCharType="separate"/>
        </w:r>
        <w:r>
          <w:rPr>
            <w:webHidden/>
          </w:rPr>
          <w:t>6</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57" w:history="1">
        <w:r w:rsidR="00834D1D" w:rsidRPr="004E466C">
          <w:rPr>
            <w:rStyle w:val="Hyperlink"/>
          </w:rPr>
          <w:t>International economic conditions and outlook</w:t>
        </w:r>
        <w:r w:rsidR="00834D1D">
          <w:rPr>
            <w:webHidden/>
          </w:rPr>
          <w:tab/>
        </w:r>
        <w:r w:rsidR="00834D1D">
          <w:rPr>
            <w:webHidden/>
          </w:rPr>
          <w:fldChar w:fldCharType="begin"/>
        </w:r>
        <w:r w:rsidR="00834D1D">
          <w:rPr>
            <w:webHidden/>
          </w:rPr>
          <w:instrText xml:space="preserve"> PAGEREF _Toc528864757 \h </w:instrText>
        </w:r>
        <w:r w:rsidR="00834D1D">
          <w:rPr>
            <w:webHidden/>
          </w:rPr>
        </w:r>
        <w:r w:rsidR="00834D1D">
          <w:rPr>
            <w:webHidden/>
          </w:rPr>
          <w:fldChar w:fldCharType="separate"/>
        </w:r>
        <w:r>
          <w:rPr>
            <w:webHidden/>
          </w:rPr>
          <w:t>7</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58" w:history="1">
        <w:r w:rsidR="00834D1D" w:rsidRPr="004E466C">
          <w:rPr>
            <w:rStyle w:val="Hyperlink"/>
          </w:rPr>
          <w:t>Risks to the outlook</w:t>
        </w:r>
        <w:r w:rsidR="00834D1D">
          <w:rPr>
            <w:webHidden/>
          </w:rPr>
          <w:tab/>
        </w:r>
        <w:r w:rsidR="00834D1D">
          <w:rPr>
            <w:webHidden/>
          </w:rPr>
          <w:fldChar w:fldCharType="begin"/>
        </w:r>
        <w:r w:rsidR="00834D1D">
          <w:rPr>
            <w:webHidden/>
          </w:rPr>
          <w:instrText xml:space="preserve"> PAGEREF _Toc528864758 \h </w:instrText>
        </w:r>
        <w:r w:rsidR="00834D1D">
          <w:rPr>
            <w:webHidden/>
          </w:rPr>
        </w:r>
        <w:r w:rsidR="00834D1D">
          <w:rPr>
            <w:webHidden/>
          </w:rPr>
          <w:fldChar w:fldCharType="separate"/>
        </w:r>
        <w:r>
          <w:rPr>
            <w:webHidden/>
          </w:rPr>
          <w:t>7</w:t>
        </w:r>
        <w:r w:rsidR="00834D1D">
          <w:rPr>
            <w:webHidden/>
          </w:rPr>
          <w:fldChar w:fldCharType="end"/>
        </w:r>
      </w:hyperlink>
    </w:p>
    <w:p w:rsidR="00834D1D" w:rsidRDefault="00132FE0">
      <w:pPr>
        <w:pStyle w:val="TOC1"/>
        <w:rPr>
          <w:rFonts w:asciiTheme="minorHAnsi" w:eastAsiaTheme="minorEastAsia" w:hAnsiTheme="minorHAnsi"/>
          <w:b w:val="0"/>
          <w:noProof/>
          <w:spacing w:val="0"/>
          <w:szCs w:val="22"/>
          <w:lang w:eastAsia="en-AU"/>
        </w:rPr>
      </w:pPr>
      <w:hyperlink w:anchor="_Toc528864759" w:history="1">
        <w:r w:rsidR="00834D1D" w:rsidRPr="004E466C">
          <w:rPr>
            <w:rStyle w:val="Hyperlink"/>
            <w:noProof/>
          </w:rPr>
          <w:t>Chapter 2 – Budget position and outlook</w:t>
        </w:r>
        <w:r w:rsidR="00834D1D">
          <w:rPr>
            <w:noProof/>
            <w:webHidden/>
          </w:rPr>
          <w:tab/>
        </w:r>
        <w:r w:rsidR="00834D1D">
          <w:rPr>
            <w:noProof/>
            <w:webHidden/>
          </w:rPr>
          <w:fldChar w:fldCharType="begin"/>
        </w:r>
        <w:r w:rsidR="00834D1D">
          <w:rPr>
            <w:noProof/>
            <w:webHidden/>
          </w:rPr>
          <w:instrText xml:space="preserve"> PAGEREF _Toc528864759 \h </w:instrText>
        </w:r>
        <w:r w:rsidR="00834D1D">
          <w:rPr>
            <w:noProof/>
            <w:webHidden/>
          </w:rPr>
        </w:r>
        <w:r w:rsidR="00834D1D">
          <w:rPr>
            <w:noProof/>
            <w:webHidden/>
          </w:rPr>
          <w:fldChar w:fldCharType="separate"/>
        </w:r>
        <w:r>
          <w:rPr>
            <w:noProof/>
            <w:webHidden/>
          </w:rPr>
          <w:t>9</w:t>
        </w:r>
        <w:r w:rsidR="00834D1D">
          <w:rPr>
            <w:noProof/>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60" w:history="1">
        <w:r w:rsidR="00834D1D" w:rsidRPr="004E466C">
          <w:rPr>
            <w:rStyle w:val="Hyperlink"/>
          </w:rPr>
          <w:t>General government sector</w:t>
        </w:r>
        <w:r w:rsidR="00834D1D">
          <w:rPr>
            <w:webHidden/>
          </w:rPr>
          <w:tab/>
        </w:r>
        <w:r w:rsidR="00834D1D">
          <w:rPr>
            <w:webHidden/>
          </w:rPr>
          <w:fldChar w:fldCharType="begin"/>
        </w:r>
        <w:r w:rsidR="00834D1D">
          <w:rPr>
            <w:webHidden/>
          </w:rPr>
          <w:instrText xml:space="preserve"> PAGEREF _Toc528864760 \h </w:instrText>
        </w:r>
        <w:r w:rsidR="00834D1D">
          <w:rPr>
            <w:webHidden/>
          </w:rPr>
        </w:r>
        <w:r w:rsidR="00834D1D">
          <w:rPr>
            <w:webHidden/>
          </w:rPr>
          <w:fldChar w:fldCharType="separate"/>
        </w:r>
        <w:r>
          <w:rPr>
            <w:webHidden/>
          </w:rPr>
          <w:t>10</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61" w:history="1">
        <w:r w:rsidR="00834D1D" w:rsidRPr="004E466C">
          <w:rPr>
            <w:rStyle w:val="Hyperlink"/>
          </w:rPr>
          <w:t>Budget and forward estimates outlook</w:t>
        </w:r>
        <w:r w:rsidR="00834D1D">
          <w:rPr>
            <w:webHidden/>
          </w:rPr>
          <w:tab/>
        </w:r>
        <w:r w:rsidR="00834D1D">
          <w:rPr>
            <w:webHidden/>
          </w:rPr>
          <w:fldChar w:fldCharType="begin"/>
        </w:r>
        <w:r w:rsidR="00834D1D">
          <w:rPr>
            <w:webHidden/>
          </w:rPr>
          <w:instrText xml:space="preserve"> PAGEREF _Toc528864761 \h </w:instrText>
        </w:r>
        <w:r w:rsidR="00834D1D">
          <w:rPr>
            <w:webHidden/>
          </w:rPr>
        </w:r>
        <w:r w:rsidR="00834D1D">
          <w:rPr>
            <w:webHidden/>
          </w:rPr>
          <w:fldChar w:fldCharType="separate"/>
        </w:r>
        <w:r>
          <w:rPr>
            <w:webHidden/>
          </w:rPr>
          <w:t>11</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62" w:history="1">
        <w:r w:rsidR="00834D1D" w:rsidRPr="004E466C">
          <w:rPr>
            <w:rStyle w:val="Hyperlink"/>
          </w:rPr>
          <w:t>Fiscal risks</w:t>
        </w:r>
        <w:r w:rsidR="00834D1D">
          <w:rPr>
            <w:webHidden/>
          </w:rPr>
          <w:tab/>
        </w:r>
        <w:r w:rsidR="00834D1D">
          <w:rPr>
            <w:webHidden/>
          </w:rPr>
          <w:fldChar w:fldCharType="begin"/>
        </w:r>
        <w:r w:rsidR="00834D1D">
          <w:rPr>
            <w:webHidden/>
          </w:rPr>
          <w:instrText xml:space="preserve"> PAGEREF _Toc528864762 \h </w:instrText>
        </w:r>
        <w:r w:rsidR="00834D1D">
          <w:rPr>
            <w:webHidden/>
          </w:rPr>
        </w:r>
        <w:r w:rsidR="00834D1D">
          <w:rPr>
            <w:webHidden/>
          </w:rPr>
          <w:fldChar w:fldCharType="separate"/>
        </w:r>
        <w:r>
          <w:rPr>
            <w:webHidden/>
          </w:rPr>
          <w:t>21</w:t>
        </w:r>
        <w:r w:rsidR="00834D1D">
          <w:rPr>
            <w:webHidden/>
          </w:rPr>
          <w:fldChar w:fldCharType="end"/>
        </w:r>
      </w:hyperlink>
    </w:p>
    <w:p w:rsidR="00834D1D" w:rsidRDefault="00132FE0">
      <w:pPr>
        <w:pStyle w:val="TOC1"/>
        <w:rPr>
          <w:rFonts w:asciiTheme="minorHAnsi" w:eastAsiaTheme="minorEastAsia" w:hAnsiTheme="minorHAnsi"/>
          <w:b w:val="0"/>
          <w:noProof/>
          <w:spacing w:val="0"/>
          <w:szCs w:val="22"/>
          <w:lang w:eastAsia="en-AU"/>
        </w:rPr>
      </w:pPr>
      <w:hyperlink w:anchor="_Toc528864763" w:history="1">
        <w:r w:rsidR="00834D1D" w:rsidRPr="004E466C">
          <w:rPr>
            <w:rStyle w:val="Hyperlink"/>
            <w:noProof/>
          </w:rPr>
          <w:t>Chapter 3 – Estimated financial statements and notes</w:t>
        </w:r>
        <w:r w:rsidR="00834D1D">
          <w:rPr>
            <w:noProof/>
            <w:webHidden/>
          </w:rPr>
          <w:tab/>
        </w:r>
        <w:r w:rsidR="00834D1D">
          <w:rPr>
            <w:noProof/>
            <w:webHidden/>
          </w:rPr>
          <w:fldChar w:fldCharType="begin"/>
        </w:r>
        <w:r w:rsidR="00834D1D">
          <w:rPr>
            <w:noProof/>
            <w:webHidden/>
          </w:rPr>
          <w:instrText xml:space="preserve"> PAGEREF _Toc528864763 \h </w:instrText>
        </w:r>
        <w:r w:rsidR="00834D1D">
          <w:rPr>
            <w:noProof/>
            <w:webHidden/>
          </w:rPr>
        </w:r>
        <w:r w:rsidR="00834D1D">
          <w:rPr>
            <w:noProof/>
            <w:webHidden/>
          </w:rPr>
          <w:fldChar w:fldCharType="separate"/>
        </w:r>
        <w:r>
          <w:rPr>
            <w:noProof/>
            <w:webHidden/>
          </w:rPr>
          <w:t>25</w:t>
        </w:r>
        <w:r w:rsidR="00834D1D">
          <w:rPr>
            <w:noProof/>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64" w:history="1">
        <w:r w:rsidR="00834D1D" w:rsidRPr="004E466C">
          <w:rPr>
            <w:rStyle w:val="Hyperlink"/>
          </w:rPr>
          <w:t>Estimated general government sector comprehensive operating statement</w:t>
        </w:r>
        <w:r w:rsidR="00834D1D">
          <w:rPr>
            <w:webHidden/>
          </w:rPr>
          <w:tab/>
        </w:r>
        <w:r w:rsidR="00834D1D">
          <w:rPr>
            <w:webHidden/>
          </w:rPr>
          <w:fldChar w:fldCharType="begin"/>
        </w:r>
        <w:r w:rsidR="00834D1D">
          <w:rPr>
            <w:webHidden/>
          </w:rPr>
          <w:instrText xml:space="preserve"> PAGEREF _Toc528864764 \h </w:instrText>
        </w:r>
        <w:r w:rsidR="00834D1D">
          <w:rPr>
            <w:webHidden/>
          </w:rPr>
        </w:r>
        <w:r w:rsidR="00834D1D">
          <w:rPr>
            <w:webHidden/>
          </w:rPr>
          <w:fldChar w:fldCharType="separate"/>
        </w:r>
        <w:r>
          <w:rPr>
            <w:webHidden/>
          </w:rPr>
          <w:t>25</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65" w:history="1">
        <w:r w:rsidR="00834D1D" w:rsidRPr="004E466C">
          <w:rPr>
            <w:rStyle w:val="Hyperlink"/>
          </w:rPr>
          <w:t>Estimated general government sector balance sheet</w:t>
        </w:r>
        <w:r w:rsidR="00834D1D">
          <w:rPr>
            <w:webHidden/>
          </w:rPr>
          <w:tab/>
        </w:r>
        <w:r w:rsidR="00834D1D">
          <w:rPr>
            <w:webHidden/>
          </w:rPr>
          <w:fldChar w:fldCharType="begin"/>
        </w:r>
        <w:r w:rsidR="00834D1D">
          <w:rPr>
            <w:webHidden/>
          </w:rPr>
          <w:instrText xml:space="preserve"> PAGEREF _Toc528864765 \h </w:instrText>
        </w:r>
        <w:r w:rsidR="00834D1D">
          <w:rPr>
            <w:webHidden/>
          </w:rPr>
        </w:r>
        <w:r w:rsidR="00834D1D">
          <w:rPr>
            <w:webHidden/>
          </w:rPr>
          <w:fldChar w:fldCharType="separate"/>
        </w:r>
        <w:r>
          <w:rPr>
            <w:webHidden/>
          </w:rPr>
          <w:t>27</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66" w:history="1">
        <w:r w:rsidR="00834D1D" w:rsidRPr="004E466C">
          <w:rPr>
            <w:rStyle w:val="Hyperlink"/>
          </w:rPr>
          <w:t>Estimated general government sector cash flow statement</w:t>
        </w:r>
        <w:r w:rsidR="00834D1D">
          <w:rPr>
            <w:webHidden/>
          </w:rPr>
          <w:tab/>
        </w:r>
        <w:r w:rsidR="00834D1D">
          <w:rPr>
            <w:webHidden/>
          </w:rPr>
          <w:fldChar w:fldCharType="begin"/>
        </w:r>
        <w:r w:rsidR="00834D1D">
          <w:rPr>
            <w:webHidden/>
          </w:rPr>
          <w:instrText xml:space="preserve"> PAGEREF _Toc528864766 \h </w:instrText>
        </w:r>
        <w:r w:rsidR="00834D1D">
          <w:rPr>
            <w:webHidden/>
          </w:rPr>
        </w:r>
        <w:r w:rsidR="00834D1D">
          <w:rPr>
            <w:webHidden/>
          </w:rPr>
          <w:fldChar w:fldCharType="separate"/>
        </w:r>
        <w:r>
          <w:rPr>
            <w:webHidden/>
          </w:rPr>
          <w:t>28</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67" w:history="1">
        <w:r w:rsidR="00834D1D" w:rsidRPr="004E466C">
          <w:rPr>
            <w:rStyle w:val="Hyperlink"/>
          </w:rPr>
          <w:t>Estimated general government sector statement of changes in equity</w:t>
        </w:r>
        <w:r w:rsidR="00834D1D">
          <w:rPr>
            <w:webHidden/>
          </w:rPr>
          <w:tab/>
        </w:r>
        <w:r w:rsidR="00834D1D">
          <w:rPr>
            <w:webHidden/>
          </w:rPr>
          <w:fldChar w:fldCharType="begin"/>
        </w:r>
        <w:r w:rsidR="00834D1D">
          <w:rPr>
            <w:webHidden/>
          </w:rPr>
          <w:instrText xml:space="preserve"> PAGEREF _Toc528864767 \h </w:instrText>
        </w:r>
        <w:r w:rsidR="00834D1D">
          <w:rPr>
            <w:webHidden/>
          </w:rPr>
        </w:r>
        <w:r w:rsidR="00834D1D">
          <w:rPr>
            <w:webHidden/>
          </w:rPr>
          <w:fldChar w:fldCharType="separate"/>
        </w:r>
        <w:r>
          <w:rPr>
            <w:webHidden/>
          </w:rPr>
          <w:t>30</w:t>
        </w:r>
        <w:r w:rsidR="00834D1D">
          <w:rPr>
            <w:webHidden/>
          </w:rPr>
          <w:fldChar w:fldCharType="end"/>
        </w:r>
      </w:hyperlink>
    </w:p>
    <w:p w:rsidR="00834D1D" w:rsidRDefault="00132FE0">
      <w:pPr>
        <w:pStyle w:val="TOC1"/>
        <w:rPr>
          <w:rFonts w:asciiTheme="minorHAnsi" w:eastAsiaTheme="minorEastAsia" w:hAnsiTheme="minorHAnsi"/>
          <w:b w:val="0"/>
          <w:noProof/>
          <w:spacing w:val="0"/>
          <w:szCs w:val="22"/>
          <w:lang w:eastAsia="en-AU"/>
        </w:rPr>
      </w:pPr>
      <w:hyperlink w:anchor="_Toc528864768" w:history="1">
        <w:r w:rsidR="00834D1D" w:rsidRPr="004E466C">
          <w:rPr>
            <w:rStyle w:val="Hyperlink"/>
            <w:noProof/>
          </w:rPr>
          <w:t>Chapter 4 – Contingent assets and contingent liabilities</w:t>
        </w:r>
        <w:r w:rsidR="00834D1D">
          <w:rPr>
            <w:noProof/>
            <w:webHidden/>
          </w:rPr>
          <w:tab/>
        </w:r>
        <w:r w:rsidR="00834D1D">
          <w:rPr>
            <w:noProof/>
            <w:webHidden/>
          </w:rPr>
          <w:fldChar w:fldCharType="begin"/>
        </w:r>
        <w:r w:rsidR="00834D1D">
          <w:rPr>
            <w:noProof/>
            <w:webHidden/>
          </w:rPr>
          <w:instrText xml:space="preserve"> PAGEREF _Toc528864768 \h </w:instrText>
        </w:r>
        <w:r w:rsidR="00834D1D">
          <w:rPr>
            <w:noProof/>
            <w:webHidden/>
          </w:rPr>
        </w:r>
        <w:r w:rsidR="00834D1D">
          <w:rPr>
            <w:noProof/>
            <w:webHidden/>
          </w:rPr>
          <w:fldChar w:fldCharType="separate"/>
        </w:r>
        <w:r>
          <w:rPr>
            <w:noProof/>
            <w:webHidden/>
          </w:rPr>
          <w:t>61</w:t>
        </w:r>
        <w:r w:rsidR="00834D1D">
          <w:rPr>
            <w:noProof/>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69" w:history="1">
        <w:r w:rsidR="00834D1D" w:rsidRPr="004E466C">
          <w:rPr>
            <w:rStyle w:val="Hyperlink"/>
          </w:rPr>
          <w:t>Contingent assets</w:t>
        </w:r>
        <w:r w:rsidR="00834D1D">
          <w:rPr>
            <w:webHidden/>
          </w:rPr>
          <w:tab/>
        </w:r>
        <w:r w:rsidR="00834D1D">
          <w:rPr>
            <w:webHidden/>
          </w:rPr>
          <w:fldChar w:fldCharType="begin"/>
        </w:r>
        <w:r w:rsidR="00834D1D">
          <w:rPr>
            <w:webHidden/>
          </w:rPr>
          <w:instrText xml:space="preserve"> PAGEREF _Toc528864769 \h </w:instrText>
        </w:r>
        <w:r w:rsidR="00834D1D">
          <w:rPr>
            <w:webHidden/>
          </w:rPr>
        </w:r>
        <w:r w:rsidR="00834D1D">
          <w:rPr>
            <w:webHidden/>
          </w:rPr>
          <w:fldChar w:fldCharType="separate"/>
        </w:r>
        <w:r>
          <w:rPr>
            <w:webHidden/>
          </w:rPr>
          <w:t>61</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0" w:history="1">
        <w:r w:rsidR="00834D1D" w:rsidRPr="004E466C">
          <w:rPr>
            <w:rStyle w:val="Hyperlink"/>
          </w:rPr>
          <w:t>Contingent liabilities</w:t>
        </w:r>
        <w:r w:rsidR="00834D1D">
          <w:rPr>
            <w:webHidden/>
          </w:rPr>
          <w:tab/>
        </w:r>
        <w:r w:rsidR="00834D1D">
          <w:rPr>
            <w:webHidden/>
          </w:rPr>
          <w:fldChar w:fldCharType="begin"/>
        </w:r>
        <w:r w:rsidR="00834D1D">
          <w:rPr>
            <w:webHidden/>
          </w:rPr>
          <w:instrText xml:space="preserve"> PAGEREF _Toc528864770 \h </w:instrText>
        </w:r>
        <w:r w:rsidR="00834D1D">
          <w:rPr>
            <w:webHidden/>
          </w:rPr>
        </w:r>
        <w:r w:rsidR="00834D1D">
          <w:rPr>
            <w:webHidden/>
          </w:rPr>
          <w:fldChar w:fldCharType="separate"/>
        </w:r>
        <w:r>
          <w:rPr>
            <w:webHidden/>
          </w:rPr>
          <w:t>62</w:t>
        </w:r>
        <w:r w:rsidR="00834D1D">
          <w:rPr>
            <w:webHidden/>
          </w:rPr>
          <w:fldChar w:fldCharType="end"/>
        </w:r>
      </w:hyperlink>
    </w:p>
    <w:p w:rsidR="00834D1D" w:rsidRDefault="00132FE0">
      <w:pPr>
        <w:pStyle w:val="TOC1"/>
        <w:rPr>
          <w:rFonts w:asciiTheme="minorHAnsi" w:eastAsiaTheme="minorEastAsia" w:hAnsiTheme="minorHAnsi"/>
          <w:b w:val="0"/>
          <w:noProof/>
          <w:spacing w:val="0"/>
          <w:szCs w:val="22"/>
          <w:lang w:eastAsia="en-AU"/>
        </w:rPr>
      </w:pPr>
      <w:hyperlink w:anchor="_Toc528864771" w:history="1">
        <w:r w:rsidR="00834D1D" w:rsidRPr="004E466C">
          <w:rPr>
            <w:rStyle w:val="Hyperlink"/>
            <w:noProof/>
          </w:rPr>
          <w:t>Appendix A – Specific policy initiatives affecting budget position</w:t>
        </w:r>
        <w:r w:rsidR="00834D1D">
          <w:rPr>
            <w:noProof/>
            <w:webHidden/>
          </w:rPr>
          <w:tab/>
        </w:r>
        <w:r w:rsidR="00834D1D">
          <w:rPr>
            <w:noProof/>
            <w:webHidden/>
          </w:rPr>
          <w:fldChar w:fldCharType="begin"/>
        </w:r>
        <w:r w:rsidR="00834D1D">
          <w:rPr>
            <w:noProof/>
            <w:webHidden/>
          </w:rPr>
          <w:instrText xml:space="preserve"> PAGEREF _Toc528864771 \h </w:instrText>
        </w:r>
        <w:r w:rsidR="00834D1D">
          <w:rPr>
            <w:noProof/>
            <w:webHidden/>
          </w:rPr>
        </w:r>
        <w:r w:rsidR="00834D1D">
          <w:rPr>
            <w:noProof/>
            <w:webHidden/>
          </w:rPr>
          <w:fldChar w:fldCharType="separate"/>
        </w:r>
        <w:r>
          <w:rPr>
            <w:noProof/>
            <w:webHidden/>
          </w:rPr>
          <w:t>69</w:t>
        </w:r>
        <w:r w:rsidR="00834D1D">
          <w:rPr>
            <w:noProof/>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2" w:history="1">
        <w:r w:rsidR="00834D1D" w:rsidRPr="004E466C">
          <w:rPr>
            <w:rStyle w:val="Hyperlink"/>
          </w:rPr>
          <w:t>Whole of government – 10-year anniversary of the 2009 Victorian bushfires</w:t>
        </w:r>
        <w:r w:rsidR="00834D1D">
          <w:rPr>
            <w:webHidden/>
          </w:rPr>
          <w:tab/>
        </w:r>
        <w:r w:rsidR="00834D1D">
          <w:rPr>
            <w:webHidden/>
          </w:rPr>
          <w:fldChar w:fldCharType="begin"/>
        </w:r>
        <w:r w:rsidR="00834D1D">
          <w:rPr>
            <w:webHidden/>
          </w:rPr>
          <w:instrText xml:space="preserve"> PAGEREF _Toc528864772 \h </w:instrText>
        </w:r>
        <w:r w:rsidR="00834D1D">
          <w:rPr>
            <w:webHidden/>
          </w:rPr>
        </w:r>
        <w:r w:rsidR="00834D1D">
          <w:rPr>
            <w:webHidden/>
          </w:rPr>
          <w:fldChar w:fldCharType="separate"/>
        </w:r>
        <w:r>
          <w:rPr>
            <w:webHidden/>
          </w:rPr>
          <w:t>70</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3" w:history="1">
        <w:r w:rsidR="00834D1D" w:rsidRPr="004E466C">
          <w:rPr>
            <w:rStyle w:val="Hyperlink"/>
            <w:rFonts w:eastAsia="Garamond"/>
            <w:lang w:eastAsia="en-AU"/>
          </w:rPr>
          <w:t xml:space="preserve">Whole of government </w:t>
        </w:r>
        <w:r w:rsidR="00834D1D" w:rsidRPr="004E466C">
          <w:rPr>
            <w:rStyle w:val="Hyperlink"/>
            <w:rFonts w:eastAsia="Times New Roman"/>
            <w:lang w:eastAsia="en-AU"/>
          </w:rPr>
          <w:t xml:space="preserve">– </w:t>
        </w:r>
        <w:r w:rsidR="00834D1D" w:rsidRPr="004E466C">
          <w:rPr>
            <w:rStyle w:val="Hyperlink"/>
          </w:rPr>
          <w:t>Drought</w:t>
        </w:r>
        <w:r w:rsidR="00834D1D" w:rsidRPr="004E466C">
          <w:rPr>
            <w:rStyle w:val="Hyperlink"/>
            <w:rFonts w:eastAsia="Times New Roman"/>
            <w:lang w:eastAsia="en-AU"/>
          </w:rPr>
          <w:t xml:space="preserve"> Assistance</w:t>
        </w:r>
        <w:r w:rsidR="00834D1D">
          <w:rPr>
            <w:webHidden/>
          </w:rPr>
          <w:tab/>
        </w:r>
        <w:r w:rsidR="00834D1D">
          <w:rPr>
            <w:webHidden/>
          </w:rPr>
          <w:fldChar w:fldCharType="begin"/>
        </w:r>
        <w:r w:rsidR="00834D1D">
          <w:rPr>
            <w:webHidden/>
          </w:rPr>
          <w:instrText xml:space="preserve"> PAGEREF _Toc528864773 \h </w:instrText>
        </w:r>
        <w:r w:rsidR="00834D1D">
          <w:rPr>
            <w:webHidden/>
          </w:rPr>
        </w:r>
        <w:r w:rsidR="00834D1D">
          <w:rPr>
            <w:webHidden/>
          </w:rPr>
          <w:fldChar w:fldCharType="separate"/>
        </w:r>
        <w:r>
          <w:rPr>
            <w:webHidden/>
          </w:rPr>
          <w:t>71</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4" w:history="1">
        <w:r w:rsidR="00834D1D" w:rsidRPr="004E466C">
          <w:rPr>
            <w:rStyle w:val="Hyperlink"/>
          </w:rPr>
          <w:t>Revenue initiatives</w:t>
        </w:r>
        <w:r w:rsidR="00834D1D">
          <w:rPr>
            <w:webHidden/>
          </w:rPr>
          <w:tab/>
        </w:r>
        <w:r w:rsidR="00834D1D">
          <w:rPr>
            <w:webHidden/>
          </w:rPr>
          <w:fldChar w:fldCharType="begin"/>
        </w:r>
        <w:r w:rsidR="00834D1D">
          <w:rPr>
            <w:webHidden/>
          </w:rPr>
          <w:instrText xml:space="preserve"> PAGEREF _Toc528864774 \h </w:instrText>
        </w:r>
        <w:r w:rsidR="00834D1D">
          <w:rPr>
            <w:webHidden/>
          </w:rPr>
        </w:r>
        <w:r w:rsidR="00834D1D">
          <w:rPr>
            <w:webHidden/>
          </w:rPr>
          <w:fldChar w:fldCharType="separate"/>
        </w:r>
        <w:r>
          <w:rPr>
            <w:webHidden/>
          </w:rPr>
          <w:t>72</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5" w:history="1">
        <w:r w:rsidR="00834D1D" w:rsidRPr="004E466C">
          <w:rPr>
            <w:rStyle w:val="Hyperlink"/>
          </w:rPr>
          <w:t>Department of Economic Development, Jobs, Transport and Resources</w:t>
        </w:r>
        <w:r w:rsidR="00834D1D">
          <w:rPr>
            <w:webHidden/>
          </w:rPr>
          <w:tab/>
        </w:r>
        <w:r w:rsidR="00834D1D">
          <w:rPr>
            <w:webHidden/>
          </w:rPr>
          <w:fldChar w:fldCharType="begin"/>
        </w:r>
        <w:r w:rsidR="00834D1D">
          <w:rPr>
            <w:webHidden/>
          </w:rPr>
          <w:instrText xml:space="preserve"> PAGEREF _Toc528864775 \h </w:instrText>
        </w:r>
        <w:r w:rsidR="00834D1D">
          <w:rPr>
            <w:webHidden/>
          </w:rPr>
        </w:r>
        <w:r w:rsidR="00834D1D">
          <w:rPr>
            <w:webHidden/>
          </w:rPr>
          <w:fldChar w:fldCharType="separate"/>
        </w:r>
        <w:r>
          <w:rPr>
            <w:webHidden/>
          </w:rPr>
          <w:t>73</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6" w:history="1">
        <w:r w:rsidR="00834D1D" w:rsidRPr="004E466C">
          <w:rPr>
            <w:rStyle w:val="Hyperlink"/>
            <w:lang w:eastAsia="en-AU"/>
          </w:rPr>
          <w:t>Department of Education and Training</w:t>
        </w:r>
        <w:r w:rsidR="00834D1D">
          <w:rPr>
            <w:webHidden/>
          </w:rPr>
          <w:tab/>
        </w:r>
        <w:r w:rsidR="00834D1D">
          <w:rPr>
            <w:webHidden/>
          </w:rPr>
          <w:fldChar w:fldCharType="begin"/>
        </w:r>
        <w:r w:rsidR="00834D1D">
          <w:rPr>
            <w:webHidden/>
          </w:rPr>
          <w:instrText xml:space="preserve"> PAGEREF _Toc528864776 \h </w:instrText>
        </w:r>
        <w:r w:rsidR="00834D1D">
          <w:rPr>
            <w:webHidden/>
          </w:rPr>
        </w:r>
        <w:r w:rsidR="00834D1D">
          <w:rPr>
            <w:webHidden/>
          </w:rPr>
          <w:fldChar w:fldCharType="separate"/>
        </w:r>
        <w:r>
          <w:rPr>
            <w:webHidden/>
          </w:rPr>
          <w:t>76</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7" w:history="1">
        <w:r w:rsidR="00834D1D" w:rsidRPr="004E466C">
          <w:rPr>
            <w:rStyle w:val="Hyperlink"/>
            <w:lang w:eastAsia="en-AU"/>
          </w:rPr>
          <w:t>Department of Environment, Land, Water and Planning</w:t>
        </w:r>
        <w:r w:rsidR="00834D1D">
          <w:rPr>
            <w:webHidden/>
          </w:rPr>
          <w:tab/>
        </w:r>
        <w:r w:rsidR="00834D1D">
          <w:rPr>
            <w:webHidden/>
          </w:rPr>
          <w:fldChar w:fldCharType="begin"/>
        </w:r>
        <w:r w:rsidR="00834D1D">
          <w:rPr>
            <w:webHidden/>
          </w:rPr>
          <w:instrText xml:space="preserve"> PAGEREF _Toc528864777 \h </w:instrText>
        </w:r>
        <w:r w:rsidR="00834D1D">
          <w:rPr>
            <w:webHidden/>
          </w:rPr>
        </w:r>
        <w:r w:rsidR="00834D1D">
          <w:rPr>
            <w:webHidden/>
          </w:rPr>
          <w:fldChar w:fldCharType="separate"/>
        </w:r>
        <w:r>
          <w:rPr>
            <w:webHidden/>
          </w:rPr>
          <w:t>79</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8" w:history="1">
        <w:r w:rsidR="00834D1D" w:rsidRPr="004E466C">
          <w:rPr>
            <w:rStyle w:val="Hyperlink"/>
            <w:lang w:eastAsia="en-AU"/>
          </w:rPr>
          <w:t>Department of Health and Human Services</w:t>
        </w:r>
        <w:r w:rsidR="00834D1D">
          <w:rPr>
            <w:webHidden/>
          </w:rPr>
          <w:tab/>
        </w:r>
        <w:r w:rsidR="00834D1D">
          <w:rPr>
            <w:webHidden/>
          </w:rPr>
          <w:fldChar w:fldCharType="begin"/>
        </w:r>
        <w:r w:rsidR="00834D1D">
          <w:rPr>
            <w:webHidden/>
          </w:rPr>
          <w:instrText xml:space="preserve"> PAGEREF _Toc528864778 \h </w:instrText>
        </w:r>
        <w:r w:rsidR="00834D1D">
          <w:rPr>
            <w:webHidden/>
          </w:rPr>
        </w:r>
        <w:r w:rsidR="00834D1D">
          <w:rPr>
            <w:webHidden/>
          </w:rPr>
          <w:fldChar w:fldCharType="separate"/>
        </w:r>
        <w:r>
          <w:rPr>
            <w:webHidden/>
          </w:rPr>
          <w:t>82</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79" w:history="1">
        <w:r w:rsidR="00834D1D" w:rsidRPr="004E466C">
          <w:rPr>
            <w:rStyle w:val="Hyperlink"/>
            <w:lang w:eastAsia="en-AU"/>
          </w:rPr>
          <w:t>Department of Justice and Regulation</w:t>
        </w:r>
        <w:r w:rsidR="00834D1D">
          <w:rPr>
            <w:webHidden/>
          </w:rPr>
          <w:tab/>
        </w:r>
        <w:r w:rsidR="00834D1D">
          <w:rPr>
            <w:webHidden/>
          </w:rPr>
          <w:fldChar w:fldCharType="begin"/>
        </w:r>
        <w:r w:rsidR="00834D1D">
          <w:rPr>
            <w:webHidden/>
          </w:rPr>
          <w:instrText xml:space="preserve"> PAGEREF _Toc528864779 \h </w:instrText>
        </w:r>
        <w:r w:rsidR="00834D1D">
          <w:rPr>
            <w:webHidden/>
          </w:rPr>
        </w:r>
        <w:r w:rsidR="00834D1D">
          <w:rPr>
            <w:webHidden/>
          </w:rPr>
          <w:fldChar w:fldCharType="separate"/>
        </w:r>
        <w:r>
          <w:rPr>
            <w:webHidden/>
          </w:rPr>
          <w:t>84</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80" w:history="1">
        <w:r w:rsidR="00834D1D" w:rsidRPr="004E466C">
          <w:rPr>
            <w:rStyle w:val="Hyperlink"/>
            <w:lang w:eastAsia="en-AU"/>
          </w:rPr>
          <w:t>Department of Premier and Cabinet</w:t>
        </w:r>
        <w:r w:rsidR="00834D1D">
          <w:rPr>
            <w:webHidden/>
          </w:rPr>
          <w:tab/>
        </w:r>
        <w:r w:rsidR="00834D1D">
          <w:rPr>
            <w:webHidden/>
          </w:rPr>
          <w:fldChar w:fldCharType="begin"/>
        </w:r>
        <w:r w:rsidR="00834D1D">
          <w:rPr>
            <w:webHidden/>
          </w:rPr>
          <w:instrText xml:space="preserve"> PAGEREF _Toc528864780 \h </w:instrText>
        </w:r>
        <w:r w:rsidR="00834D1D">
          <w:rPr>
            <w:webHidden/>
          </w:rPr>
        </w:r>
        <w:r w:rsidR="00834D1D">
          <w:rPr>
            <w:webHidden/>
          </w:rPr>
          <w:fldChar w:fldCharType="separate"/>
        </w:r>
        <w:r>
          <w:rPr>
            <w:webHidden/>
          </w:rPr>
          <w:t>88</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81" w:history="1">
        <w:r w:rsidR="00834D1D" w:rsidRPr="004E466C">
          <w:rPr>
            <w:rStyle w:val="Hyperlink"/>
            <w:lang w:eastAsia="en-AU"/>
          </w:rPr>
          <w:t>Department of Treasury and FinanCe</w:t>
        </w:r>
        <w:r w:rsidR="00834D1D">
          <w:rPr>
            <w:webHidden/>
          </w:rPr>
          <w:tab/>
        </w:r>
        <w:r w:rsidR="00834D1D">
          <w:rPr>
            <w:webHidden/>
          </w:rPr>
          <w:fldChar w:fldCharType="begin"/>
        </w:r>
        <w:r w:rsidR="00834D1D">
          <w:rPr>
            <w:webHidden/>
          </w:rPr>
          <w:instrText xml:space="preserve"> PAGEREF _Toc528864781 \h </w:instrText>
        </w:r>
        <w:r w:rsidR="00834D1D">
          <w:rPr>
            <w:webHidden/>
          </w:rPr>
        </w:r>
        <w:r w:rsidR="00834D1D">
          <w:rPr>
            <w:webHidden/>
          </w:rPr>
          <w:fldChar w:fldCharType="separate"/>
        </w:r>
        <w:r>
          <w:rPr>
            <w:webHidden/>
          </w:rPr>
          <w:t>89</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82" w:history="1">
        <w:r w:rsidR="00834D1D" w:rsidRPr="004E466C">
          <w:rPr>
            <w:rStyle w:val="Hyperlink"/>
          </w:rPr>
          <w:t>Court Services Victoria</w:t>
        </w:r>
        <w:r w:rsidR="00834D1D">
          <w:rPr>
            <w:webHidden/>
          </w:rPr>
          <w:tab/>
        </w:r>
        <w:r w:rsidR="00834D1D">
          <w:rPr>
            <w:webHidden/>
          </w:rPr>
          <w:fldChar w:fldCharType="begin"/>
        </w:r>
        <w:r w:rsidR="00834D1D">
          <w:rPr>
            <w:webHidden/>
          </w:rPr>
          <w:instrText xml:space="preserve"> PAGEREF _Toc528864782 \h </w:instrText>
        </w:r>
        <w:r w:rsidR="00834D1D">
          <w:rPr>
            <w:webHidden/>
          </w:rPr>
        </w:r>
        <w:r w:rsidR="00834D1D">
          <w:rPr>
            <w:webHidden/>
          </w:rPr>
          <w:fldChar w:fldCharType="separate"/>
        </w:r>
        <w:r>
          <w:rPr>
            <w:webHidden/>
          </w:rPr>
          <w:t>90</w:t>
        </w:r>
        <w:r w:rsidR="00834D1D">
          <w:rPr>
            <w:webHidden/>
          </w:rPr>
          <w:fldChar w:fldCharType="end"/>
        </w:r>
      </w:hyperlink>
    </w:p>
    <w:p w:rsidR="00834D1D" w:rsidRPr="0064222D" w:rsidRDefault="00834D1D" w:rsidP="0064222D">
      <w:pPr>
        <w:pStyle w:val="Heading20"/>
        <w:rPr>
          <w:rStyle w:val="Hyperlink"/>
          <w:noProof/>
          <w:color w:val="auto"/>
          <w:u w:val="none"/>
        </w:rPr>
      </w:pPr>
      <w:r w:rsidRPr="0064222D">
        <w:rPr>
          <w:rStyle w:val="Hyperlink"/>
          <w:noProof/>
          <w:color w:val="auto"/>
          <w:u w:val="none"/>
        </w:rPr>
        <w:lastRenderedPageBreak/>
        <w:t xml:space="preserve">Table of contents </w:t>
      </w:r>
      <w:r w:rsidRPr="0064222D">
        <w:rPr>
          <w:rStyle w:val="Hyperlink"/>
          <w:i/>
          <w:noProof/>
          <w:color w:val="auto"/>
          <w:u w:val="none"/>
        </w:rPr>
        <w:t>(continued)</w:t>
      </w:r>
    </w:p>
    <w:p w:rsidR="00834D1D" w:rsidRPr="00834D1D" w:rsidRDefault="00834D1D" w:rsidP="00834D1D">
      <w:pPr>
        <w:rPr>
          <w:noProof/>
        </w:rPr>
      </w:pPr>
    </w:p>
    <w:p w:rsidR="00834D1D" w:rsidRDefault="00132FE0">
      <w:pPr>
        <w:pStyle w:val="TOC1"/>
        <w:rPr>
          <w:rFonts w:asciiTheme="minorHAnsi" w:eastAsiaTheme="minorEastAsia" w:hAnsiTheme="minorHAnsi"/>
          <w:b w:val="0"/>
          <w:noProof/>
          <w:spacing w:val="0"/>
          <w:szCs w:val="22"/>
          <w:lang w:eastAsia="en-AU"/>
        </w:rPr>
      </w:pPr>
      <w:hyperlink w:anchor="_Toc528864783" w:history="1">
        <w:r w:rsidR="00834D1D" w:rsidRPr="004E466C">
          <w:rPr>
            <w:rStyle w:val="Hyperlink"/>
            <w:noProof/>
          </w:rPr>
          <w:t>Appendix B – Sensitivity analysis</w:t>
        </w:r>
        <w:r w:rsidR="00834D1D">
          <w:rPr>
            <w:noProof/>
            <w:webHidden/>
          </w:rPr>
          <w:tab/>
        </w:r>
        <w:r w:rsidR="00834D1D">
          <w:rPr>
            <w:noProof/>
            <w:webHidden/>
          </w:rPr>
          <w:fldChar w:fldCharType="begin"/>
        </w:r>
        <w:r w:rsidR="00834D1D">
          <w:rPr>
            <w:noProof/>
            <w:webHidden/>
          </w:rPr>
          <w:instrText xml:space="preserve"> PAGEREF _Toc528864783 \h </w:instrText>
        </w:r>
        <w:r w:rsidR="00834D1D">
          <w:rPr>
            <w:noProof/>
            <w:webHidden/>
          </w:rPr>
        </w:r>
        <w:r w:rsidR="00834D1D">
          <w:rPr>
            <w:noProof/>
            <w:webHidden/>
          </w:rPr>
          <w:fldChar w:fldCharType="separate"/>
        </w:r>
        <w:r>
          <w:rPr>
            <w:noProof/>
            <w:webHidden/>
          </w:rPr>
          <w:t>91</w:t>
        </w:r>
        <w:r w:rsidR="00834D1D">
          <w:rPr>
            <w:noProof/>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84" w:history="1">
        <w:r w:rsidR="00834D1D" w:rsidRPr="004E466C">
          <w:rPr>
            <w:rStyle w:val="Hyperlink"/>
          </w:rPr>
          <w:t>Fiscal impacts of variations to the economic outlook</w:t>
        </w:r>
        <w:r w:rsidR="00834D1D">
          <w:rPr>
            <w:webHidden/>
          </w:rPr>
          <w:tab/>
        </w:r>
        <w:r w:rsidR="00834D1D">
          <w:rPr>
            <w:webHidden/>
          </w:rPr>
          <w:fldChar w:fldCharType="begin"/>
        </w:r>
        <w:r w:rsidR="00834D1D">
          <w:rPr>
            <w:webHidden/>
          </w:rPr>
          <w:instrText xml:space="preserve"> PAGEREF _Toc528864784 \h </w:instrText>
        </w:r>
        <w:r w:rsidR="00834D1D">
          <w:rPr>
            <w:webHidden/>
          </w:rPr>
        </w:r>
        <w:r w:rsidR="00834D1D">
          <w:rPr>
            <w:webHidden/>
          </w:rPr>
          <w:fldChar w:fldCharType="separate"/>
        </w:r>
        <w:r>
          <w:rPr>
            <w:webHidden/>
          </w:rPr>
          <w:t>92</w:t>
        </w:r>
        <w:r w:rsidR="00834D1D">
          <w:rPr>
            <w:webHidden/>
          </w:rPr>
          <w:fldChar w:fldCharType="end"/>
        </w:r>
      </w:hyperlink>
    </w:p>
    <w:p w:rsidR="00834D1D" w:rsidRDefault="00132FE0">
      <w:pPr>
        <w:pStyle w:val="TOC2"/>
        <w:rPr>
          <w:rFonts w:asciiTheme="minorHAnsi" w:eastAsiaTheme="minorEastAsia" w:hAnsiTheme="minorHAnsi"/>
          <w:spacing w:val="0"/>
          <w:szCs w:val="22"/>
          <w:lang w:eastAsia="en-AU"/>
        </w:rPr>
      </w:pPr>
      <w:hyperlink w:anchor="_Toc528864785" w:history="1">
        <w:r w:rsidR="00834D1D" w:rsidRPr="004E466C">
          <w:rPr>
            <w:rStyle w:val="Hyperlink"/>
          </w:rPr>
          <w:t>Sensitivity to independent variations in major economic parameters</w:t>
        </w:r>
        <w:r w:rsidR="00834D1D">
          <w:rPr>
            <w:webHidden/>
          </w:rPr>
          <w:tab/>
        </w:r>
        <w:r w:rsidR="00834D1D">
          <w:rPr>
            <w:webHidden/>
          </w:rPr>
          <w:fldChar w:fldCharType="begin"/>
        </w:r>
        <w:r w:rsidR="00834D1D">
          <w:rPr>
            <w:webHidden/>
          </w:rPr>
          <w:instrText xml:space="preserve"> PAGEREF _Toc528864785 \h </w:instrText>
        </w:r>
        <w:r w:rsidR="00834D1D">
          <w:rPr>
            <w:webHidden/>
          </w:rPr>
        </w:r>
        <w:r w:rsidR="00834D1D">
          <w:rPr>
            <w:webHidden/>
          </w:rPr>
          <w:fldChar w:fldCharType="separate"/>
        </w:r>
        <w:r>
          <w:rPr>
            <w:webHidden/>
          </w:rPr>
          <w:t>99</w:t>
        </w:r>
        <w:r w:rsidR="00834D1D">
          <w:rPr>
            <w:webHidden/>
          </w:rPr>
          <w:fldChar w:fldCharType="end"/>
        </w:r>
      </w:hyperlink>
    </w:p>
    <w:p w:rsidR="00834D1D" w:rsidRDefault="00132FE0">
      <w:pPr>
        <w:pStyle w:val="TOC1"/>
        <w:rPr>
          <w:rFonts w:asciiTheme="minorHAnsi" w:eastAsiaTheme="minorEastAsia" w:hAnsiTheme="minorHAnsi"/>
          <w:b w:val="0"/>
          <w:noProof/>
          <w:spacing w:val="0"/>
          <w:szCs w:val="22"/>
          <w:lang w:eastAsia="en-AU"/>
        </w:rPr>
      </w:pPr>
      <w:hyperlink w:anchor="_Toc528864786" w:history="1">
        <w:r w:rsidR="00834D1D" w:rsidRPr="004E466C">
          <w:rPr>
            <w:rStyle w:val="Hyperlink"/>
            <w:noProof/>
          </w:rPr>
          <w:t xml:space="preserve">Appendix C – Requirements of the </w:t>
        </w:r>
        <w:r w:rsidR="00834D1D" w:rsidRPr="004E466C">
          <w:rPr>
            <w:rStyle w:val="Hyperlink"/>
            <w:i/>
            <w:noProof/>
          </w:rPr>
          <w:t>Financial Management Act 1994</w:t>
        </w:r>
        <w:r w:rsidR="00834D1D">
          <w:rPr>
            <w:noProof/>
            <w:webHidden/>
          </w:rPr>
          <w:tab/>
        </w:r>
        <w:r w:rsidR="00834D1D">
          <w:rPr>
            <w:noProof/>
            <w:webHidden/>
          </w:rPr>
          <w:fldChar w:fldCharType="begin"/>
        </w:r>
        <w:r w:rsidR="00834D1D">
          <w:rPr>
            <w:noProof/>
            <w:webHidden/>
          </w:rPr>
          <w:instrText xml:space="preserve"> PAGEREF _Toc528864786 \h </w:instrText>
        </w:r>
        <w:r w:rsidR="00834D1D">
          <w:rPr>
            <w:noProof/>
            <w:webHidden/>
          </w:rPr>
        </w:r>
        <w:r w:rsidR="00834D1D">
          <w:rPr>
            <w:noProof/>
            <w:webHidden/>
          </w:rPr>
          <w:fldChar w:fldCharType="separate"/>
        </w:r>
        <w:r>
          <w:rPr>
            <w:noProof/>
            <w:webHidden/>
          </w:rPr>
          <w:t>103</w:t>
        </w:r>
        <w:r w:rsidR="00834D1D">
          <w:rPr>
            <w:noProof/>
            <w:webHidden/>
          </w:rPr>
          <w:fldChar w:fldCharType="end"/>
        </w:r>
      </w:hyperlink>
    </w:p>
    <w:p w:rsidR="00834D1D" w:rsidRDefault="00132FE0">
      <w:pPr>
        <w:pStyle w:val="TOC1"/>
        <w:rPr>
          <w:rFonts w:asciiTheme="minorHAnsi" w:eastAsiaTheme="minorEastAsia" w:hAnsiTheme="minorHAnsi"/>
          <w:b w:val="0"/>
          <w:noProof/>
          <w:spacing w:val="0"/>
          <w:szCs w:val="22"/>
          <w:lang w:eastAsia="en-AU"/>
        </w:rPr>
      </w:pPr>
      <w:hyperlink w:anchor="_Toc528864787" w:history="1">
        <w:r w:rsidR="00834D1D" w:rsidRPr="004E466C">
          <w:rPr>
            <w:rStyle w:val="Hyperlink"/>
            <w:noProof/>
          </w:rPr>
          <w:t>Style conventions</w:t>
        </w:r>
        <w:r w:rsidR="00834D1D">
          <w:rPr>
            <w:noProof/>
            <w:webHidden/>
          </w:rPr>
          <w:tab/>
        </w:r>
        <w:r w:rsidR="00834D1D">
          <w:rPr>
            <w:noProof/>
            <w:webHidden/>
          </w:rPr>
          <w:fldChar w:fldCharType="begin"/>
        </w:r>
        <w:r w:rsidR="00834D1D">
          <w:rPr>
            <w:noProof/>
            <w:webHidden/>
          </w:rPr>
          <w:instrText xml:space="preserve"> PAGEREF _Toc528864787 \h </w:instrText>
        </w:r>
        <w:r w:rsidR="00834D1D">
          <w:rPr>
            <w:noProof/>
            <w:webHidden/>
          </w:rPr>
        </w:r>
        <w:r w:rsidR="00834D1D">
          <w:rPr>
            <w:noProof/>
            <w:webHidden/>
          </w:rPr>
          <w:fldChar w:fldCharType="separate"/>
        </w:r>
        <w:r>
          <w:rPr>
            <w:noProof/>
            <w:webHidden/>
          </w:rPr>
          <w:t>105</w:t>
        </w:r>
        <w:r w:rsidR="00834D1D">
          <w:rPr>
            <w:noProof/>
            <w:webHidden/>
          </w:rPr>
          <w:fldChar w:fldCharType="end"/>
        </w:r>
      </w:hyperlink>
    </w:p>
    <w:p w:rsidR="00B32D50" w:rsidRDefault="006D735A">
      <w:pPr>
        <w:keepLines w:val="0"/>
      </w:pPr>
      <w:r w:rsidRPr="000A1C51">
        <w:rPr>
          <w:rFonts w:asciiTheme="majorHAnsi" w:hAnsiTheme="majorHAnsi"/>
          <w:b/>
          <w:spacing w:val="-2"/>
          <w:szCs w:val="19"/>
        </w:rPr>
        <w:fldChar w:fldCharType="end"/>
      </w:r>
    </w:p>
    <w:p w:rsidR="00B32D50" w:rsidRDefault="00B32D50" w:rsidP="00B32D50">
      <w:pPr>
        <w:sectPr w:rsidR="00B32D50" w:rsidSect="00A6795B">
          <w:headerReference w:type="even" r:id="rId13"/>
          <w:headerReference w:type="default" r:id="rId14"/>
          <w:footerReference w:type="even" r:id="rId15"/>
          <w:footerReference w:type="default" r:id="rId16"/>
          <w:headerReference w:type="first" r:id="rId17"/>
          <w:footerReference w:type="first" r:id="rId18"/>
          <w:type w:val="oddPage"/>
          <w:pgSz w:w="9979" w:h="14175" w:code="34"/>
          <w:pgMar w:top="851" w:right="1134" w:bottom="851" w:left="1134" w:header="624" w:footer="567" w:gutter="0"/>
          <w:pgNumType w:fmt="lowerRoman" w:start="1"/>
          <w:cols w:sep="1" w:space="567"/>
          <w:docGrid w:linePitch="360"/>
        </w:sectPr>
      </w:pPr>
    </w:p>
    <w:p w:rsidR="00B32D50" w:rsidRDefault="00615D12" w:rsidP="00615D12">
      <w:pPr>
        <w:pStyle w:val="Chapterheading"/>
      </w:pPr>
      <w:bookmarkStart w:id="2" w:name="_Toc528864753"/>
      <w:r w:rsidRPr="00615D12">
        <w:lastRenderedPageBreak/>
        <w:t>Foreword</w:t>
      </w:r>
      <w:bookmarkEnd w:id="2"/>
    </w:p>
    <w:p w:rsidR="00B32D50" w:rsidRDefault="00B32D50" w:rsidP="00F17BCD">
      <w:r>
        <w:t xml:space="preserve">This </w:t>
      </w:r>
      <w:r>
        <w:rPr>
          <w:i/>
        </w:rPr>
        <w:t>Pre</w:t>
      </w:r>
      <w:r>
        <w:rPr>
          <w:i/>
        </w:rPr>
        <w:noBreakHyphen/>
      </w:r>
      <w:r w:rsidRPr="0077766B">
        <w:rPr>
          <w:i/>
        </w:rPr>
        <w:t>Election Budget Update</w:t>
      </w:r>
      <w:r>
        <w:t xml:space="preserve"> is published by the Department of Treasury and Finance in accordance with reporting requirements under Part 5, Division 6 of the </w:t>
      </w:r>
      <w:r w:rsidRPr="0077766B">
        <w:rPr>
          <w:i/>
        </w:rPr>
        <w:t>Financial Management Act 1994</w:t>
      </w:r>
      <w:r>
        <w:t xml:space="preserve"> (FMA). Appendix C </w:t>
      </w:r>
      <w:r w:rsidRPr="0077766B">
        <w:rPr>
          <w:i/>
        </w:rPr>
        <w:t xml:space="preserve">Requirements </w:t>
      </w:r>
      <w:r>
        <w:rPr>
          <w:i/>
        </w:rPr>
        <w:t>of the Financial Management Act </w:t>
      </w:r>
      <w:r w:rsidRPr="0077766B">
        <w:rPr>
          <w:i/>
        </w:rPr>
        <w:t>1994</w:t>
      </w:r>
      <w:r>
        <w:t xml:space="preserve"> details how these requirements have been met. </w:t>
      </w:r>
    </w:p>
    <w:p w:rsidR="00B32D50" w:rsidRDefault="00B32D50" w:rsidP="00F17BCD">
      <w:r>
        <w:t xml:space="preserve">The purpose of this </w:t>
      </w:r>
      <w:r>
        <w:rPr>
          <w:i/>
        </w:rPr>
        <w:t>Pre</w:t>
      </w:r>
      <w:r>
        <w:rPr>
          <w:i/>
        </w:rPr>
        <w:noBreakHyphen/>
      </w:r>
      <w:r w:rsidRPr="0077766B">
        <w:rPr>
          <w:i/>
        </w:rPr>
        <w:t>Election Budget Update</w:t>
      </w:r>
      <w:r>
        <w:t xml:space="preserve"> is to update information on the general government sector since the </w:t>
      </w:r>
      <w:r>
        <w:rPr>
          <w:i/>
        </w:rPr>
        <w:t>2018</w:t>
      </w:r>
      <w:r>
        <w:rPr>
          <w:i/>
        </w:rPr>
        <w:noBreakHyphen/>
        <w:t>19</w:t>
      </w:r>
      <w:r w:rsidRPr="0077766B">
        <w:rPr>
          <w:i/>
        </w:rPr>
        <w:t xml:space="preserve"> Budget</w:t>
      </w:r>
      <w:r>
        <w:t xml:space="preserve"> was published in May 2018.</w:t>
      </w:r>
    </w:p>
    <w:p w:rsidR="00B32D50" w:rsidRDefault="00B32D50" w:rsidP="00F17BCD">
      <w:r>
        <w:t xml:space="preserve">Chapter 1 </w:t>
      </w:r>
      <w:r w:rsidRPr="0077766B">
        <w:rPr>
          <w:i/>
        </w:rPr>
        <w:t>Economic conditions and outlook</w:t>
      </w:r>
      <w:r>
        <w:t xml:space="preserve">, outlines the outlook for the Victorian, Australian and international economies, including risks to this outlook. Chapter 2 </w:t>
      </w:r>
      <w:r w:rsidRPr="0077766B">
        <w:rPr>
          <w:i/>
        </w:rPr>
        <w:t xml:space="preserve">Budget </w:t>
      </w:r>
      <w:r>
        <w:rPr>
          <w:i/>
        </w:rPr>
        <w:t>p</w:t>
      </w:r>
      <w:r w:rsidRPr="0077766B">
        <w:rPr>
          <w:i/>
        </w:rPr>
        <w:t xml:space="preserve">osition and </w:t>
      </w:r>
      <w:r>
        <w:rPr>
          <w:i/>
        </w:rPr>
        <w:t>o</w:t>
      </w:r>
      <w:r w:rsidRPr="0077766B">
        <w:rPr>
          <w:i/>
        </w:rPr>
        <w:t>utlook</w:t>
      </w:r>
      <w:r>
        <w:t>, overviews the projected budget position for the period 2018</w:t>
      </w:r>
      <w:r>
        <w:noBreakHyphen/>
        <w:t>19 to 2021</w:t>
      </w:r>
      <w:r>
        <w:noBreakHyphen/>
        <w:t xml:space="preserve">22 and outlines the fiscal risks which could materially alter these budget projections. Chapter 3 </w:t>
      </w:r>
      <w:r w:rsidRPr="001A0548">
        <w:rPr>
          <w:i/>
        </w:rPr>
        <w:t xml:space="preserve">Estimated financial statements and </w:t>
      </w:r>
      <w:r>
        <w:rPr>
          <w:i/>
        </w:rPr>
        <w:t>n</w:t>
      </w:r>
      <w:r w:rsidRPr="001A0548">
        <w:rPr>
          <w:i/>
        </w:rPr>
        <w:t>otes</w:t>
      </w:r>
      <w:r>
        <w:t xml:space="preserve">, provides the formal financial statements, and underpinning notes and assumptions required by the FMA and is prepared in accordance with applicable Australian Accounting Standards. Chapter 4 </w:t>
      </w:r>
      <w:r w:rsidRPr="001A0548">
        <w:rPr>
          <w:i/>
        </w:rPr>
        <w:t xml:space="preserve">Contingent </w:t>
      </w:r>
      <w:r>
        <w:rPr>
          <w:i/>
        </w:rPr>
        <w:t>a</w:t>
      </w:r>
      <w:r w:rsidRPr="001A0548">
        <w:rPr>
          <w:i/>
        </w:rPr>
        <w:t xml:space="preserve">ssets and </w:t>
      </w:r>
      <w:r>
        <w:rPr>
          <w:i/>
        </w:rPr>
        <w:t>c</w:t>
      </w:r>
      <w:r w:rsidRPr="001A0548">
        <w:rPr>
          <w:i/>
        </w:rPr>
        <w:t>ontingent liabilities</w:t>
      </w:r>
      <w:r>
        <w:t>, outlines quantifiable and non</w:t>
      </w:r>
      <w:r>
        <w:noBreakHyphen/>
        <w:t xml:space="preserve">quantifiable contingent assets and contingent liabilities. Appendix A </w:t>
      </w:r>
      <w:r w:rsidRPr="001A0548">
        <w:rPr>
          <w:i/>
        </w:rPr>
        <w:t>Specific policy initiatives affecting the budget position</w:t>
      </w:r>
      <w:r>
        <w:t xml:space="preserve">, outlines specific output and asset investment policy decisions since the </w:t>
      </w:r>
      <w:r>
        <w:rPr>
          <w:i/>
        </w:rPr>
        <w:t>2018</w:t>
      </w:r>
      <w:r>
        <w:rPr>
          <w:i/>
        </w:rPr>
        <w:noBreakHyphen/>
        <w:t>19</w:t>
      </w:r>
      <w:r w:rsidRPr="00B47512">
        <w:rPr>
          <w:i/>
        </w:rPr>
        <w:t xml:space="preserve"> Budget</w:t>
      </w:r>
      <w:r>
        <w:t xml:space="preserve"> and Appendix B </w:t>
      </w:r>
      <w:r w:rsidRPr="00B47512">
        <w:rPr>
          <w:i/>
        </w:rPr>
        <w:t>Sensitivity analysis</w:t>
      </w:r>
      <w:r>
        <w:t>, estimates the impact of selected economic and financial variables on income, expenses, the net result from transactions, the net result and net debt.</w:t>
      </w:r>
    </w:p>
    <w:p w:rsidR="00B32D50" w:rsidRDefault="00B32D50" w:rsidP="00F17BCD">
      <w:r>
        <w:t xml:space="preserve">This </w:t>
      </w:r>
      <w:r>
        <w:rPr>
          <w:i/>
        </w:rPr>
        <w:t>Pre</w:t>
      </w:r>
      <w:r>
        <w:rPr>
          <w:i/>
        </w:rPr>
        <w:noBreakHyphen/>
      </w:r>
      <w:r w:rsidRPr="00B47512">
        <w:rPr>
          <w:i/>
        </w:rPr>
        <w:t>Election Budget Update</w:t>
      </w:r>
      <w:r>
        <w:t xml:space="preserve"> is based on Government decisions I was aware of on or before the issue of the election writs on 30 October 2018. </w:t>
      </w:r>
    </w:p>
    <w:p w:rsidR="00B32D50" w:rsidRDefault="00B32D50" w:rsidP="00F17BCD"/>
    <w:p w:rsidR="00B32D50" w:rsidRDefault="00B32D50" w:rsidP="00F17BCD"/>
    <w:p w:rsidR="00DD0615" w:rsidRDefault="00DD0615" w:rsidP="00F17BCD"/>
    <w:p w:rsidR="00B32D50" w:rsidRPr="004C34F4" w:rsidRDefault="00B32D50" w:rsidP="00F17BCD">
      <w:pPr>
        <w:rPr>
          <w:b/>
        </w:rPr>
      </w:pPr>
      <w:r w:rsidRPr="004C34F4">
        <w:rPr>
          <w:b/>
        </w:rPr>
        <w:t>David Martine</w:t>
      </w:r>
    </w:p>
    <w:p w:rsidR="00B32D50" w:rsidRPr="004C34F4" w:rsidRDefault="00B32D50" w:rsidP="00F17BCD">
      <w:pPr>
        <w:spacing w:before="0"/>
        <w:rPr>
          <w:b/>
        </w:rPr>
      </w:pPr>
      <w:r w:rsidRPr="004C34F4">
        <w:rPr>
          <w:b/>
        </w:rPr>
        <w:t>Secretary</w:t>
      </w:r>
    </w:p>
    <w:p w:rsidR="00B32D50" w:rsidRDefault="00B32D50" w:rsidP="00F17BCD">
      <w:r>
        <w:t>Department of Treasury and Finance</w:t>
      </w:r>
    </w:p>
    <w:p w:rsidR="00B32D50" w:rsidRDefault="00B32D50" w:rsidP="004419CD">
      <w:r>
        <w:t>November 2018</w:t>
      </w:r>
    </w:p>
    <w:p w:rsidR="00735AAB" w:rsidRDefault="00735AAB">
      <w:pPr>
        <w:keepLines w:val="0"/>
      </w:pPr>
      <w:r>
        <w:br w:type="page"/>
      </w:r>
    </w:p>
    <w:p w:rsidR="00B32D50" w:rsidRDefault="00B32D50" w:rsidP="00B32D50"/>
    <w:p w:rsidR="00735AAB" w:rsidRDefault="00735AAB" w:rsidP="00B32D50"/>
    <w:p w:rsidR="00735AAB" w:rsidRDefault="00735AAB" w:rsidP="00B32D50">
      <w:pPr>
        <w:sectPr w:rsidR="00735AAB" w:rsidSect="00834D1D">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851" w:right="1134" w:bottom="851" w:left="1134" w:header="624" w:footer="567" w:gutter="0"/>
          <w:pgNumType w:start="1"/>
          <w:cols w:sep="1" w:space="567"/>
          <w:docGrid w:linePitch="360"/>
        </w:sectPr>
      </w:pPr>
    </w:p>
    <w:p w:rsidR="00B32D50" w:rsidRDefault="00B32D50" w:rsidP="000C43CD">
      <w:pPr>
        <w:pStyle w:val="Chapterheading"/>
      </w:pPr>
      <w:bookmarkStart w:id="3" w:name="_Toc472072539"/>
      <w:bookmarkStart w:id="4" w:name="_Toc528864754"/>
      <w:r>
        <w:lastRenderedPageBreak/>
        <w:t>Chapter 1 – Economic conditions and outlook</w:t>
      </w:r>
      <w:bookmarkEnd w:id="3"/>
      <w:bookmarkEnd w:id="4"/>
    </w:p>
    <w:p w:rsidR="00B32D50" w:rsidRDefault="00B32D50" w:rsidP="00F17BCD">
      <w:pPr>
        <w:pStyle w:val="HighlightBoxBullet"/>
        <w:pBdr>
          <w:top w:val="single" w:sz="6" w:space="1" w:color="auto"/>
          <w:left w:val="single" w:sz="6" w:space="4" w:color="auto"/>
          <w:bottom w:val="single" w:sz="6" w:space="1" w:color="auto"/>
          <w:right w:val="single" w:sz="6" w:space="4" w:color="auto"/>
        </w:pBdr>
        <w:rPr>
          <w:rFonts w:ascii="Garamond" w:hAnsi="Garamond"/>
        </w:rPr>
      </w:pPr>
      <w:r w:rsidRPr="00DE6DD2">
        <w:rPr>
          <w:rFonts w:ascii="Garamond" w:hAnsi="Garamond"/>
        </w:rPr>
        <w:t xml:space="preserve">Real gross state product (GSP) is forecast to </w:t>
      </w:r>
      <w:r>
        <w:rPr>
          <w:rFonts w:ascii="Garamond" w:hAnsi="Garamond"/>
        </w:rPr>
        <w:t>increase</w:t>
      </w:r>
      <w:r w:rsidRPr="00DE6DD2">
        <w:rPr>
          <w:rFonts w:ascii="Garamond" w:hAnsi="Garamond"/>
        </w:rPr>
        <w:t xml:space="preserve"> </w:t>
      </w:r>
      <w:r>
        <w:rPr>
          <w:rFonts w:ascii="Garamond" w:hAnsi="Garamond"/>
        </w:rPr>
        <w:t>by 3.0 per </w:t>
      </w:r>
      <w:r w:rsidRPr="00DE6DD2">
        <w:rPr>
          <w:rFonts w:ascii="Garamond" w:hAnsi="Garamond"/>
        </w:rPr>
        <w:t xml:space="preserve">cent </w:t>
      </w:r>
      <w:r>
        <w:rPr>
          <w:rFonts w:ascii="Garamond" w:hAnsi="Garamond"/>
        </w:rPr>
        <w:t>in 2018</w:t>
      </w:r>
      <w:r>
        <w:rPr>
          <w:rFonts w:ascii="Garamond" w:hAnsi="Garamond"/>
        </w:rPr>
        <w:noBreakHyphen/>
      </w:r>
      <w:r w:rsidRPr="00DE6DD2">
        <w:rPr>
          <w:rFonts w:ascii="Garamond" w:hAnsi="Garamond"/>
        </w:rPr>
        <w:t>19 and</w:t>
      </w:r>
      <w:r>
        <w:rPr>
          <w:rFonts w:ascii="Garamond" w:hAnsi="Garamond"/>
        </w:rPr>
        <w:t xml:space="preserve"> then return to the trend rate of 2.75 per </w:t>
      </w:r>
      <w:r w:rsidRPr="00DE6DD2">
        <w:rPr>
          <w:rFonts w:ascii="Garamond" w:hAnsi="Garamond"/>
        </w:rPr>
        <w:t xml:space="preserve">cent </w:t>
      </w:r>
      <w:r>
        <w:rPr>
          <w:rFonts w:ascii="Garamond" w:hAnsi="Garamond"/>
        </w:rPr>
        <w:t xml:space="preserve">each year </w:t>
      </w:r>
      <w:r w:rsidRPr="00DE6DD2">
        <w:rPr>
          <w:rFonts w:ascii="Garamond" w:hAnsi="Garamond"/>
        </w:rPr>
        <w:t>over the forward estimates.</w:t>
      </w:r>
      <w:r>
        <w:rPr>
          <w:rFonts w:ascii="Garamond" w:hAnsi="Garamond"/>
        </w:rPr>
        <w:t xml:space="preserve"> </w:t>
      </w:r>
    </w:p>
    <w:p w:rsidR="00B32D50" w:rsidRPr="000757F1" w:rsidRDefault="00B32D50" w:rsidP="00F17BCD">
      <w:pPr>
        <w:pStyle w:val="HighlightBoxBullet"/>
        <w:pBdr>
          <w:top w:val="single" w:sz="6" w:space="1" w:color="auto"/>
          <w:left w:val="single" w:sz="6" w:space="4" w:color="auto"/>
          <w:bottom w:val="single" w:sz="6" w:space="1" w:color="auto"/>
          <w:right w:val="single" w:sz="6" w:space="4" w:color="auto"/>
        </w:pBdr>
        <w:rPr>
          <w:rFonts w:ascii="Garamond" w:hAnsi="Garamond"/>
        </w:rPr>
      </w:pPr>
      <w:r w:rsidRPr="000757F1">
        <w:rPr>
          <w:rFonts w:ascii="Garamond" w:hAnsi="Garamond"/>
        </w:rPr>
        <w:t xml:space="preserve">Labour market conditions are positive, with further solid </w:t>
      </w:r>
      <w:r>
        <w:rPr>
          <w:rFonts w:ascii="Garamond" w:hAnsi="Garamond"/>
        </w:rPr>
        <w:t xml:space="preserve">growth </w:t>
      </w:r>
      <w:r w:rsidRPr="000757F1">
        <w:rPr>
          <w:rFonts w:ascii="Garamond" w:hAnsi="Garamond"/>
        </w:rPr>
        <w:t xml:space="preserve">in employment </w:t>
      </w:r>
      <w:r>
        <w:rPr>
          <w:rFonts w:ascii="Garamond" w:hAnsi="Garamond"/>
        </w:rPr>
        <w:t>expected</w:t>
      </w:r>
      <w:r w:rsidRPr="000757F1">
        <w:rPr>
          <w:rFonts w:ascii="Garamond" w:hAnsi="Garamond"/>
        </w:rPr>
        <w:t xml:space="preserve"> </w:t>
      </w:r>
      <w:r>
        <w:rPr>
          <w:rFonts w:ascii="Garamond" w:hAnsi="Garamond"/>
        </w:rPr>
        <w:t>in</w:t>
      </w:r>
      <w:r w:rsidRPr="000757F1">
        <w:rPr>
          <w:rFonts w:ascii="Garamond" w:hAnsi="Garamond"/>
        </w:rPr>
        <w:t xml:space="preserve"> 2018</w:t>
      </w:r>
      <w:r w:rsidRPr="000757F1">
        <w:rPr>
          <w:rFonts w:ascii="Garamond" w:hAnsi="Garamond"/>
        </w:rPr>
        <w:noBreakHyphen/>
        <w:t xml:space="preserve">19. </w:t>
      </w:r>
    </w:p>
    <w:p w:rsidR="00B32D50" w:rsidRDefault="00B32D50" w:rsidP="00F17BCD">
      <w:pPr>
        <w:pStyle w:val="HighlightBoxBullet"/>
        <w:pBdr>
          <w:top w:val="single" w:sz="6" w:space="1" w:color="auto"/>
          <w:left w:val="single" w:sz="6" w:space="4" w:color="auto"/>
          <w:bottom w:val="single" w:sz="6" w:space="1" w:color="auto"/>
          <w:right w:val="single" w:sz="6" w:space="4" w:color="auto"/>
        </w:pBdr>
        <w:rPr>
          <w:rFonts w:ascii="Garamond" w:hAnsi="Garamond"/>
        </w:rPr>
      </w:pPr>
      <w:r>
        <w:rPr>
          <w:rFonts w:ascii="Garamond" w:hAnsi="Garamond"/>
        </w:rPr>
        <w:t>Population growth is forecast to moderate after a period of strong growth</w:t>
      </w:r>
      <w:r w:rsidRPr="004E796D">
        <w:rPr>
          <w:rFonts w:ascii="Garamond" w:hAnsi="Garamond"/>
        </w:rPr>
        <w:t xml:space="preserve">. </w:t>
      </w:r>
    </w:p>
    <w:p w:rsidR="00B32D50" w:rsidRDefault="00B32D50" w:rsidP="00F17BCD">
      <w:pPr>
        <w:pStyle w:val="HighlightBoxBullet"/>
        <w:pBdr>
          <w:top w:val="single" w:sz="6" w:space="1" w:color="auto"/>
          <w:left w:val="single" w:sz="6" w:space="4" w:color="auto"/>
          <w:bottom w:val="single" w:sz="6" w:space="1" w:color="auto"/>
          <w:right w:val="single" w:sz="6" w:space="4" w:color="auto"/>
        </w:pBdr>
        <w:rPr>
          <w:rFonts w:ascii="Garamond" w:hAnsi="Garamond"/>
        </w:rPr>
      </w:pPr>
      <w:r>
        <w:rPr>
          <w:rFonts w:ascii="Garamond" w:hAnsi="Garamond"/>
        </w:rPr>
        <w:t>N</w:t>
      </w:r>
      <w:r w:rsidRPr="00DE6DD2">
        <w:rPr>
          <w:rFonts w:ascii="Garamond" w:hAnsi="Garamond"/>
        </w:rPr>
        <w:t>ational and global economi</w:t>
      </w:r>
      <w:r>
        <w:rPr>
          <w:rFonts w:ascii="Garamond" w:hAnsi="Garamond"/>
        </w:rPr>
        <w:t>c c</w:t>
      </w:r>
      <w:r w:rsidRPr="00DE6DD2">
        <w:rPr>
          <w:rFonts w:ascii="Garamond" w:hAnsi="Garamond"/>
        </w:rPr>
        <w:t>onditions are broadly supportive of Victoria’s economic outlook</w:t>
      </w:r>
      <w:r>
        <w:rPr>
          <w:rFonts w:ascii="Garamond" w:hAnsi="Garamond"/>
        </w:rPr>
        <w:t xml:space="preserve"> as the economic cycle matures. </w:t>
      </w:r>
    </w:p>
    <w:p w:rsidR="00B32D50" w:rsidRPr="000A2F03" w:rsidRDefault="00B32D50" w:rsidP="00F17BCD">
      <w:pPr>
        <w:pStyle w:val="HighlightBoxBullet"/>
        <w:pBdr>
          <w:top w:val="single" w:sz="6" w:space="1" w:color="auto"/>
          <w:left w:val="single" w:sz="6" w:space="4" w:color="auto"/>
          <w:bottom w:val="single" w:sz="6" w:space="1" w:color="auto"/>
          <w:right w:val="single" w:sz="6" w:space="4" w:color="auto"/>
        </w:pBdr>
        <w:rPr>
          <w:rFonts w:ascii="Garamond" w:hAnsi="Garamond"/>
        </w:rPr>
      </w:pPr>
      <w:r>
        <w:rPr>
          <w:rFonts w:ascii="Garamond" w:hAnsi="Garamond"/>
        </w:rPr>
        <w:t>U</w:t>
      </w:r>
      <w:r w:rsidRPr="00DE6DD2">
        <w:rPr>
          <w:rFonts w:ascii="Garamond" w:hAnsi="Garamond"/>
        </w:rPr>
        <w:t xml:space="preserve">ncertainty surrounding the outlook for </w:t>
      </w:r>
      <w:r>
        <w:rPr>
          <w:rFonts w:ascii="Garamond" w:hAnsi="Garamond"/>
        </w:rPr>
        <w:t xml:space="preserve">the residential property market and </w:t>
      </w:r>
      <w:r w:rsidRPr="00DE6DD2">
        <w:rPr>
          <w:rFonts w:ascii="Garamond" w:hAnsi="Garamond"/>
        </w:rPr>
        <w:t>global trade policy is elevated</w:t>
      </w:r>
      <w:r>
        <w:rPr>
          <w:rFonts w:ascii="Garamond" w:hAnsi="Garamond"/>
        </w:rPr>
        <w:t>, but risks to Victoria’s economic outlook are broadly balanced.</w:t>
      </w:r>
    </w:p>
    <w:p w:rsidR="00B32D50" w:rsidRDefault="00615D12" w:rsidP="00615D12">
      <w:pPr>
        <w:pStyle w:val="Heading10"/>
      </w:pPr>
      <w:bookmarkStart w:id="5" w:name="_Toc528864755"/>
      <w:r>
        <w:t>Victorian economic conditions and outlook</w:t>
      </w:r>
      <w:bookmarkEnd w:id="5"/>
    </w:p>
    <w:p w:rsidR="00B32D50" w:rsidRDefault="00B32D50" w:rsidP="00F17BCD">
      <w:r>
        <w:t xml:space="preserve">Victoria’s economy has recorded solid growth in recent years. Economic activity has been supported by low interest rates and strong population growth, which has underpinned higher levels of consumer spending and dwelling investment. The contribution to growth from public demand has increased, while business confidence has improved and investment is rising. Exports, particularly in services, have continued to expand. </w:t>
      </w:r>
    </w:p>
    <w:p w:rsidR="00B32D50" w:rsidRDefault="00B32D50" w:rsidP="00F17BCD">
      <w:r>
        <w:t xml:space="preserve">Conditions have also improved at the national level, with growth in gross domestic product (GDP) accelerating over the past year. In part, this reflects a further reduction in the drag from mining investment. Domestic demand has firmed, and resource exports are growing strongly, helped by the stronger global economy. Conditions in the mining states are improving, contributing to their strengthening labour markets. </w:t>
      </w:r>
    </w:p>
    <w:p w:rsidR="00B32D50" w:rsidRDefault="00B32D50" w:rsidP="00F17BCD">
      <w:r>
        <w:t xml:space="preserve">The global backdrop remains positive, with many advanced economies growing at </w:t>
      </w:r>
      <w:r w:rsidRPr="00636344">
        <w:t>above</w:t>
      </w:r>
      <w:r w:rsidRPr="00636344">
        <w:noBreakHyphen/>
        <w:t>trend rates, supported by accommodative monetary and/or fiscal policy settings. However, uncertainty around global trade policy is elevated, and poses risks to the outlook.</w:t>
      </w:r>
      <w:r>
        <w:t xml:space="preserve"> </w:t>
      </w:r>
    </w:p>
    <w:p w:rsidR="00B32D50" w:rsidRDefault="00B32D50" w:rsidP="00F17BCD">
      <w:pPr>
        <w:keepLines w:val="0"/>
        <w:rPr>
          <w:rFonts w:asciiTheme="majorHAnsi" w:eastAsiaTheme="majorEastAsia" w:hAnsiTheme="majorHAnsi" w:cstheme="majorBidi"/>
          <w:b/>
          <w:bCs/>
          <w:caps/>
          <w:spacing w:val="-2"/>
          <w:sz w:val="26"/>
          <w:szCs w:val="28"/>
        </w:rPr>
      </w:pPr>
      <w:r>
        <w:br w:type="page"/>
      </w:r>
    </w:p>
    <w:p w:rsidR="00B32D50" w:rsidRDefault="00B32D50" w:rsidP="00F17BCD">
      <w:pPr>
        <w:pStyle w:val="Heading20"/>
      </w:pPr>
      <w:r>
        <w:lastRenderedPageBreak/>
        <w:t>Gross state product</w:t>
      </w:r>
    </w:p>
    <w:p w:rsidR="00B32D50" w:rsidRDefault="00B32D50" w:rsidP="00F17BCD">
      <w:r>
        <w:t>Table 1.1</w:t>
      </w:r>
      <w:r w:rsidRPr="00033BEB">
        <w:t xml:space="preserve"> </w:t>
      </w:r>
      <w:r>
        <w:t xml:space="preserve">sets out the economic forecasts, with the </w:t>
      </w:r>
      <w:r w:rsidRPr="003D6D07">
        <w:rPr>
          <w:i/>
        </w:rPr>
        <w:t>2018-19 Budget</w:t>
      </w:r>
      <w:r>
        <w:t xml:space="preserve"> forecasts in italics where different.</w:t>
      </w:r>
    </w:p>
    <w:p w:rsidR="00B32D50" w:rsidRPr="000E2794" w:rsidRDefault="00B32D50" w:rsidP="00F17BCD">
      <w:pPr>
        <w:pStyle w:val="TableHeading"/>
        <w:tabs>
          <w:tab w:val="left" w:pos="6804"/>
        </w:tabs>
      </w:pPr>
      <w:r w:rsidRPr="000E2794">
        <w:t>Table</w:t>
      </w:r>
      <w:r>
        <w:t xml:space="preserve"> 1</w:t>
      </w:r>
      <w:r w:rsidRPr="000E2794">
        <w:t>.1:</w:t>
      </w:r>
      <w:r w:rsidRPr="000E2794">
        <w:tab/>
        <w:t>Victorian economic forecasts</w:t>
      </w:r>
      <w:r>
        <w:t xml:space="preserve"> </w:t>
      </w:r>
      <w:r w:rsidRPr="000E2794">
        <w:rPr>
          <w:vertAlign w:val="superscript"/>
        </w:rPr>
        <w:t>(a)</w:t>
      </w:r>
      <w:r w:rsidRPr="000E2794">
        <w:tab/>
        <w:t>(per cent)</w:t>
      </w:r>
    </w:p>
    <w:tbl>
      <w:tblPr>
        <w:tblStyle w:val="DTFTable"/>
        <w:tblW w:w="7684" w:type="dxa"/>
        <w:tblLayout w:type="fixed"/>
        <w:tblLook w:val="06A0" w:firstRow="1" w:lastRow="0" w:firstColumn="1" w:lastColumn="0" w:noHBand="1" w:noVBand="1"/>
      </w:tblPr>
      <w:tblGrid>
        <w:gridCol w:w="2552"/>
        <w:gridCol w:w="1026"/>
        <w:gridCol w:w="21"/>
        <w:gridCol w:w="28"/>
        <w:gridCol w:w="978"/>
        <w:gridCol w:w="1026"/>
        <w:gridCol w:w="1027"/>
        <w:gridCol w:w="1026"/>
      </w:tblGrid>
      <w:tr w:rsidR="00B32D50" w:rsidRPr="00B955D8" w:rsidTr="00F17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32D50" w:rsidRPr="00B955D8" w:rsidRDefault="00B32D50" w:rsidP="00F17BCD">
            <w:pPr>
              <w:rPr>
                <w:i w:val="0"/>
                <w:lang w:eastAsia="en-AU"/>
              </w:rPr>
            </w:pPr>
            <w:r w:rsidRPr="00B955D8">
              <w:rPr>
                <w:lang w:eastAsia="en-AU"/>
              </w:rPr>
              <w:t xml:space="preserve"> </w:t>
            </w:r>
          </w:p>
        </w:tc>
        <w:tc>
          <w:tcPr>
            <w:tcW w:w="1026" w:type="dxa"/>
          </w:tcPr>
          <w:p w:rsidR="00B32D50" w:rsidRPr="000E2794" w:rsidRDefault="00B32D50" w:rsidP="00F17BCD">
            <w:pPr>
              <w:ind w:right="88"/>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2017-18</w:t>
            </w:r>
            <w:r>
              <w:rPr>
                <w:rFonts w:cs="Calibri"/>
                <w:color w:val="FFFFFF"/>
                <w:szCs w:val="20"/>
                <w:lang w:eastAsia="en-AU"/>
              </w:rPr>
              <w:br/>
              <w:t>a</w:t>
            </w:r>
            <w:r w:rsidRPr="000E2794">
              <w:rPr>
                <w:rFonts w:cs="Calibri"/>
                <w:color w:val="FFFFFF"/>
                <w:szCs w:val="20"/>
                <w:lang w:eastAsia="en-AU"/>
              </w:rPr>
              <w:t>ctual</w:t>
            </w:r>
          </w:p>
        </w:tc>
        <w:tc>
          <w:tcPr>
            <w:tcW w:w="1027" w:type="dxa"/>
            <w:gridSpan w:val="3"/>
          </w:tcPr>
          <w:p w:rsidR="00B32D50" w:rsidRPr="000E2794" w:rsidRDefault="00B32D50" w:rsidP="00F17BCD">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2018-19</w:t>
            </w:r>
            <w:r>
              <w:rPr>
                <w:rFonts w:cs="Calibri"/>
                <w:color w:val="FFFFFF"/>
                <w:szCs w:val="20"/>
                <w:lang w:eastAsia="en-AU"/>
              </w:rPr>
              <w:br/>
              <w:t>f</w:t>
            </w:r>
            <w:r w:rsidRPr="000E2794">
              <w:rPr>
                <w:rFonts w:cs="Calibri"/>
                <w:color w:val="FFFFFF"/>
                <w:szCs w:val="20"/>
                <w:lang w:eastAsia="en-AU"/>
              </w:rPr>
              <w:t>orecast</w:t>
            </w:r>
          </w:p>
        </w:tc>
        <w:tc>
          <w:tcPr>
            <w:tcW w:w="1026" w:type="dxa"/>
          </w:tcPr>
          <w:p w:rsidR="00B32D50" w:rsidRPr="000E2794" w:rsidRDefault="00B32D50" w:rsidP="00F17BCD">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2019-20</w:t>
            </w:r>
            <w:r>
              <w:rPr>
                <w:rFonts w:cs="Calibri"/>
                <w:color w:val="FFFFFF"/>
                <w:szCs w:val="20"/>
                <w:lang w:eastAsia="en-AU"/>
              </w:rPr>
              <w:br/>
              <w:t>f</w:t>
            </w:r>
            <w:r w:rsidRPr="000E2794">
              <w:rPr>
                <w:rFonts w:cs="Calibri"/>
                <w:color w:val="FFFFFF"/>
                <w:szCs w:val="20"/>
                <w:lang w:eastAsia="en-AU"/>
              </w:rPr>
              <w:t>orecast</w:t>
            </w:r>
          </w:p>
        </w:tc>
        <w:tc>
          <w:tcPr>
            <w:tcW w:w="1027" w:type="dxa"/>
          </w:tcPr>
          <w:p w:rsidR="00B32D50" w:rsidRPr="000E2794" w:rsidRDefault="00B32D50" w:rsidP="00F17BCD">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2020-21</w:t>
            </w:r>
            <w:r>
              <w:rPr>
                <w:rFonts w:cs="Calibri"/>
                <w:color w:val="FFFFFF"/>
                <w:szCs w:val="20"/>
                <w:lang w:eastAsia="en-AU"/>
              </w:rPr>
              <w:br/>
              <w:t>p</w:t>
            </w:r>
            <w:r w:rsidRPr="000E2794">
              <w:rPr>
                <w:rFonts w:cs="Calibri"/>
                <w:color w:val="FFFFFF"/>
                <w:szCs w:val="20"/>
                <w:lang w:eastAsia="en-AU"/>
              </w:rPr>
              <w:t>rojection</w:t>
            </w:r>
          </w:p>
        </w:tc>
        <w:tc>
          <w:tcPr>
            <w:tcW w:w="1026" w:type="dxa"/>
          </w:tcPr>
          <w:p w:rsidR="00B32D50" w:rsidRPr="000E2794" w:rsidRDefault="00B32D50" w:rsidP="00F17BCD">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0E2794">
              <w:rPr>
                <w:rFonts w:cs="Calibri"/>
                <w:color w:val="FFFFFF"/>
                <w:szCs w:val="20"/>
                <w:lang w:eastAsia="en-AU"/>
              </w:rPr>
              <w:t>2021-22</w:t>
            </w:r>
            <w:r>
              <w:rPr>
                <w:rFonts w:cs="Calibri"/>
                <w:color w:val="FFFFFF"/>
                <w:szCs w:val="20"/>
                <w:lang w:eastAsia="en-AU"/>
              </w:rPr>
              <w:br/>
              <w:t>p</w:t>
            </w:r>
            <w:r w:rsidRPr="000E2794">
              <w:rPr>
                <w:rFonts w:cs="Calibri"/>
                <w:color w:val="FFFFFF"/>
                <w:szCs w:val="20"/>
                <w:lang w:eastAsia="en-AU"/>
              </w:rPr>
              <w:t>rojection</w:t>
            </w:r>
          </w:p>
        </w:tc>
      </w:tr>
      <w:tr w:rsidR="00B32D50" w:rsidRPr="00B955D8"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0E2794" w:rsidRDefault="00B32D50" w:rsidP="00F17BCD">
            <w:pPr>
              <w:rPr>
                <w:rFonts w:cs="Calibri"/>
                <w:szCs w:val="20"/>
                <w:lang w:eastAsia="en-AU"/>
              </w:rPr>
            </w:pPr>
            <w:r w:rsidRPr="000E2794">
              <w:rPr>
                <w:rFonts w:cs="Calibri"/>
                <w:szCs w:val="20"/>
                <w:lang w:eastAsia="en-AU"/>
              </w:rPr>
              <w:t>Real gross state product</w:t>
            </w:r>
          </w:p>
        </w:tc>
        <w:tc>
          <w:tcPr>
            <w:tcW w:w="1075" w:type="dxa"/>
            <w:gridSpan w:val="3"/>
          </w:tcPr>
          <w:p w:rsidR="00B32D50" w:rsidRPr="000E2794" w:rsidRDefault="00B32D50" w:rsidP="00F17BCD">
            <w:pPr>
              <w:ind w:right="-54"/>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 xml:space="preserve">3.25 </w:t>
            </w:r>
            <w:r w:rsidRPr="000E2794">
              <w:rPr>
                <w:rFonts w:cs="Calibri"/>
                <w:szCs w:val="20"/>
                <w:vertAlign w:val="superscript"/>
                <w:lang w:eastAsia="en-AU"/>
              </w:rPr>
              <w:t>(b)</w:t>
            </w:r>
          </w:p>
        </w:tc>
        <w:tc>
          <w:tcPr>
            <w:tcW w:w="978"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3.00</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2.75</w:t>
            </w:r>
          </w:p>
        </w:tc>
        <w:tc>
          <w:tcPr>
            <w:tcW w:w="1027"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2.75</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2.75</w:t>
            </w:r>
          </w:p>
        </w:tc>
      </w:tr>
      <w:tr w:rsidR="00B32D50" w:rsidRPr="00A1348E"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A1348E" w:rsidRDefault="00B32D50" w:rsidP="00F17BCD">
            <w:pPr>
              <w:rPr>
                <w:rFonts w:cs="Calibri"/>
                <w:i/>
                <w:szCs w:val="20"/>
                <w:lang w:eastAsia="en-AU"/>
              </w:rPr>
            </w:pPr>
          </w:p>
        </w:tc>
        <w:tc>
          <w:tcPr>
            <w:tcW w:w="1026" w:type="dxa"/>
          </w:tcPr>
          <w:p w:rsidR="00B32D50" w:rsidRPr="00A1348E"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3.00</w:t>
            </w:r>
          </w:p>
        </w:tc>
        <w:tc>
          <w:tcPr>
            <w:tcW w:w="1027" w:type="dxa"/>
            <w:gridSpan w:val="3"/>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2.75</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B32D50" w:rsidRPr="00B955D8"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D334A1" w:rsidRDefault="00B32D50" w:rsidP="00F17BCD">
            <w:pPr>
              <w:rPr>
                <w:rFonts w:cs="Calibri"/>
                <w:szCs w:val="20"/>
                <w:lang w:eastAsia="en-AU"/>
              </w:rPr>
            </w:pPr>
            <w:r w:rsidRPr="00D334A1">
              <w:rPr>
                <w:rFonts w:cs="Calibri"/>
                <w:szCs w:val="20"/>
                <w:lang w:eastAsia="en-AU"/>
              </w:rPr>
              <w:t>Employment</w:t>
            </w:r>
          </w:p>
        </w:tc>
        <w:tc>
          <w:tcPr>
            <w:tcW w:w="1026" w:type="dxa"/>
          </w:tcPr>
          <w:p w:rsidR="00B32D50" w:rsidRPr="00D334A1"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2.7</w:t>
            </w:r>
          </w:p>
        </w:tc>
        <w:tc>
          <w:tcPr>
            <w:tcW w:w="1027" w:type="dxa"/>
            <w:gridSpan w:val="3"/>
          </w:tcPr>
          <w:p w:rsidR="00B32D50" w:rsidRPr="00D334A1"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2.50</w:t>
            </w:r>
          </w:p>
        </w:tc>
        <w:tc>
          <w:tcPr>
            <w:tcW w:w="1026" w:type="dxa"/>
          </w:tcPr>
          <w:p w:rsidR="00B32D50" w:rsidRPr="00D334A1"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2.00</w:t>
            </w:r>
          </w:p>
        </w:tc>
        <w:tc>
          <w:tcPr>
            <w:tcW w:w="1027" w:type="dxa"/>
          </w:tcPr>
          <w:p w:rsidR="00B32D50" w:rsidRPr="00D334A1"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1.75</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1.75</w:t>
            </w:r>
          </w:p>
        </w:tc>
      </w:tr>
      <w:tr w:rsidR="00B32D50" w:rsidRPr="00A1348E"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A1348E" w:rsidRDefault="00B32D50" w:rsidP="00F17BCD">
            <w:pPr>
              <w:rPr>
                <w:rFonts w:cs="Calibri"/>
                <w:i/>
                <w:szCs w:val="20"/>
                <w:lang w:eastAsia="en-AU"/>
              </w:rPr>
            </w:pPr>
          </w:p>
        </w:tc>
        <w:tc>
          <w:tcPr>
            <w:tcW w:w="1026" w:type="dxa"/>
          </w:tcPr>
          <w:p w:rsidR="00B32D50" w:rsidRPr="00A1348E"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2.75</w:t>
            </w:r>
          </w:p>
        </w:tc>
        <w:tc>
          <w:tcPr>
            <w:tcW w:w="1027" w:type="dxa"/>
            <w:gridSpan w:val="3"/>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2.00</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1.75</w:t>
            </w:r>
          </w:p>
        </w:tc>
        <w:tc>
          <w:tcPr>
            <w:tcW w:w="1027"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B32D50" w:rsidRPr="00B955D8"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D334A1" w:rsidRDefault="00B32D50" w:rsidP="00F17BCD">
            <w:pPr>
              <w:rPr>
                <w:rFonts w:cs="Calibri"/>
                <w:szCs w:val="20"/>
                <w:lang w:eastAsia="en-AU"/>
              </w:rPr>
            </w:pPr>
            <w:r w:rsidRPr="00D334A1">
              <w:rPr>
                <w:rFonts w:cs="Calibri"/>
                <w:szCs w:val="20"/>
                <w:lang w:eastAsia="en-AU"/>
              </w:rPr>
              <w:t xml:space="preserve">Unemployment rate </w:t>
            </w:r>
            <w:r w:rsidRPr="00D334A1">
              <w:rPr>
                <w:rFonts w:cs="Calibri"/>
                <w:szCs w:val="20"/>
                <w:vertAlign w:val="superscript"/>
                <w:lang w:eastAsia="en-AU"/>
              </w:rPr>
              <w:t>(c)</w:t>
            </w:r>
          </w:p>
        </w:tc>
        <w:tc>
          <w:tcPr>
            <w:tcW w:w="1026" w:type="dxa"/>
          </w:tcPr>
          <w:p w:rsidR="00B32D50" w:rsidRPr="00D334A1"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5.6</w:t>
            </w:r>
          </w:p>
        </w:tc>
        <w:tc>
          <w:tcPr>
            <w:tcW w:w="1027" w:type="dxa"/>
            <w:gridSpan w:val="3"/>
          </w:tcPr>
          <w:p w:rsidR="00B32D50" w:rsidRPr="00D334A1"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4.75</w:t>
            </w:r>
          </w:p>
        </w:tc>
        <w:tc>
          <w:tcPr>
            <w:tcW w:w="1026" w:type="dxa"/>
          </w:tcPr>
          <w:p w:rsidR="00B32D50" w:rsidRPr="00D334A1"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5.00</w:t>
            </w:r>
          </w:p>
        </w:tc>
        <w:tc>
          <w:tcPr>
            <w:tcW w:w="1027" w:type="dxa"/>
          </w:tcPr>
          <w:p w:rsidR="00B32D50" w:rsidRPr="00D334A1"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D334A1">
              <w:rPr>
                <w:rFonts w:cs="Calibri"/>
                <w:szCs w:val="20"/>
                <w:lang w:eastAsia="en-AU"/>
              </w:rPr>
              <w:t>5.25</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5.50</w:t>
            </w:r>
          </w:p>
        </w:tc>
      </w:tr>
      <w:tr w:rsidR="00B32D50" w:rsidRPr="00A1348E"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A1348E" w:rsidRDefault="00B32D50" w:rsidP="00F17BCD">
            <w:pPr>
              <w:rPr>
                <w:rFonts w:cs="Calibri"/>
                <w:i/>
                <w:szCs w:val="20"/>
                <w:lang w:eastAsia="en-AU"/>
              </w:rPr>
            </w:pPr>
          </w:p>
        </w:tc>
        <w:tc>
          <w:tcPr>
            <w:tcW w:w="1026" w:type="dxa"/>
          </w:tcPr>
          <w:p w:rsidR="00B32D50" w:rsidRPr="00A1348E"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5.75</w:t>
            </w:r>
          </w:p>
        </w:tc>
        <w:tc>
          <w:tcPr>
            <w:tcW w:w="1027" w:type="dxa"/>
            <w:gridSpan w:val="3"/>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5.75</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5.50</w:t>
            </w:r>
          </w:p>
        </w:tc>
        <w:tc>
          <w:tcPr>
            <w:tcW w:w="1027"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5.50</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B32D50" w:rsidRPr="00B955D8"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0E2794" w:rsidRDefault="00B32D50" w:rsidP="00F17BCD">
            <w:pPr>
              <w:rPr>
                <w:rFonts w:cs="Calibri"/>
                <w:szCs w:val="20"/>
                <w:lang w:eastAsia="en-AU"/>
              </w:rPr>
            </w:pPr>
            <w:r w:rsidRPr="000E2794">
              <w:rPr>
                <w:rFonts w:cs="Calibri"/>
                <w:szCs w:val="20"/>
                <w:lang w:eastAsia="en-AU"/>
              </w:rPr>
              <w:t xml:space="preserve">Consumer price index </w:t>
            </w:r>
            <w:r w:rsidRPr="000E2794">
              <w:rPr>
                <w:rFonts w:cs="Calibri"/>
                <w:szCs w:val="20"/>
                <w:vertAlign w:val="superscript"/>
                <w:lang w:eastAsia="en-AU"/>
              </w:rPr>
              <w:t>(d)</w:t>
            </w:r>
          </w:p>
        </w:tc>
        <w:tc>
          <w:tcPr>
            <w:tcW w:w="1026" w:type="dxa"/>
          </w:tcPr>
          <w:p w:rsidR="00B32D50" w:rsidRPr="000E2794"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2.3</w:t>
            </w:r>
          </w:p>
        </w:tc>
        <w:tc>
          <w:tcPr>
            <w:tcW w:w="1027" w:type="dxa"/>
            <w:gridSpan w:val="3"/>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2.50</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2.50</w:t>
            </w:r>
          </w:p>
        </w:tc>
        <w:tc>
          <w:tcPr>
            <w:tcW w:w="1027"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2.50</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2.50</w:t>
            </w:r>
          </w:p>
        </w:tc>
      </w:tr>
      <w:tr w:rsidR="00B32D50" w:rsidRPr="00A1348E"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A1348E" w:rsidRDefault="00B32D50" w:rsidP="00F17BCD">
            <w:pPr>
              <w:rPr>
                <w:rFonts w:cs="Calibri"/>
                <w:i/>
                <w:szCs w:val="20"/>
                <w:lang w:eastAsia="en-AU"/>
              </w:rPr>
            </w:pPr>
          </w:p>
        </w:tc>
        <w:tc>
          <w:tcPr>
            <w:tcW w:w="1026" w:type="dxa"/>
          </w:tcPr>
          <w:p w:rsidR="00B32D50" w:rsidRPr="00A1348E"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2.00</w:t>
            </w:r>
          </w:p>
        </w:tc>
        <w:tc>
          <w:tcPr>
            <w:tcW w:w="1027" w:type="dxa"/>
            <w:gridSpan w:val="3"/>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2.25</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B32D50" w:rsidRPr="00B955D8"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0E2794" w:rsidRDefault="00B32D50" w:rsidP="00F17BCD">
            <w:pPr>
              <w:rPr>
                <w:rFonts w:cs="Calibri"/>
                <w:szCs w:val="20"/>
                <w:lang w:eastAsia="en-AU"/>
              </w:rPr>
            </w:pPr>
            <w:r w:rsidRPr="000E2794">
              <w:rPr>
                <w:rFonts w:cs="Calibri"/>
                <w:szCs w:val="20"/>
                <w:lang w:eastAsia="en-AU"/>
              </w:rPr>
              <w:t xml:space="preserve">Wage price index </w:t>
            </w:r>
            <w:r w:rsidRPr="000E2794">
              <w:rPr>
                <w:rFonts w:cs="Calibri"/>
                <w:szCs w:val="20"/>
                <w:vertAlign w:val="superscript"/>
                <w:lang w:eastAsia="en-AU"/>
              </w:rPr>
              <w:t>(e)</w:t>
            </w:r>
          </w:p>
        </w:tc>
        <w:tc>
          <w:tcPr>
            <w:tcW w:w="1026" w:type="dxa"/>
          </w:tcPr>
          <w:p w:rsidR="00B32D50" w:rsidRPr="000E2794"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2.3</w:t>
            </w:r>
          </w:p>
        </w:tc>
        <w:tc>
          <w:tcPr>
            <w:tcW w:w="1027" w:type="dxa"/>
            <w:gridSpan w:val="3"/>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2.75</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3.00</w:t>
            </w:r>
          </w:p>
        </w:tc>
        <w:tc>
          <w:tcPr>
            <w:tcW w:w="1027"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3.25</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3.50</w:t>
            </w:r>
          </w:p>
        </w:tc>
      </w:tr>
      <w:tr w:rsidR="00B32D50" w:rsidRPr="00A1348E"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A1348E" w:rsidRDefault="00B32D50" w:rsidP="00F17BCD">
            <w:pPr>
              <w:rPr>
                <w:rFonts w:cs="Calibri"/>
                <w:i/>
                <w:szCs w:val="20"/>
                <w:lang w:eastAsia="en-AU"/>
              </w:rPr>
            </w:pPr>
          </w:p>
        </w:tc>
        <w:tc>
          <w:tcPr>
            <w:tcW w:w="1026" w:type="dxa"/>
          </w:tcPr>
          <w:p w:rsidR="00B32D50" w:rsidRPr="00A1348E"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2.25</w:t>
            </w:r>
          </w:p>
        </w:tc>
        <w:tc>
          <w:tcPr>
            <w:tcW w:w="1027" w:type="dxa"/>
            <w:gridSpan w:val="3"/>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2.50</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2.75</w:t>
            </w:r>
          </w:p>
        </w:tc>
        <w:tc>
          <w:tcPr>
            <w:tcW w:w="1027"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3.00</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3.25</w:t>
            </w:r>
          </w:p>
        </w:tc>
      </w:tr>
      <w:tr w:rsidR="00B32D50" w:rsidRPr="003D1B65"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0E2794" w:rsidRDefault="00B32D50" w:rsidP="00F17BCD">
            <w:pPr>
              <w:rPr>
                <w:rFonts w:cs="Calibri"/>
                <w:szCs w:val="20"/>
                <w:lang w:eastAsia="en-AU"/>
              </w:rPr>
            </w:pPr>
            <w:r w:rsidRPr="000E2794">
              <w:rPr>
                <w:rFonts w:cs="Calibri"/>
                <w:szCs w:val="20"/>
                <w:lang w:eastAsia="en-AU"/>
              </w:rPr>
              <w:t xml:space="preserve">Population </w:t>
            </w:r>
            <w:r w:rsidRPr="000E2794">
              <w:rPr>
                <w:rFonts w:cs="Calibri"/>
                <w:szCs w:val="20"/>
                <w:vertAlign w:val="superscript"/>
                <w:lang w:eastAsia="en-AU"/>
              </w:rPr>
              <w:t>(f)</w:t>
            </w:r>
          </w:p>
        </w:tc>
        <w:tc>
          <w:tcPr>
            <w:tcW w:w="1047" w:type="dxa"/>
            <w:gridSpan w:val="2"/>
          </w:tcPr>
          <w:p w:rsidR="00B32D50" w:rsidRPr="000E2794" w:rsidRDefault="00B32D50" w:rsidP="00F17BCD">
            <w:pPr>
              <w:ind w:right="-54"/>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w:t>
            </w:r>
            <w:r>
              <w:rPr>
                <w:rFonts w:cs="Calibri"/>
                <w:szCs w:val="20"/>
                <w:lang w:eastAsia="en-AU"/>
              </w:rPr>
              <w:t xml:space="preserve">2 </w:t>
            </w:r>
            <w:r w:rsidRPr="000E2794">
              <w:rPr>
                <w:rFonts w:cs="Calibri"/>
                <w:szCs w:val="20"/>
                <w:vertAlign w:val="superscript"/>
                <w:lang w:eastAsia="en-AU"/>
              </w:rPr>
              <w:t>(b)</w:t>
            </w:r>
          </w:p>
        </w:tc>
        <w:tc>
          <w:tcPr>
            <w:tcW w:w="1006" w:type="dxa"/>
            <w:gridSpan w:val="2"/>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w:t>
            </w:r>
            <w:r>
              <w:rPr>
                <w:rFonts w:cs="Calibri"/>
                <w:szCs w:val="20"/>
                <w:lang w:eastAsia="en-AU"/>
              </w:rPr>
              <w:t>1</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0E2794">
              <w:rPr>
                <w:rFonts w:cs="Calibri"/>
                <w:szCs w:val="20"/>
                <w:lang w:eastAsia="en-AU"/>
              </w:rPr>
              <w:t>2.</w:t>
            </w:r>
            <w:r>
              <w:rPr>
                <w:rFonts w:cs="Calibri"/>
                <w:szCs w:val="20"/>
                <w:lang w:eastAsia="en-AU"/>
              </w:rPr>
              <w:t>0</w:t>
            </w:r>
          </w:p>
        </w:tc>
        <w:tc>
          <w:tcPr>
            <w:tcW w:w="1027"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Pr>
                <w:rFonts w:cs="Calibri"/>
                <w:szCs w:val="20"/>
                <w:lang w:eastAsia="en-AU"/>
              </w:rPr>
              <w:t>1.9</w:t>
            </w:r>
          </w:p>
        </w:tc>
        <w:tc>
          <w:tcPr>
            <w:tcW w:w="1026" w:type="dxa"/>
          </w:tcPr>
          <w:p w:rsidR="00B32D50" w:rsidRPr="000E2794" w:rsidRDefault="00B32D50" w:rsidP="00F17BCD">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Pr>
                <w:rFonts w:cs="Calibri"/>
                <w:szCs w:val="20"/>
                <w:lang w:eastAsia="en-AU"/>
              </w:rPr>
              <w:t>1.9</w:t>
            </w:r>
          </w:p>
        </w:tc>
      </w:tr>
      <w:tr w:rsidR="00B32D50" w:rsidRPr="00A1348E" w:rsidTr="00F17BCD">
        <w:trPr>
          <w:cantSplit w:val="0"/>
        </w:trPr>
        <w:tc>
          <w:tcPr>
            <w:cnfStyle w:val="001000000000" w:firstRow="0" w:lastRow="0" w:firstColumn="1" w:lastColumn="0" w:oddVBand="0" w:evenVBand="0" w:oddHBand="0" w:evenHBand="0" w:firstRowFirstColumn="0" w:firstRowLastColumn="0" w:lastRowFirstColumn="0" w:lastRowLastColumn="0"/>
            <w:tcW w:w="2552" w:type="dxa"/>
          </w:tcPr>
          <w:p w:rsidR="00B32D50" w:rsidRPr="00A1348E" w:rsidRDefault="00B32D50" w:rsidP="00F17BCD">
            <w:pPr>
              <w:rPr>
                <w:b/>
                <w:i/>
                <w:lang w:eastAsia="en-AU"/>
              </w:rPr>
            </w:pPr>
          </w:p>
        </w:tc>
        <w:tc>
          <w:tcPr>
            <w:tcW w:w="1026" w:type="dxa"/>
          </w:tcPr>
          <w:p w:rsidR="00B32D50" w:rsidRPr="00A1348E" w:rsidRDefault="00B32D50" w:rsidP="00F17BCD">
            <w:pPr>
              <w:ind w:right="88"/>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2.3</w:t>
            </w:r>
          </w:p>
        </w:tc>
        <w:tc>
          <w:tcPr>
            <w:tcW w:w="1027" w:type="dxa"/>
            <w:gridSpan w:val="3"/>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2.2</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2.1</w:t>
            </w:r>
          </w:p>
        </w:tc>
        <w:tc>
          <w:tcPr>
            <w:tcW w:w="1027"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2.0</w:t>
            </w:r>
          </w:p>
        </w:tc>
        <w:tc>
          <w:tcPr>
            <w:tcW w:w="1026" w:type="dxa"/>
          </w:tcPr>
          <w:p w:rsidR="00B32D50" w:rsidRPr="00A1348E" w:rsidRDefault="00B32D50" w:rsidP="00F17BCD">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A1348E">
              <w:rPr>
                <w:rFonts w:cs="Calibri"/>
                <w:i/>
                <w:szCs w:val="20"/>
                <w:lang w:eastAsia="en-AU"/>
              </w:rPr>
              <w:t>2.0</w:t>
            </w:r>
          </w:p>
        </w:tc>
      </w:tr>
    </w:tbl>
    <w:p w:rsidR="00B32D50" w:rsidRPr="00B955D8" w:rsidRDefault="00B32D50" w:rsidP="00F17BCD">
      <w:pPr>
        <w:pStyle w:val="Source"/>
        <w:rPr>
          <w:rFonts w:asciiTheme="minorHAnsi" w:hAnsiTheme="minorHAnsi" w:cstheme="minorHAnsi"/>
        </w:rPr>
      </w:pPr>
      <w:r w:rsidRPr="000E2794">
        <w:t>Sources: Department of Treasury and Finance; Australian Bureau of Statistics</w:t>
      </w:r>
      <w:r w:rsidRPr="00B955D8">
        <w:rPr>
          <w:rFonts w:asciiTheme="minorHAnsi" w:hAnsiTheme="minorHAnsi" w:cstheme="minorHAnsi"/>
        </w:rPr>
        <w:t>.</w:t>
      </w:r>
    </w:p>
    <w:p w:rsidR="00B32D50" w:rsidRPr="000E2794" w:rsidRDefault="00B32D50" w:rsidP="00F17BCD">
      <w:pPr>
        <w:pStyle w:val="Note"/>
      </w:pPr>
      <w:r w:rsidRPr="000E2794">
        <w:t xml:space="preserve">Notes: </w:t>
      </w:r>
    </w:p>
    <w:p w:rsidR="00B32D50" w:rsidRPr="00D06F45" w:rsidRDefault="00B32D50" w:rsidP="00F17BCD">
      <w:pPr>
        <w:pStyle w:val="Note"/>
      </w:pPr>
      <w:r w:rsidRPr="00D06F45">
        <w:t>(a)</w:t>
      </w:r>
      <w:r w:rsidRPr="00D06F45">
        <w:tab/>
        <w:t xml:space="preserve">Percentage change in year average </w:t>
      </w:r>
      <w:r>
        <w:t xml:space="preserve">terms </w:t>
      </w:r>
      <w:r w:rsidRPr="00D06F45">
        <w:t xml:space="preserve">compared with previous year, except for the unemployment rate (see note </w:t>
      </w:r>
      <w:r>
        <w:t>(c)) and population (see </w:t>
      </w:r>
      <w:r w:rsidRPr="00D06F45">
        <w:t>note (</w:t>
      </w:r>
      <w:r>
        <w:t>f</w:t>
      </w:r>
      <w:r w:rsidRPr="00D06F45">
        <w:t>)). Forecasts are rounded to the nearest 0.25 percentage points, except for population (see note (</w:t>
      </w:r>
      <w:r>
        <w:t>f</w:t>
      </w:r>
      <w:r w:rsidRPr="00D06F45">
        <w:t>)).</w:t>
      </w:r>
    </w:p>
    <w:p w:rsidR="00B32D50" w:rsidRPr="00D06F45" w:rsidRDefault="00B32D50" w:rsidP="00F17BCD">
      <w:pPr>
        <w:pStyle w:val="Note"/>
      </w:pPr>
      <w:r w:rsidRPr="00D06F45">
        <w:tab/>
        <w:t>Projections for 20</w:t>
      </w:r>
      <w:r>
        <w:t>20</w:t>
      </w:r>
      <w:r>
        <w:noBreakHyphen/>
      </w:r>
      <w:r w:rsidRPr="00D06F45">
        <w:t>2</w:t>
      </w:r>
      <w:r>
        <w:t>1</w:t>
      </w:r>
      <w:r w:rsidRPr="00D06F45">
        <w:t xml:space="preserve"> and 202</w:t>
      </w:r>
      <w:r>
        <w:t>1</w:t>
      </w:r>
      <w:r>
        <w:noBreakHyphen/>
      </w:r>
      <w:r w:rsidRPr="00D06F45">
        <w:t>2</w:t>
      </w:r>
      <w:r>
        <w:t>2</w:t>
      </w:r>
      <w:r w:rsidRPr="00D06F45">
        <w:t xml:space="preserve"> represent </w:t>
      </w:r>
      <w:r>
        <w:t xml:space="preserve">long-run average growth rates, </w:t>
      </w:r>
      <w:r w:rsidRPr="00D06F45">
        <w:t>except for the wage price index</w:t>
      </w:r>
      <w:r>
        <w:t>,</w:t>
      </w:r>
      <w:r w:rsidRPr="00D06F45">
        <w:t xml:space="preserve"> which </w:t>
      </w:r>
      <w:r>
        <w:t>remains below trend in 2020-21, and population growth, which remains above trend by 2021</w:t>
      </w:r>
      <w:r>
        <w:noBreakHyphen/>
      </w:r>
      <w:r w:rsidRPr="00D06F45">
        <w:t>2</w:t>
      </w:r>
      <w:r>
        <w:t>2</w:t>
      </w:r>
      <w:r w:rsidRPr="00D06F45">
        <w:t>.</w:t>
      </w:r>
    </w:p>
    <w:p w:rsidR="00B32D50" w:rsidRPr="00D06F45" w:rsidRDefault="00B32D50" w:rsidP="00F17BCD">
      <w:pPr>
        <w:pStyle w:val="Note"/>
      </w:pPr>
      <w:r w:rsidRPr="00D06F45">
        <w:tab/>
        <w:t>The key assumptions underlying the economic forecasts include: interest rates</w:t>
      </w:r>
      <w:r>
        <w:t xml:space="preserve"> are reflective of movements in market expectations; an Australian dollar trade-</w:t>
      </w:r>
      <w:r w:rsidRPr="00D06F45">
        <w:t xml:space="preserve">weighted index of </w:t>
      </w:r>
      <w:r w:rsidRPr="00592D41">
        <w:t>62.5; a</w:t>
      </w:r>
      <w:r w:rsidRPr="00D06F45">
        <w:t xml:space="preserve">nd oil prices that follow the path suggested by </w:t>
      </w:r>
      <w:r>
        <w:t xml:space="preserve">the </w:t>
      </w:r>
      <w:r w:rsidRPr="00D06F45">
        <w:t>fut</w:t>
      </w:r>
      <w:r>
        <w:t xml:space="preserve">ures market. </w:t>
      </w:r>
    </w:p>
    <w:p w:rsidR="00B32D50" w:rsidRDefault="00B32D50" w:rsidP="00F17BCD">
      <w:pPr>
        <w:pStyle w:val="Note"/>
      </w:pPr>
      <w:r>
        <w:t>(b)</w:t>
      </w:r>
      <w:r>
        <w:tab/>
        <w:t>Estimate, actual not yet available.</w:t>
      </w:r>
    </w:p>
    <w:p w:rsidR="00B32D50" w:rsidRPr="00D06F45" w:rsidRDefault="00B32D50" w:rsidP="00F17BCD">
      <w:pPr>
        <w:pStyle w:val="Note"/>
      </w:pPr>
      <w:r w:rsidRPr="00D06F45">
        <w:t>(</w:t>
      </w:r>
      <w:r>
        <w:t>c)</w:t>
      </w:r>
      <w:r>
        <w:tab/>
        <w:t xml:space="preserve">Year average, per cent. </w:t>
      </w:r>
    </w:p>
    <w:p w:rsidR="00B32D50" w:rsidRPr="00D06F45" w:rsidRDefault="00B32D50" w:rsidP="00F17BCD">
      <w:pPr>
        <w:pStyle w:val="Note"/>
      </w:pPr>
      <w:r w:rsidRPr="00D06F45">
        <w:t>(</w:t>
      </w:r>
      <w:r>
        <w:t>d</w:t>
      </w:r>
      <w:r w:rsidRPr="00D06F45">
        <w:t>)</w:t>
      </w:r>
      <w:r w:rsidRPr="00D06F45">
        <w:tab/>
        <w:t>Melbourne consumer price index.</w:t>
      </w:r>
    </w:p>
    <w:p w:rsidR="00B32D50" w:rsidRPr="00D06F45" w:rsidRDefault="00B32D50" w:rsidP="00F17BCD">
      <w:pPr>
        <w:pStyle w:val="Note"/>
      </w:pPr>
      <w:r w:rsidRPr="00D06F45">
        <w:t>(</w:t>
      </w:r>
      <w:r>
        <w:t>e</w:t>
      </w:r>
      <w:r w:rsidRPr="00D06F45">
        <w:t>)</w:t>
      </w:r>
      <w:r w:rsidRPr="00D06F45">
        <w:tab/>
        <w:t xml:space="preserve">Wage </w:t>
      </w:r>
      <w:r>
        <w:t>p</w:t>
      </w:r>
      <w:r w:rsidRPr="00D06F45">
        <w:t xml:space="preserve">rice </w:t>
      </w:r>
      <w:r>
        <w:t>i</w:t>
      </w:r>
      <w:r w:rsidRPr="00D06F45">
        <w:t>ndex, Victoria (based on total hourly rates of pay, excluding bonuses).</w:t>
      </w:r>
    </w:p>
    <w:p w:rsidR="00B32D50" w:rsidRPr="00D06F45" w:rsidRDefault="00B32D50" w:rsidP="00F17BCD">
      <w:pPr>
        <w:pStyle w:val="Note"/>
      </w:pPr>
      <w:r w:rsidRPr="00D06F45">
        <w:t>(</w:t>
      </w:r>
      <w:r>
        <w:t>f</w:t>
      </w:r>
      <w:r w:rsidRPr="00D06F45">
        <w:t>)</w:t>
      </w:r>
      <w:r w:rsidRPr="00D06F45">
        <w:tab/>
        <w:t>Percentage change over the year to 30 June. Forecasts are rounded to the nearest 0.1 p</w:t>
      </w:r>
      <w:r>
        <w:t>ercentage point.</w:t>
      </w:r>
    </w:p>
    <w:p w:rsidR="00B32D50" w:rsidRDefault="00B32D50" w:rsidP="00F17BCD"/>
    <w:p w:rsidR="00B32D50" w:rsidRDefault="00B32D50" w:rsidP="00F17BCD">
      <w:r>
        <w:t>In 2017-18, Victorian state final demand grew by 5.0 per cent, above the national average increase of 3.4 per cent. C</w:t>
      </w:r>
      <w:r w:rsidRPr="005C735D">
        <w:t xml:space="preserve">onsumer spending, business investment and public demand were particularly strong. </w:t>
      </w:r>
      <w:r>
        <w:t xml:space="preserve">Economic output, as measured by GSP, is estimated to have expanded </w:t>
      </w:r>
      <w:r w:rsidRPr="000E6801">
        <w:t>by 3.25 per cent</w:t>
      </w:r>
      <w:r>
        <w:t xml:space="preserve">. In 2018-19, GSP growth is forecast to ease slightly to 3.0 per cent, still above trend. Both estimates represent small upward revisions from the </w:t>
      </w:r>
      <w:r>
        <w:rPr>
          <w:i/>
        </w:rPr>
        <w:t>2018-19 </w:t>
      </w:r>
      <w:r w:rsidRPr="00D03D27">
        <w:rPr>
          <w:i/>
        </w:rPr>
        <w:t>Budget</w:t>
      </w:r>
      <w:r>
        <w:t xml:space="preserve"> estimates of 3.0 per cent and 2.75 per cent, respectively. </w:t>
      </w:r>
    </w:p>
    <w:p w:rsidR="00B32D50" w:rsidRDefault="00B32D50" w:rsidP="00F17BCD">
      <w:r>
        <w:t>Consumer spending has been a solid contributor to economic growth in recent years, underpinned by population and employment growth, low interest rates and rising household wealth. After expanding by 3.8 per cent in 2017-18, the highest increase in seven years, growth in household consumption is expected to moderate in 2018-19. This reflects the impact of slowing growth in population and household wealth, relatively modest wage growth, and high levels of household debt in a rising interest rate environment.</w:t>
      </w:r>
    </w:p>
    <w:p w:rsidR="00B32D50" w:rsidRDefault="00B32D50" w:rsidP="00F17BCD">
      <w:pPr>
        <w:tabs>
          <w:tab w:val="left" w:pos="1276"/>
        </w:tabs>
      </w:pPr>
      <w:r>
        <w:lastRenderedPageBreak/>
        <w:t>Dwelling investment has also risen strongly in recent years and activity in 2018</w:t>
      </w:r>
      <w:r>
        <w:noBreakHyphen/>
        <w:t>19 is forecast to remain at historically high levels. A large pipeline of residential construction (for houses</w:t>
      </w:r>
      <w:r w:rsidRPr="007874AD">
        <w:t xml:space="preserve"> </w:t>
      </w:r>
      <w:r>
        <w:t xml:space="preserve">and attached dwellings) is expected to continue to support activity in the near term. However, a softening in building approvals and weaker investor demand, reflecting tighter credit conditions and lower house price expectations, point to a modest weakening in dwelling investment into 2019. </w:t>
      </w:r>
    </w:p>
    <w:p w:rsidR="00B32D50" w:rsidRDefault="00B32D50" w:rsidP="00F17BCD">
      <w:r>
        <w:t>All major components of business investment rose in 2017</w:t>
      </w:r>
      <w:r>
        <w:noBreakHyphen/>
        <w:t>18, with overall investment growing by 9.7 per cent. The increase in investment is consistent with surveys indicating ongoing positive business conditions in Victoria and nationally.</w:t>
      </w:r>
      <w:r w:rsidRPr="00815BF4">
        <w:t xml:space="preserve"> Growth </w:t>
      </w:r>
      <w:r w:rsidRPr="00CE7782">
        <w:t xml:space="preserve">in business </w:t>
      </w:r>
      <w:r>
        <w:t xml:space="preserve">investment is expected to remain positive over the forecast horizon. </w:t>
      </w:r>
    </w:p>
    <w:p w:rsidR="00B32D50" w:rsidRDefault="00B32D50" w:rsidP="00F17BCD">
      <w:r>
        <w:t xml:space="preserve">The contribution to economic growth from public demand has also been strong, and a further increase in demand is anticipated in 2018-19. Public investment is forecast to remain at high levels. </w:t>
      </w:r>
    </w:p>
    <w:p w:rsidR="00B32D50" w:rsidRDefault="00B32D50" w:rsidP="00F17BCD">
      <w:r>
        <w:t>Exports of goods and services rose in 2017</w:t>
      </w:r>
      <w:r>
        <w:noBreakHyphen/>
        <w:t>18, although at a slower pace than imports; growth in merchandise imports was particularly strong, consistent with the strength in consumer spending and business investment. Looking forward, the contribution from net exports is anticipated to improve in 2018</w:t>
      </w:r>
      <w:r>
        <w:noBreakHyphen/>
        <w:t xml:space="preserve">19, as merchandise import growth moderates and exports remain solid. The global economic </w:t>
      </w:r>
      <w:r w:rsidRPr="00F85ED5">
        <w:t xml:space="preserve">backdrop is expected to remain positive </w:t>
      </w:r>
      <w:r>
        <w:t xml:space="preserve">in the near term, while the depreciation of the Australian dollar should also support export growth. </w:t>
      </w:r>
    </w:p>
    <w:p w:rsidR="00B32D50" w:rsidRPr="006D488A" w:rsidRDefault="00B32D50" w:rsidP="00F17BCD">
      <w:r>
        <w:t xml:space="preserve">Overall, the economic outlook for Victoria remains positive. Real GSP growth is forecast to return to its trend rate of around 2.75 per cent per annum from 2019-20. </w:t>
      </w:r>
    </w:p>
    <w:p w:rsidR="00B32D50" w:rsidRDefault="00B32D50" w:rsidP="00F17BCD">
      <w:pPr>
        <w:pStyle w:val="Heading20"/>
      </w:pPr>
      <w:r>
        <w:t>Labour market</w:t>
      </w:r>
    </w:p>
    <w:p w:rsidR="00B32D50" w:rsidRDefault="00B32D50" w:rsidP="00F17BCD">
      <w:pPr>
        <w:ind w:right="-227"/>
      </w:pPr>
      <w:r>
        <w:t xml:space="preserve">Victoria’s labour market has performed well in recent years, with solid gains in employment, higher labour force participation and a lower unemployment rate. Employment grew </w:t>
      </w:r>
      <w:r w:rsidRPr="0041071B">
        <w:t>by 2.7 per cent in 2017</w:t>
      </w:r>
      <w:r w:rsidRPr="0041071B">
        <w:noBreakHyphen/>
        <w:t>18</w:t>
      </w:r>
      <w:r>
        <w:t xml:space="preserve">, with full-time </w:t>
      </w:r>
      <w:r w:rsidRPr="0041071B">
        <w:t xml:space="preserve">employment rising by 3.0 per cent and part-time employment by 2.2 per cent. The unemployment rate fell to a six-year low of 5.6 per cent </w:t>
      </w:r>
      <w:r>
        <w:t>in 2017</w:t>
      </w:r>
      <w:r>
        <w:noBreakHyphen/>
        <w:t xml:space="preserve">18 and the labour force participation rate rose to a record high of 65.9 per cent. </w:t>
      </w:r>
    </w:p>
    <w:p w:rsidR="00B32D50" w:rsidRDefault="00B32D50" w:rsidP="00F17BCD">
      <w:r>
        <w:t>The positive momentum has continued into 2018</w:t>
      </w:r>
      <w:r>
        <w:noBreakHyphen/>
        <w:t xml:space="preserve">19, with the latest data showing employment growth of 2.6 per cent over the year to September 2018 and a further decline in the unemployment rate to 4.5 per cent. </w:t>
      </w:r>
    </w:p>
    <w:p w:rsidR="00B32D50" w:rsidRDefault="00B32D50" w:rsidP="00F17BCD">
      <w:r>
        <w:t>L</w:t>
      </w:r>
      <w:r w:rsidRPr="00E11F9C">
        <w:t xml:space="preserve">abour market </w:t>
      </w:r>
      <w:r>
        <w:t>c</w:t>
      </w:r>
      <w:r w:rsidRPr="00E11F9C">
        <w:t xml:space="preserve">onditions are </w:t>
      </w:r>
      <w:r>
        <w:t>expected</w:t>
      </w:r>
      <w:r w:rsidRPr="00E11F9C">
        <w:t xml:space="preserve"> to remain solid, consistent with </w:t>
      </w:r>
      <w:r>
        <w:t>leading</w:t>
      </w:r>
      <w:r w:rsidRPr="00E11F9C">
        <w:t xml:space="preserve"> indicators of labour demand. Employment is forecast to rise by 2.5 per cent in 2018</w:t>
      </w:r>
      <w:r w:rsidRPr="00E11F9C">
        <w:noBreakHyphen/>
        <w:t xml:space="preserve">19 and </w:t>
      </w:r>
      <w:r>
        <w:t xml:space="preserve">by </w:t>
      </w:r>
      <w:r w:rsidRPr="00E11F9C">
        <w:t xml:space="preserve">2.0 per cent in 2019-20. Both are upgrades from the </w:t>
      </w:r>
      <w:r w:rsidRPr="00E11F9C">
        <w:rPr>
          <w:i/>
        </w:rPr>
        <w:t>2018</w:t>
      </w:r>
      <w:r w:rsidRPr="00E11F9C">
        <w:rPr>
          <w:i/>
        </w:rPr>
        <w:noBreakHyphen/>
        <w:t>19 Budget</w:t>
      </w:r>
      <w:r w:rsidRPr="00E11F9C">
        <w:t xml:space="preserve"> estimates of 2.0 per cent and 1.75 per cent, respectively. The unemployment rate is forecast to average 4.75 per cent in 2018</w:t>
      </w:r>
      <w:r w:rsidRPr="00E11F9C">
        <w:noBreakHyphen/>
        <w:t xml:space="preserve">19, down from the </w:t>
      </w:r>
      <w:r w:rsidRPr="00E11F9C">
        <w:rPr>
          <w:i/>
        </w:rPr>
        <w:t>2018-19 Budget</w:t>
      </w:r>
      <w:r w:rsidRPr="00E11F9C">
        <w:t xml:space="preserve"> estimate of </w:t>
      </w:r>
      <w:r>
        <w:t xml:space="preserve">5.75 per cent, largely reflecting recent outcomes and an upgrade to expected employment growth. </w:t>
      </w:r>
    </w:p>
    <w:p w:rsidR="00F17BCD" w:rsidRDefault="00F17BCD">
      <w:pPr>
        <w:keepLines w:val="0"/>
        <w:rPr>
          <w:rFonts w:asciiTheme="majorHAnsi" w:eastAsiaTheme="majorEastAsia" w:hAnsiTheme="majorHAnsi" w:cstheme="majorBidi"/>
          <w:b/>
          <w:spacing w:val="-2"/>
          <w:sz w:val="26"/>
          <w:szCs w:val="26"/>
        </w:rPr>
      </w:pPr>
      <w:r>
        <w:br w:type="page"/>
      </w:r>
    </w:p>
    <w:p w:rsidR="00B32D50" w:rsidRDefault="00B32D50" w:rsidP="00F17BCD">
      <w:pPr>
        <w:pStyle w:val="Heading20"/>
      </w:pPr>
      <w:r>
        <w:lastRenderedPageBreak/>
        <w:t>Prices and wages</w:t>
      </w:r>
    </w:p>
    <w:p w:rsidR="00B32D50" w:rsidRDefault="00B32D50" w:rsidP="00F17BCD">
      <w:r>
        <w:t>The Melbourne consumer price index increased by 2.3 per cent</w:t>
      </w:r>
      <w:r w:rsidRPr="00D76587">
        <w:t xml:space="preserve"> </w:t>
      </w:r>
      <w:r>
        <w:t>in 2017</w:t>
      </w:r>
      <w:r>
        <w:noBreakHyphen/>
        <w:t>18. The inflation rate is forecast to increase to 2.5 per cent in 2018</w:t>
      </w:r>
      <w:r>
        <w:noBreakHyphen/>
        <w:t>19, the middle of the Reserve Bank of Australia’s 2</w:t>
      </w:r>
      <w:r>
        <w:noBreakHyphen/>
        <w:t xml:space="preserve">3 per cent target band. </w:t>
      </w:r>
    </w:p>
    <w:p w:rsidR="00B32D50" w:rsidRDefault="00B32D50" w:rsidP="00F17BCD">
      <w:pPr>
        <w:ind w:right="-227"/>
      </w:pPr>
      <w:r>
        <w:t xml:space="preserve">Wage growth across Australia and in Victoria has remained subdued despite the steady decline in the unemployment rate over the past few years. In part, this reflects the strong growth in labour supply in Victoria. However, as this growth moderates, and with labour demand anticipated to remain relatively strong, wage growth is expected to increase gradually over the forecast horizon. Overall, wages are forecast to increase </w:t>
      </w:r>
      <w:r w:rsidRPr="00580050">
        <w:t>by 2.75 p</w:t>
      </w:r>
      <w:r w:rsidR="00F17BCD">
        <w:t xml:space="preserve">er </w:t>
      </w:r>
      <w:r w:rsidRPr="00580050">
        <w:t>cent in</w:t>
      </w:r>
      <w:r>
        <w:t xml:space="preserve"> </w:t>
      </w:r>
      <w:r w:rsidRPr="00580050">
        <w:t>2018</w:t>
      </w:r>
      <w:r>
        <w:noBreakHyphen/>
        <w:t>19, up from 2.3 per cent in 2017</w:t>
      </w:r>
      <w:r>
        <w:noBreakHyphen/>
        <w:t xml:space="preserve">18. </w:t>
      </w:r>
    </w:p>
    <w:p w:rsidR="00B32D50" w:rsidRPr="00633A7B" w:rsidRDefault="00B32D50" w:rsidP="00F17BCD">
      <w:pPr>
        <w:keepNext/>
        <w:numPr>
          <w:ilvl w:val="1"/>
          <w:numId w:val="0"/>
        </w:numPr>
        <w:tabs>
          <w:tab w:val="right" w:pos="9582"/>
        </w:tabs>
        <w:spacing w:before="240"/>
        <w:outlineLvl w:val="1"/>
        <w:rPr>
          <w:rFonts w:asciiTheme="majorHAnsi" w:eastAsiaTheme="majorEastAsia" w:hAnsiTheme="majorHAnsi" w:cstheme="majorBidi"/>
          <w:b/>
          <w:spacing w:val="-2"/>
          <w:sz w:val="26"/>
          <w:szCs w:val="26"/>
        </w:rPr>
      </w:pPr>
      <w:r w:rsidRPr="00633A7B">
        <w:rPr>
          <w:rFonts w:asciiTheme="majorHAnsi" w:eastAsiaTheme="majorEastAsia" w:hAnsiTheme="majorHAnsi" w:cstheme="majorBidi"/>
          <w:b/>
          <w:spacing w:val="-2"/>
          <w:sz w:val="26"/>
          <w:szCs w:val="26"/>
        </w:rPr>
        <w:t>Population</w:t>
      </w:r>
    </w:p>
    <w:p w:rsidR="00B32D50" w:rsidRPr="00633A7B" w:rsidRDefault="00B32D50" w:rsidP="00F17BCD">
      <w:r w:rsidRPr="00633A7B">
        <w:t xml:space="preserve">Victoria’s population growth has been strong in recent years, driven by high levels of both net overseas and interstate migration. In the year to the March quarter 2018, Victoria’s population grew by 2.2 per cent, compared to 1.6 per cent for Australia as a whole. The increased levels of migration – interstate migration in particular – reflect Victoria’s economic performance </w:t>
      </w:r>
      <w:r>
        <w:t>in</w:t>
      </w:r>
      <w:r w:rsidRPr="00633A7B">
        <w:t xml:space="preserve"> recent years. However, with economic conditions continuing to normalise between the mining and non-mining states, migration levels are expected to moderate. Population growth is forecast to be 2.1 per cent in 2018</w:t>
      </w:r>
      <w:r w:rsidRPr="00633A7B">
        <w:noBreakHyphen/>
        <w:t xml:space="preserve">19. </w:t>
      </w:r>
    </w:p>
    <w:p w:rsidR="00B32D50" w:rsidRDefault="00615D12" w:rsidP="00615D12">
      <w:pPr>
        <w:pStyle w:val="Heading10"/>
      </w:pPr>
      <w:bookmarkStart w:id="6" w:name="_Toc528864756"/>
      <w:r>
        <w:t>Australian economic conditions and outlook</w:t>
      </w:r>
      <w:bookmarkEnd w:id="6"/>
    </w:p>
    <w:p w:rsidR="00B32D50" w:rsidRPr="00983E52" w:rsidRDefault="00B32D50" w:rsidP="00F17BCD">
      <w:r w:rsidRPr="00983E52">
        <w:t xml:space="preserve">Australian economic conditions have improved over the past year, supported by low interest rates and </w:t>
      </w:r>
      <w:r>
        <w:t xml:space="preserve">the </w:t>
      </w:r>
      <w:r w:rsidRPr="00983E52">
        <w:t>ongoing strength in the global economy. G</w:t>
      </w:r>
      <w:r>
        <w:t>DP grew by 2.8 per cent in 2017</w:t>
      </w:r>
      <w:r>
        <w:noBreakHyphen/>
      </w:r>
      <w:r w:rsidRPr="00983E52">
        <w:t xml:space="preserve">18 and 3.4 per cent through the year to the June quarter 2018, </w:t>
      </w:r>
      <w:r>
        <w:t>pointing to</w:t>
      </w:r>
      <w:r w:rsidRPr="00983E52">
        <w:t xml:space="preserve"> increased momentum in the first half of 2018. Business conditions are pos</w:t>
      </w:r>
      <w:r>
        <w:t>itive, supporting growth in non</w:t>
      </w:r>
      <w:r>
        <w:noBreakHyphen/>
      </w:r>
      <w:r w:rsidRPr="00983E52">
        <w:t>mining invest</w:t>
      </w:r>
      <w:r>
        <w:t xml:space="preserve">ment, while public demand is also </w:t>
      </w:r>
      <w:r w:rsidRPr="00983E52">
        <w:t>underpinning activity. The</w:t>
      </w:r>
      <w:r>
        <w:t> </w:t>
      </w:r>
      <w:r w:rsidRPr="00983E52">
        <w:t>positive global economic backdrop is boosting exports, with resour</w:t>
      </w:r>
      <w:r>
        <w:t xml:space="preserve">ce exports particularly strong. </w:t>
      </w:r>
    </w:p>
    <w:p w:rsidR="00B32D50" w:rsidRPr="00983E52" w:rsidRDefault="00B32D50" w:rsidP="00F17BCD">
      <w:r>
        <w:t>S</w:t>
      </w:r>
      <w:r w:rsidRPr="00983E52">
        <w:t xml:space="preserve">olid growth </w:t>
      </w:r>
      <w:r>
        <w:t xml:space="preserve">is </w:t>
      </w:r>
      <w:r w:rsidRPr="00983E52">
        <w:t>expected in non-rural exports, business investment, consumer spending and public infrastructure investment</w:t>
      </w:r>
      <w:r>
        <w:t xml:space="preserve">. In its </w:t>
      </w:r>
      <w:r w:rsidRPr="002522DB">
        <w:rPr>
          <w:i/>
        </w:rPr>
        <w:t>2018</w:t>
      </w:r>
      <w:r>
        <w:rPr>
          <w:i/>
        </w:rPr>
        <w:noBreakHyphen/>
      </w:r>
      <w:r w:rsidRPr="002522DB">
        <w:rPr>
          <w:i/>
        </w:rPr>
        <w:t>19 Budget</w:t>
      </w:r>
      <w:r w:rsidRPr="00983E52">
        <w:t xml:space="preserve">, the Commonwealth Treasury forecast GDP </w:t>
      </w:r>
      <w:r>
        <w:t>growth of 3.0 per cent in 2018</w:t>
      </w:r>
      <w:r>
        <w:noBreakHyphen/>
      </w:r>
      <w:r w:rsidRPr="00983E52">
        <w:t xml:space="preserve">19. This will </w:t>
      </w:r>
      <w:r>
        <w:t>underpin</w:t>
      </w:r>
      <w:r w:rsidRPr="00983E52">
        <w:t xml:space="preserve"> a further rise in employment, taking the </w:t>
      </w:r>
      <w:r>
        <w:t xml:space="preserve">national </w:t>
      </w:r>
      <w:r w:rsidRPr="00983E52">
        <w:t xml:space="preserve">unemployment rate to a forecast average of 5.25 per cent </w:t>
      </w:r>
      <w:r>
        <w:t>in the June quarter 2019, from 5.5 per cent in 2017</w:t>
      </w:r>
      <w:r>
        <w:noBreakHyphen/>
      </w:r>
      <w:r w:rsidRPr="00983E52">
        <w:t>18. It is anticipated the continued labour market improvement will produce a gradual increase in wage growth and inflation pressures over the next couple of years.</w:t>
      </w:r>
      <w:r>
        <w:t xml:space="preserve"> </w:t>
      </w:r>
    </w:p>
    <w:p w:rsidR="00B32D50" w:rsidRDefault="00B32D50">
      <w:pPr>
        <w:keepLines w:val="0"/>
        <w:rPr>
          <w:rFonts w:asciiTheme="majorHAnsi" w:eastAsiaTheme="majorEastAsia" w:hAnsiTheme="majorHAnsi" w:cstheme="majorBidi"/>
          <w:b/>
          <w:bCs/>
          <w:caps/>
          <w:spacing w:val="-2"/>
          <w:sz w:val="26"/>
          <w:szCs w:val="28"/>
        </w:rPr>
      </w:pPr>
      <w:r>
        <w:br w:type="page"/>
      </w:r>
    </w:p>
    <w:p w:rsidR="00B32D50" w:rsidRPr="00422927" w:rsidRDefault="00B32D50" w:rsidP="00F17BCD">
      <w:pPr>
        <w:pStyle w:val="Heading10"/>
      </w:pPr>
      <w:bookmarkStart w:id="7" w:name="_Toc528864757"/>
      <w:r w:rsidRPr="00422927">
        <w:lastRenderedPageBreak/>
        <w:t>International economic conditions and outlook</w:t>
      </w:r>
      <w:bookmarkEnd w:id="7"/>
    </w:p>
    <w:p w:rsidR="00B32D50" w:rsidRDefault="00B32D50" w:rsidP="00F17BCD">
      <w:r>
        <w:t xml:space="preserve">The global economy is continuing to expand at a solid pace, with above-trend growth in </w:t>
      </w:r>
      <w:r w:rsidRPr="00621D2E">
        <w:t>key</w:t>
      </w:r>
      <w:r>
        <w:t xml:space="preserve"> advanced economies. According to the International Monetary Fund’s (</w:t>
      </w:r>
      <w:r w:rsidRPr="003443E4">
        <w:t>IMF)</w:t>
      </w:r>
      <w:r>
        <w:t xml:space="preserve"> October 2018 </w:t>
      </w:r>
      <w:r w:rsidRPr="0005673D">
        <w:rPr>
          <w:i/>
        </w:rPr>
        <w:t>World Economic Outlook</w:t>
      </w:r>
      <w:r>
        <w:t xml:space="preserve">, global growth is projected to </w:t>
      </w:r>
      <w:r w:rsidRPr="00D24263">
        <w:t>remain at 3.7 per cent in both 2018 and 2019, the same rate recorded in 2017. This is a small downward revision from the IMF’s previous estimate of 3.9 per cent for both years.</w:t>
      </w:r>
      <w:r>
        <w:t xml:space="preserve"> </w:t>
      </w:r>
    </w:p>
    <w:p w:rsidR="00B32D50" w:rsidRPr="00983E52" w:rsidRDefault="00B32D50" w:rsidP="00F17BCD">
      <w:r w:rsidRPr="00983E52">
        <w:t xml:space="preserve">Economic growth in the United States is strong, supported by a sizeable fiscal stimulus, and the unemployment rate has recently fallen </w:t>
      </w:r>
      <w:r>
        <w:t>below 4 per cent</w:t>
      </w:r>
      <w:r w:rsidRPr="00983E52">
        <w:t xml:space="preserve">. While near-term momentum remains </w:t>
      </w:r>
      <w:r>
        <w:t>positive</w:t>
      </w:r>
      <w:r w:rsidRPr="00983E52">
        <w:t>, growth is expected to ease as financial</w:t>
      </w:r>
      <w:r>
        <w:t xml:space="preserve"> conditions continue to </w:t>
      </w:r>
      <w:r w:rsidRPr="00A8740E">
        <w:t xml:space="preserve">tighten and as the economy faces increased capacity constraints. </w:t>
      </w:r>
      <w:r>
        <w:t>Economic conditions</w:t>
      </w:r>
      <w:r w:rsidRPr="00983E52">
        <w:t xml:space="preserve"> in Asia </w:t>
      </w:r>
      <w:r>
        <w:t>are</w:t>
      </w:r>
      <w:r w:rsidRPr="00983E52">
        <w:t xml:space="preserve"> strong, notwithstanding some further moderation in</w:t>
      </w:r>
      <w:r>
        <w:t xml:space="preserve"> </w:t>
      </w:r>
      <w:r w:rsidRPr="00983E52">
        <w:t xml:space="preserve">Chinese </w:t>
      </w:r>
      <w:r w:rsidRPr="00917986">
        <w:t>growth</w:t>
      </w:r>
      <w:r w:rsidRPr="00983E52">
        <w:t>, which the IMF forecasts will continue into 2019.</w:t>
      </w:r>
    </w:p>
    <w:p w:rsidR="00B32D50" w:rsidRPr="00EA34A2" w:rsidRDefault="00B32D50" w:rsidP="00F17BCD">
      <w:r w:rsidRPr="00EA34A2">
        <w:t>Despite the current global strength, the IMF cautions that the global expansion is becom</w:t>
      </w:r>
      <w:r>
        <w:t>ing</w:t>
      </w:r>
      <w:r w:rsidRPr="00EA34A2">
        <w:t xml:space="preserve"> less even, and that </w:t>
      </w:r>
      <w:r>
        <w:t xml:space="preserve">downside </w:t>
      </w:r>
      <w:r w:rsidRPr="00EA34A2">
        <w:t xml:space="preserve">risks to the outlook are growing. These risks include growing trade protectionism and rising </w:t>
      </w:r>
      <w:r>
        <w:t xml:space="preserve">United States </w:t>
      </w:r>
      <w:r w:rsidRPr="00EA34A2">
        <w:t xml:space="preserve">interest rates. </w:t>
      </w:r>
    </w:p>
    <w:p w:rsidR="00B32D50" w:rsidRPr="00422927" w:rsidRDefault="00615D12" w:rsidP="00F17BCD">
      <w:pPr>
        <w:pStyle w:val="Heading10"/>
      </w:pPr>
      <w:bookmarkStart w:id="8" w:name="_Toc528864758"/>
      <w:bookmarkStart w:id="9" w:name="_Hlk528583589"/>
      <w:r>
        <w:t>R</w:t>
      </w:r>
      <w:r w:rsidR="00B32D50">
        <w:t>isks to the o</w:t>
      </w:r>
      <w:r w:rsidR="00B32D50" w:rsidRPr="00422927">
        <w:t>utlook</w:t>
      </w:r>
      <w:bookmarkEnd w:id="8"/>
    </w:p>
    <w:p w:rsidR="00B32D50" w:rsidRDefault="00B32D50" w:rsidP="00F17BCD">
      <w:r w:rsidRPr="00A12467">
        <w:t xml:space="preserve">The risks to Victoria’s economic outlook are balanced. On the upside, </w:t>
      </w:r>
      <w:r>
        <w:t>while the outlook is for economic growth to moderate to around trend rates as Victoria’s economic cycle matures, the economy retains significant momentum, particularly in the labour market, and may remain stronger for longer than currently envisaged. A</w:t>
      </w:r>
      <w:r w:rsidRPr="00A12467">
        <w:t xml:space="preserve"> faster than expected recovery in wages combined with favourable employment conditions would support consumption growth in the near term. Persistent strength in population growth or a higher participation rate could lead to higher employment and GSP growth. </w:t>
      </w:r>
    </w:p>
    <w:p w:rsidR="00B32D50" w:rsidRPr="00A12467" w:rsidRDefault="00B32D50" w:rsidP="00F17BCD">
      <w:r w:rsidRPr="00A12467">
        <w:t xml:space="preserve">On the downside, </w:t>
      </w:r>
      <w:r>
        <w:t xml:space="preserve">the moderation in the residential property market could prove deeper than currently factored into the forecasts, particularly if prompted by tighter access to credit, rising borrowing costs or a general economic downturn. </w:t>
      </w:r>
      <w:r w:rsidRPr="00A12467">
        <w:t xml:space="preserve">A </w:t>
      </w:r>
      <w:r>
        <w:t>weaker</w:t>
      </w:r>
      <w:r w:rsidRPr="00A12467">
        <w:t xml:space="preserve"> housing market could lead to </w:t>
      </w:r>
      <w:r>
        <w:t>softer</w:t>
      </w:r>
      <w:r w:rsidRPr="00A12467">
        <w:t xml:space="preserve"> household sentiment, lower consumption</w:t>
      </w:r>
      <w:r>
        <w:t xml:space="preserve"> and dwelling investment,</w:t>
      </w:r>
      <w:r w:rsidRPr="00A12467">
        <w:t xml:space="preserve"> and slower growth in employment, wages and real GSP. </w:t>
      </w:r>
    </w:p>
    <w:p w:rsidR="00B32D50" w:rsidRDefault="00B32D50" w:rsidP="00F17BCD">
      <w:r w:rsidRPr="007721EA">
        <w:t xml:space="preserve">Global risks are tilted to the downside, with key threats relating to </w:t>
      </w:r>
      <w:r w:rsidRPr="009E2561">
        <w:t xml:space="preserve">the risk of </w:t>
      </w:r>
      <w:r>
        <w:t xml:space="preserve">a larger than expected increase in United States interest rates or </w:t>
      </w:r>
      <w:r w:rsidRPr="007721EA">
        <w:t>rising trade protectionist sentiment impact</w:t>
      </w:r>
      <w:r>
        <w:t>ing</w:t>
      </w:r>
      <w:r w:rsidRPr="007721EA">
        <w:t xml:space="preserve"> on global growth</w:t>
      </w:r>
      <w:r w:rsidRPr="00A12467">
        <w:t xml:space="preserve">. </w:t>
      </w:r>
      <w:r>
        <w:t>The heightened sense of uncertainty around these risks has been reflected in volatility in financial markets recently, particularly equity markets, which in itself may impact the Victorian economy.</w:t>
      </w:r>
      <w:r w:rsidRPr="00A12467">
        <w:t xml:space="preserve"> </w:t>
      </w:r>
    </w:p>
    <w:bookmarkEnd w:id="9"/>
    <w:p w:rsidR="00735AAB" w:rsidRDefault="00735AAB">
      <w:pPr>
        <w:keepLines w:val="0"/>
      </w:pPr>
      <w:r>
        <w:br w:type="page"/>
      </w:r>
    </w:p>
    <w:p w:rsidR="00B32D50" w:rsidRDefault="00B32D50" w:rsidP="00B32D50"/>
    <w:p w:rsidR="007051F4" w:rsidRDefault="007051F4" w:rsidP="00B32D50">
      <w:pPr>
        <w:sectPr w:rsidR="007051F4" w:rsidSect="006D735A">
          <w:footerReference w:type="even" r:id="rId25"/>
          <w:footerReference w:type="default" r:id="rId26"/>
          <w:footerReference w:type="first" r:id="rId27"/>
          <w:type w:val="continuous"/>
          <w:pgSz w:w="9979" w:h="14175" w:code="9"/>
          <w:pgMar w:top="851" w:right="1134" w:bottom="851" w:left="1134" w:header="624" w:footer="567" w:gutter="0"/>
          <w:cols w:sep="1" w:space="567"/>
          <w:docGrid w:linePitch="360"/>
        </w:sectPr>
      </w:pPr>
    </w:p>
    <w:p w:rsidR="00B32D50" w:rsidRDefault="00B32D50" w:rsidP="000C43CD">
      <w:pPr>
        <w:pStyle w:val="Chapterheading"/>
      </w:pPr>
      <w:bookmarkStart w:id="10" w:name="_Toc528864759"/>
      <w:r>
        <w:lastRenderedPageBreak/>
        <w:t>Chapter 2 – Budget position and outlook</w:t>
      </w:r>
      <w:bookmarkEnd w:id="10"/>
    </w:p>
    <w:p w:rsidR="00B32D50" w:rsidRDefault="00B32D50" w:rsidP="00F17BCD">
      <w:pPr>
        <w:pStyle w:val="HighlightBoxBullet"/>
      </w:pPr>
      <w:r>
        <w:t>The general government sector operating surplus is estimated to be $2.3</w:t>
      </w:r>
      <w:r w:rsidRPr="006341FF">
        <w:t> billion</w:t>
      </w:r>
      <w:r>
        <w:t xml:space="preserve"> in 2018</w:t>
      </w:r>
      <w:r>
        <w:noBreakHyphen/>
        <w:t>19 and average $2.5</w:t>
      </w:r>
      <w:r w:rsidRPr="006341FF">
        <w:t> billion</w:t>
      </w:r>
      <w:r>
        <w:t xml:space="preserve"> across the forward estimates.</w:t>
      </w:r>
    </w:p>
    <w:p w:rsidR="00B32D50" w:rsidRDefault="00B32D50" w:rsidP="00F17BCD">
      <w:pPr>
        <w:pStyle w:val="HighlightBoxBullet"/>
      </w:pPr>
      <w:r w:rsidRPr="00C203E5">
        <w:t xml:space="preserve">Relative to the </w:t>
      </w:r>
      <w:r w:rsidRPr="00C203E5">
        <w:rPr>
          <w:i/>
        </w:rPr>
        <w:t>201</w:t>
      </w:r>
      <w:r>
        <w:rPr>
          <w:i/>
        </w:rPr>
        <w:t>8</w:t>
      </w:r>
      <w:r w:rsidRPr="00C203E5">
        <w:rPr>
          <w:i/>
        </w:rPr>
        <w:noBreakHyphen/>
        <w:t>1</w:t>
      </w:r>
      <w:r>
        <w:rPr>
          <w:i/>
        </w:rPr>
        <w:t>9 Budget</w:t>
      </w:r>
      <w:r w:rsidRPr="00C203E5">
        <w:t xml:space="preserve">, the net result from transactions has been revised </w:t>
      </w:r>
      <w:r>
        <w:t xml:space="preserve">up </w:t>
      </w:r>
      <w:r w:rsidRPr="00C203E5">
        <w:t>by</w:t>
      </w:r>
      <w:r>
        <w:t xml:space="preserve"> $675 million over the next four years.</w:t>
      </w:r>
      <w:r w:rsidRPr="00BE2879">
        <w:t xml:space="preserve"> </w:t>
      </w:r>
      <w:r>
        <w:t xml:space="preserve">This largely reflects stronger than expected GST revenue ($1.7 billion) and land tax revenue ($0.9 billion), offset by lower than expected </w:t>
      </w:r>
      <w:r w:rsidRPr="004F3096">
        <w:t>land transfer duty revenue</w:t>
      </w:r>
      <w:r>
        <w:t xml:space="preserve"> ($2.4 billion) flowing from the effect of the </w:t>
      </w:r>
      <w:r w:rsidRPr="006B3492">
        <w:t>current moderation in prices and volumes</w:t>
      </w:r>
      <w:r>
        <w:t xml:space="preserve"> in the residential property market.</w:t>
      </w:r>
    </w:p>
    <w:p w:rsidR="00B32D50" w:rsidRDefault="00B32D50" w:rsidP="00F17BCD">
      <w:pPr>
        <w:pStyle w:val="HighlightBoxBullet"/>
      </w:pPr>
      <w:r>
        <w:t>Government infrastructure investment is projected to average $10.6</w:t>
      </w:r>
      <w:r w:rsidRPr="006341FF">
        <w:t> billion</w:t>
      </w:r>
      <w:r>
        <w:t xml:space="preserve"> a year over the budget and forward estimates.</w:t>
      </w:r>
    </w:p>
    <w:p w:rsidR="00B32D50" w:rsidRDefault="00B32D50" w:rsidP="00F17BCD">
      <w:pPr>
        <w:pStyle w:val="HighlightBoxBullet"/>
      </w:pPr>
      <w:r>
        <w:t>Net debt is expected to be 6.0</w:t>
      </w:r>
      <w:r w:rsidRPr="006341FF">
        <w:t> per cent</w:t>
      </w:r>
      <w:r>
        <w:t xml:space="preserve"> of gross state product (GSP) by June 2021,</w:t>
      </w:r>
      <w:r w:rsidRPr="008252DC">
        <w:t xml:space="preserve"> and remain at that level in 2021-22</w:t>
      </w:r>
      <w:r>
        <w:t>.</w:t>
      </w:r>
    </w:p>
    <w:p w:rsidR="00B32D50" w:rsidRDefault="00B32D50" w:rsidP="00F17BCD"/>
    <w:p w:rsidR="00B32D50" w:rsidRDefault="00B32D50" w:rsidP="00F17BCD">
      <w:r>
        <w:t>This chapter presents the financial position of the general government sector. The estimates take into account the financial impacts of all policy decisions made by the Government, as well as other information that affects the financial statements, unless otherwise stated, up to the issue of the election writs on 30 October 2018.</w:t>
      </w:r>
    </w:p>
    <w:p w:rsidR="00B32D50" w:rsidRDefault="00B32D50">
      <w:pPr>
        <w:keepLines w:val="0"/>
        <w:rPr>
          <w:rFonts w:asciiTheme="majorHAnsi" w:eastAsiaTheme="majorEastAsia" w:hAnsiTheme="majorHAnsi" w:cstheme="majorBidi"/>
          <w:b/>
          <w:bCs/>
          <w:caps/>
          <w:spacing w:val="-2"/>
          <w:sz w:val="26"/>
          <w:szCs w:val="28"/>
        </w:rPr>
      </w:pPr>
      <w:r>
        <w:br w:type="page"/>
      </w:r>
    </w:p>
    <w:p w:rsidR="00B32D50" w:rsidRDefault="00615D12" w:rsidP="00615D12">
      <w:pPr>
        <w:pStyle w:val="Heading10"/>
      </w:pPr>
      <w:bookmarkStart w:id="11" w:name="_Toc528864760"/>
      <w:r>
        <w:lastRenderedPageBreak/>
        <w:t>General government sector</w:t>
      </w:r>
      <w:bookmarkEnd w:id="11"/>
    </w:p>
    <w:p w:rsidR="00B32D50" w:rsidRDefault="00B32D50" w:rsidP="00F17BCD">
      <w:pPr>
        <w:pStyle w:val="Heading20"/>
      </w:pPr>
      <w:r>
        <w:t>Overview</w:t>
      </w:r>
    </w:p>
    <w:p w:rsidR="00B32D50" w:rsidRDefault="00B32D50" w:rsidP="00F17BCD">
      <w:r>
        <w:t>The operating result (net result from transactions) for the general government sector in 2018</w:t>
      </w:r>
      <w:r>
        <w:noBreakHyphen/>
        <w:t>19 is forecast to be a surplus of $2.3</w:t>
      </w:r>
      <w:r w:rsidRPr="006341FF">
        <w:t> billion</w:t>
      </w:r>
      <w:r>
        <w:t>, with annual operating surpluses averaging $2.5</w:t>
      </w:r>
      <w:r w:rsidRPr="006341FF">
        <w:t> billion</w:t>
      </w:r>
      <w:r>
        <w:t xml:space="preserve"> over the forward estimates (Table 2.1).</w:t>
      </w:r>
    </w:p>
    <w:p w:rsidR="00B32D50" w:rsidRDefault="00B32D50" w:rsidP="00F17BCD">
      <w:r w:rsidRPr="00C203E5">
        <w:t xml:space="preserve">Relative to the </w:t>
      </w:r>
      <w:r w:rsidRPr="00C203E5">
        <w:rPr>
          <w:i/>
        </w:rPr>
        <w:t>201</w:t>
      </w:r>
      <w:r>
        <w:rPr>
          <w:i/>
        </w:rPr>
        <w:t>8</w:t>
      </w:r>
      <w:r w:rsidRPr="00C203E5">
        <w:rPr>
          <w:i/>
        </w:rPr>
        <w:noBreakHyphen/>
        <w:t>1</w:t>
      </w:r>
      <w:r>
        <w:rPr>
          <w:i/>
        </w:rPr>
        <w:t>9 Budget</w:t>
      </w:r>
      <w:r w:rsidRPr="00C203E5">
        <w:t xml:space="preserve">, the net result from transactions has been revised </w:t>
      </w:r>
      <w:r>
        <w:t xml:space="preserve">up </w:t>
      </w:r>
      <w:r w:rsidRPr="00C203E5">
        <w:t>by $</w:t>
      </w:r>
      <w:r>
        <w:t>898 million</w:t>
      </w:r>
      <w:r w:rsidRPr="00C203E5">
        <w:t xml:space="preserve"> in 2018</w:t>
      </w:r>
      <w:r w:rsidRPr="00C203E5">
        <w:noBreakHyphen/>
        <w:t xml:space="preserve">19, </w:t>
      </w:r>
      <w:r>
        <w:t xml:space="preserve">down by </w:t>
      </w:r>
      <w:r w:rsidRPr="00C203E5">
        <w:t>$</w:t>
      </w:r>
      <w:r>
        <w:t>263 million</w:t>
      </w:r>
      <w:r w:rsidRPr="00C203E5">
        <w:t xml:space="preserve"> in 2019</w:t>
      </w:r>
      <w:r w:rsidRPr="00C203E5">
        <w:noBreakHyphen/>
        <w:t xml:space="preserve">20 </w:t>
      </w:r>
      <w:r>
        <w:t xml:space="preserve">and </w:t>
      </w:r>
      <w:r w:rsidRPr="00C203E5">
        <w:t>$</w:t>
      </w:r>
      <w:r>
        <w:t>59 million</w:t>
      </w:r>
      <w:r w:rsidRPr="00C203E5">
        <w:t xml:space="preserve"> in 20</w:t>
      </w:r>
      <w:r>
        <w:t>20</w:t>
      </w:r>
      <w:r w:rsidRPr="00C203E5">
        <w:noBreakHyphen/>
        <w:t>2</w:t>
      </w:r>
      <w:r>
        <w:t xml:space="preserve">1, </w:t>
      </w:r>
      <w:r w:rsidRPr="00C203E5">
        <w:t xml:space="preserve">and </w:t>
      </w:r>
      <w:r>
        <w:t xml:space="preserve">up </w:t>
      </w:r>
      <w:r w:rsidRPr="00C203E5">
        <w:t>by $</w:t>
      </w:r>
      <w:r>
        <w:t>99 million</w:t>
      </w:r>
      <w:r w:rsidRPr="00C203E5">
        <w:t xml:space="preserve"> in 202</w:t>
      </w:r>
      <w:r>
        <w:t>1</w:t>
      </w:r>
      <w:r w:rsidRPr="00C203E5">
        <w:noBreakHyphen/>
        <w:t>2</w:t>
      </w:r>
      <w:r>
        <w:t xml:space="preserve">2. This largely reflects stronger than expected GST and land tax revenue, offset by lower than expected </w:t>
      </w:r>
      <w:r w:rsidRPr="004F3096">
        <w:t>land transfer duty revenue</w:t>
      </w:r>
      <w:r>
        <w:t xml:space="preserve"> flowing from the effect of the current slowdown in the residential property market.</w:t>
      </w:r>
    </w:p>
    <w:p w:rsidR="00B32D50" w:rsidRPr="006341FF" w:rsidRDefault="00B32D50" w:rsidP="00F17BCD">
      <w:r>
        <w:t>Revenue growth is expected to average 4.1</w:t>
      </w:r>
      <w:r w:rsidRPr="006341FF">
        <w:t> per cent</w:t>
      </w:r>
      <w:r>
        <w:t xml:space="preserve"> a year over the budget and forward estimates, compared to average expense growth of 4.0</w:t>
      </w:r>
      <w:r w:rsidRPr="006341FF">
        <w:t> per cent</w:t>
      </w:r>
      <w:r>
        <w:t xml:space="preserve"> a year.</w:t>
      </w:r>
    </w:p>
    <w:p w:rsidR="00B32D50" w:rsidRPr="00C34C81" w:rsidRDefault="00B32D50" w:rsidP="00F17BCD">
      <w:pPr>
        <w:pStyle w:val="TableHeading"/>
        <w:rPr>
          <w:bCs/>
          <w:lang w:val="en-US"/>
        </w:rPr>
      </w:pPr>
      <w:r w:rsidRPr="006341FF">
        <w:t xml:space="preserve">Table </w:t>
      </w:r>
      <w:r>
        <w:t>2</w:t>
      </w:r>
      <w:r w:rsidRPr="006341FF">
        <w:t xml:space="preserve">.1: </w:t>
      </w:r>
      <w:r w:rsidRPr="006341FF">
        <w:tab/>
        <w:t>General government fiscal aggregates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3517"/>
        <w:gridCol w:w="850"/>
        <w:gridCol w:w="850"/>
        <w:gridCol w:w="850"/>
        <w:gridCol w:w="850"/>
        <w:gridCol w:w="850"/>
      </w:tblGrid>
      <w:tr w:rsidR="007051F4" w:rsidRPr="00C34C81" w:rsidTr="00642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7" w:type="dxa"/>
            <w:tcBorders>
              <w:top w:val="nil"/>
              <w:left w:val="nil"/>
              <w:right w:val="nil"/>
            </w:tcBorders>
            <w:shd w:val="solid" w:color="000000" w:fill="FFFFFF"/>
          </w:tcPr>
          <w:p w:rsidR="007051F4" w:rsidRPr="00C34C81" w:rsidRDefault="007051F4" w:rsidP="00F17BCD">
            <w:pPr>
              <w:autoSpaceDE w:val="0"/>
              <w:autoSpaceDN w:val="0"/>
              <w:adjustRightInd w:val="0"/>
              <w:rPr>
                <w:rFonts w:eastAsiaTheme="minorEastAsia" w:cstheme="majorHAnsi"/>
                <w:i w:val="0"/>
                <w:color w:val="000000"/>
                <w:lang w:eastAsia="en-AU"/>
              </w:rPr>
            </w:pPr>
            <w:r w:rsidRPr="00C34C81">
              <w:rPr>
                <w:rFonts w:eastAsiaTheme="minorEastAsia" w:cstheme="majorHAnsi"/>
                <w:color w:val="000000"/>
                <w:lang w:eastAsia="en-AU"/>
              </w:rPr>
              <w:t xml:space="preserve"> </w:t>
            </w:r>
          </w:p>
          <w:p w:rsidR="007051F4" w:rsidRPr="00C34C81" w:rsidRDefault="007051F4" w:rsidP="00F17BCD">
            <w:pPr>
              <w:autoSpaceDE w:val="0"/>
              <w:autoSpaceDN w:val="0"/>
              <w:adjustRightInd w:val="0"/>
              <w:rPr>
                <w:rFonts w:eastAsiaTheme="minorEastAsia" w:cstheme="majorHAnsi"/>
                <w:color w:val="000000"/>
                <w:lang w:eastAsia="en-AU"/>
              </w:rPr>
            </w:pPr>
            <w:r w:rsidRPr="00C34C81">
              <w:rPr>
                <w:rFonts w:eastAsiaTheme="minorEastAsia" w:cstheme="majorHAnsi"/>
                <w:i w:val="0"/>
                <w:color w:val="000000"/>
                <w:lang w:eastAsia="en-AU"/>
              </w:rPr>
              <w:t xml:space="preserve"> </w:t>
            </w:r>
          </w:p>
        </w:tc>
        <w:tc>
          <w:tcPr>
            <w:tcW w:w="850" w:type="dxa"/>
            <w:tcBorders>
              <w:top w:val="nil"/>
              <w:left w:val="nil"/>
              <w:right w:val="nil"/>
            </w:tcBorders>
            <w:shd w:val="solid" w:color="000000" w:fill="FFFFFF"/>
          </w:tcPr>
          <w:p w:rsidR="007051F4" w:rsidRPr="00C34C81" w:rsidRDefault="007051F4" w:rsidP="007051F4">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heme="majorHAnsi"/>
                <w:iCs/>
                <w:color w:val="FFFFFF"/>
                <w:szCs w:val="18"/>
                <w:lang w:eastAsia="en-AU"/>
              </w:rPr>
            </w:pPr>
            <w:r w:rsidRPr="00C34C81">
              <w:rPr>
                <w:rFonts w:eastAsiaTheme="minorEastAsia" w:cstheme="majorHAnsi"/>
                <w:iCs/>
                <w:color w:val="FFFFFF"/>
                <w:szCs w:val="18"/>
                <w:lang w:eastAsia="en-AU"/>
              </w:rPr>
              <w:t>Unit of</w:t>
            </w:r>
            <w:r>
              <w:rPr>
                <w:rFonts w:eastAsiaTheme="minorEastAsia" w:cstheme="majorHAnsi"/>
                <w:iCs/>
                <w:color w:val="FFFFFF"/>
                <w:szCs w:val="18"/>
                <w:lang w:eastAsia="en-AU"/>
              </w:rPr>
              <w:br/>
            </w:r>
            <w:r w:rsidRPr="007051F4">
              <w:t>measure</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2018-19</w:t>
            </w:r>
            <w:r>
              <w:t xml:space="preserve"> </w:t>
            </w:r>
            <w:r w:rsidRPr="007051F4">
              <w:t>revised</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2019-20</w:t>
            </w:r>
            <w:r>
              <w:t xml:space="preserve"> </w:t>
            </w:r>
            <w:r w:rsidRPr="007051F4">
              <w:t>estimate</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2020-21</w:t>
            </w:r>
            <w:r>
              <w:t xml:space="preserve"> </w:t>
            </w:r>
            <w:r w:rsidRPr="007051F4">
              <w:t>estimate</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2021-22</w:t>
            </w:r>
            <w:r>
              <w:t xml:space="preserve"> </w:t>
            </w:r>
            <w:r w:rsidRPr="007051F4">
              <w:t>estimate</w:t>
            </w:r>
          </w:p>
        </w:tc>
      </w:tr>
      <w:tr w:rsidR="00B32D50" w:rsidRPr="00C34C81" w:rsidTr="007051F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Net result from transactions</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2.3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1.7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2.7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3.0 </w:t>
            </w:r>
          </w:p>
        </w:tc>
      </w:tr>
      <w:tr w:rsidR="00B32D50" w:rsidRPr="00C34C81" w:rsidTr="007051F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vertAlign w:val="superscript"/>
                <w:lang w:eastAsia="en-AU"/>
              </w:rPr>
            </w:pPr>
            <w:r w:rsidRPr="00C34C81">
              <w:rPr>
                <w:rFonts w:eastAsiaTheme="minorEastAsia" w:cstheme="majorHAnsi"/>
                <w:color w:val="000000"/>
                <w:szCs w:val="18"/>
                <w:lang w:eastAsia="en-AU"/>
              </w:rPr>
              <w:t xml:space="preserve">Government infrastructure investment </w:t>
            </w:r>
            <w:r w:rsidRPr="00C34C81">
              <w:rPr>
                <w:rFonts w:eastAsiaTheme="minorEastAsia" w:cstheme="majorHAnsi"/>
                <w:color w:val="000000"/>
                <w:szCs w:val="18"/>
                <w:vertAlign w:val="superscript"/>
                <w:lang w:eastAsia="en-AU"/>
              </w:rPr>
              <w:t>(a)</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13.4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11.4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9.7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8.0 </w:t>
            </w:r>
          </w:p>
        </w:tc>
      </w:tr>
      <w:tr w:rsidR="00B32D50" w:rsidRPr="00C34C81" w:rsidTr="007051F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Net debt</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 billion</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22.5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27.8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30.3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31.8 </w:t>
            </w:r>
          </w:p>
        </w:tc>
      </w:tr>
      <w:tr w:rsidR="00B32D50" w:rsidRPr="00C34C81" w:rsidTr="007051F4">
        <w:tc>
          <w:tcPr>
            <w:cnfStyle w:val="001000000000" w:firstRow="0" w:lastRow="0" w:firstColumn="1" w:lastColumn="0" w:oddVBand="0" w:evenVBand="0" w:oddHBand="0" w:evenHBand="0" w:firstRowFirstColumn="0" w:firstRowLastColumn="0" w:lastRowFirstColumn="0" w:lastRowLastColumn="0"/>
            <w:tcW w:w="3517" w:type="dxa"/>
            <w:tcBorders>
              <w:top w:val="nil"/>
              <w:left w:val="nil"/>
              <w:bottom w:val="single" w:sz="12" w:space="0" w:color="auto"/>
              <w:right w:val="nil"/>
            </w:tcBorders>
          </w:tcPr>
          <w:p w:rsidR="00B32D50" w:rsidRPr="00C34C81" w:rsidRDefault="00B32D50" w:rsidP="00F17BCD">
            <w:pPr>
              <w:keepLines w:val="0"/>
              <w:autoSpaceDE w:val="0"/>
              <w:autoSpaceDN w:val="0"/>
              <w:adjustRightInd w:val="0"/>
            </w:pPr>
            <w:r w:rsidRPr="00C34C81">
              <w:rPr>
                <w:rFonts w:eastAsiaTheme="minorEastAsia" w:cstheme="majorHAnsi"/>
                <w:color w:val="000000"/>
                <w:szCs w:val="18"/>
                <w:lang w:eastAsia="en-AU"/>
              </w:rPr>
              <w:t>Net debt to GSP</w:t>
            </w:r>
            <w:r w:rsidRPr="00C34C81">
              <w:rPr>
                <w:rFonts w:eastAsiaTheme="minorEastAsia" w:cstheme="majorHAnsi"/>
                <w:color w:val="000000"/>
                <w:szCs w:val="18"/>
                <w:vertAlign w:val="superscript"/>
                <w:lang w:eastAsia="en-AU"/>
              </w:rPr>
              <w:t xml:space="preserve"> (b)</w:t>
            </w:r>
          </w:p>
        </w:tc>
        <w:tc>
          <w:tcPr>
            <w:tcW w:w="850" w:type="dxa"/>
            <w:tcBorders>
              <w:top w:val="nil"/>
              <w:left w:val="nil"/>
              <w:bottom w:val="single" w:sz="12" w:space="0" w:color="auto"/>
              <w:right w:val="nil"/>
            </w:tcBorders>
          </w:tcPr>
          <w:p w:rsidR="00B32D50" w:rsidRPr="00C34C81"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per cent</w:t>
            </w:r>
          </w:p>
        </w:tc>
        <w:tc>
          <w:tcPr>
            <w:tcW w:w="850" w:type="dxa"/>
            <w:tcBorders>
              <w:top w:val="nil"/>
              <w:left w:val="nil"/>
              <w:bottom w:val="single" w:sz="12"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5.0 </w:t>
            </w:r>
          </w:p>
        </w:tc>
        <w:tc>
          <w:tcPr>
            <w:tcW w:w="850" w:type="dxa"/>
            <w:tcBorders>
              <w:top w:val="nil"/>
              <w:left w:val="nil"/>
              <w:bottom w:val="single" w:sz="12"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5.8 </w:t>
            </w:r>
          </w:p>
        </w:tc>
        <w:tc>
          <w:tcPr>
            <w:tcW w:w="850" w:type="dxa"/>
            <w:tcBorders>
              <w:top w:val="nil"/>
              <w:left w:val="nil"/>
              <w:bottom w:val="single" w:sz="12"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6.0 </w:t>
            </w:r>
          </w:p>
        </w:tc>
        <w:tc>
          <w:tcPr>
            <w:tcW w:w="850" w:type="dxa"/>
            <w:tcBorders>
              <w:top w:val="nil"/>
              <w:left w:val="nil"/>
              <w:bottom w:val="single" w:sz="12"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C34C81">
              <w:rPr>
                <w:rFonts w:eastAsiaTheme="minorEastAsia" w:cstheme="majorHAnsi"/>
                <w:color w:val="000000"/>
                <w:szCs w:val="18"/>
                <w:lang w:eastAsia="en-AU"/>
              </w:rPr>
              <w:t xml:space="preserve">6.0 </w:t>
            </w:r>
          </w:p>
        </w:tc>
      </w:tr>
    </w:tbl>
    <w:p w:rsidR="00B32D50" w:rsidRPr="00C203E5" w:rsidRDefault="00B32D50" w:rsidP="00F17BCD">
      <w:pPr>
        <w:pStyle w:val="Source"/>
      </w:pPr>
      <w:r w:rsidRPr="00C203E5">
        <w:t>Source: Department of Treasury and Finance</w:t>
      </w:r>
    </w:p>
    <w:p w:rsidR="00B32D50" w:rsidRPr="00C203E5" w:rsidRDefault="00B32D50" w:rsidP="00F17BCD">
      <w:pPr>
        <w:pStyle w:val="Note"/>
      </w:pPr>
      <w:r w:rsidRPr="00C203E5">
        <w:t>Notes:</w:t>
      </w:r>
    </w:p>
    <w:p w:rsidR="00B32D50" w:rsidRPr="00C203E5" w:rsidRDefault="00B32D50" w:rsidP="00F17BCD">
      <w:pPr>
        <w:pStyle w:val="Note"/>
      </w:pPr>
      <w:r w:rsidRPr="00C203E5">
        <w:t>(a)</w:t>
      </w:r>
      <w:r w:rsidRPr="00C203E5">
        <w:tab/>
        <w:t>Includes general government net infrastructure investment and estimated c</w:t>
      </w:r>
      <w:r>
        <w:t>onstruction costs</w:t>
      </w:r>
      <w:r w:rsidRPr="00C203E5">
        <w:t xml:space="preserve"> for Partnerships Victoria projects.</w:t>
      </w:r>
    </w:p>
    <w:p w:rsidR="00B32D50" w:rsidRPr="00C203E5" w:rsidRDefault="00B32D50" w:rsidP="00F17BCD">
      <w:pPr>
        <w:pStyle w:val="Note"/>
      </w:pPr>
      <w:r w:rsidRPr="00C203E5">
        <w:t>(</w:t>
      </w:r>
      <w:r>
        <w:t>b</w:t>
      </w:r>
      <w:r w:rsidRPr="00C203E5">
        <w:t>)</w:t>
      </w:r>
      <w:r w:rsidRPr="00C203E5">
        <w:tab/>
        <w:t xml:space="preserve">The ratios to GSP may vary from publications year to year due to revisions to the </w:t>
      </w:r>
      <w:r>
        <w:t xml:space="preserve">Australian Bureau of Statistics </w:t>
      </w:r>
      <w:r w:rsidRPr="00C203E5">
        <w:t>GSP data.</w:t>
      </w:r>
    </w:p>
    <w:p w:rsidR="00B32D50" w:rsidRPr="00C203E5" w:rsidRDefault="00B32D50" w:rsidP="00F17BCD"/>
    <w:p w:rsidR="00B32D50" w:rsidRDefault="00B32D50" w:rsidP="00F17BCD">
      <w:r w:rsidRPr="00B17076">
        <w:t xml:space="preserve">Government infrastructure investment is </w:t>
      </w:r>
      <w:r w:rsidRPr="00054BD6">
        <w:t>projected to average $</w:t>
      </w:r>
      <w:r>
        <w:t>10.6 billion a year</w:t>
      </w:r>
      <w:r w:rsidRPr="00054BD6">
        <w:t xml:space="preserve"> over the </w:t>
      </w:r>
      <w:r>
        <w:t>next four years.</w:t>
      </w:r>
    </w:p>
    <w:p w:rsidR="00B32D50" w:rsidRPr="002148DF" w:rsidRDefault="00B32D50" w:rsidP="00F17BCD">
      <w:r w:rsidRPr="00C203E5">
        <w:t>Net debt is expected to be $</w:t>
      </w:r>
      <w:r>
        <w:t>31.8 billion</w:t>
      </w:r>
      <w:r w:rsidRPr="00C203E5">
        <w:t xml:space="preserve"> by June 2022. As a proportion of GSP, net debt is projected to increase from its June 201</w:t>
      </w:r>
      <w:r>
        <w:t>9</w:t>
      </w:r>
      <w:r w:rsidRPr="00C203E5">
        <w:t xml:space="preserve"> level of </w:t>
      </w:r>
      <w:r>
        <w:t>5.0</w:t>
      </w:r>
      <w:r w:rsidRPr="00C203E5">
        <w:t xml:space="preserve"> per cent to </w:t>
      </w:r>
      <w:r>
        <w:t>6.0</w:t>
      </w:r>
      <w:r w:rsidRPr="00C203E5">
        <w:t> per cent by June 202</w:t>
      </w:r>
      <w:r>
        <w:t>1,</w:t>
      </w:r>
      <w:r w:rsidRPr="008252DC">
        <w:t xml:space="preserve"> </w:t>
      </w:r>
      <w:r w:rsidRPr="00C203E5">
        <w:t>and remain at that level in 2021-22.</w:t>
      </w:r>
      <w:bookmarkStart w:id="12" w:name="_Toc449123067"/>
    </w:p>
    <w:p w:rsidR="00B32D50" w:rsidRDefault="00B32D50" w:rsidP="00F17BCD">
      <w:pPr>
        <w:keepLines w:val="0"/>
        <w:rPr>
          <w:rFonts w:asciiTheme="majorHAnsi" w:hAnsiTheme="majorHAnsi" w:cstheme="majorBidi"/>
          <w:b/>
          <w:bCs/>
          <w:caps/>
          <w:spacing w:val="-2"/>
          <w:sz w:val="26"/>
          <w:szCs w:val="28"/>
        </w:rPr>
      </w:pPr>
      <w:bookmarkStart w:id="13" w:name="_Toc481160573"/>
      <w:bookmarkStart w:id="14" w:name="_Toc481246481"/>
      <w:bookmarkStart w:id="15" w:name="_Toc512629767"/>
      <w:r>
        <w:br w:type="page"/>
      </w:r>
    </w:p>
    <w:p w:rsidR="00B32D50" w:rsidRPr="00C203E5" w:rsidRDefault="00B32D50" w:rsidP="00F17BCD">
      <w:pPr>
        <w:pStyle w:val="Heading10"/>
        <w:rPr>
          <w:rFonts w:eastAsiaTheme="minorHAnsi"/>
        </w:rPr>
      </w:pPr>
      <w:bookmarkStart w:id="16" w:name="_Toc528864761"/>
      <w:r w:rsidRPr="00C203E5">
        <w:rPr>
          <w:rFonts w:eastAsiaTheme="minorHAnsi"/>
        </w:rPr>
        <w:lastRenderedPageBreak/>
        <w:t>Budget and forward estimates outlook</w:t>
      </w:r>
      <w:bookmarkEnd w:id="12"/>
      <w:bookmarkEnd w:id="13"/>
      <w:bookmarkEnd w:id="14"/>
      <w:bookmarkEnd w:id="15"/>
      <w:bookmarkEnd w:id="16"/>
    </w:p>
    <w:p w:rsidR="00B32D50" w:rsidRPr="00C203E5" w:rsidRDefault="00B32D50" w:rsidP="00F17BCD">
      <w:pPr>
        <w:keepNext/>
      </w:pPr>
      <w:r w:rsidRPr="00C203E5">
        <w:t xml:space="preserve">Table </w:t>
      </w:r>
      <w:r>
        <w:t>2.2</w:t>
      </w:r>
      <w:r w:rsidRPr="00C203E5">
        <w:t xml:space="preserve"> summarises the operating statement for the general government sector. A comprehensive operating statement is presented in </w:t>
      </w:r>
      <w:r w:rsidRPr="004011BF">
        <w:t xml:space="preserve">Chapter </w:t>
      </w:r>
      <w:r>
        <w:t>3</w:t>
      </w:r>
      <w:r w:rsidRPr="004011BF">
        <w:t xml:space="preserve"> </w:t>
      </w:r>
      <w:r w:rsidRPr="004011BF">
        <w:rPr>
          <w:i/>
        </w:rPr>
        <w:t>Estimated financial statements and notes</w:t>
      </w:r>
      <w:r w:rsidRPr="004011BF">
        <w:t>.</w:t>
      </w:r>
    </w:p>
    <w:p w:rsidR="00B32D50" w:rsidRPr="00C34C81" w:rsidRDefault="00B32D50" w:rsidP="00F17BCD">
      <w:pPr>
        <w:pStyle w:val="TableHeading"/>
        <w:rPr>
          <w:bCs/>
          <w:lang w:val="en-US"/>
        </w:rPr>
      </w:pPr>
      <w:r w:rsidRPr="00C203E5">
        <w:t xml:space="preserve">Table </w:t>
      </w:r>
      <w:r>
        <w:t>2.2</w:t>
      </w:r>
      <w:r w:rsidRPr="00C203E5">
        <w:t xml:space="preserve">: </w:t>
      </w:r>
      <w:r w:rsidRPr="00C203E5">
        <w:tab/>
        <w:t>Summary operating statement for the general government sector</w:t>
      </w:r>
      <w:r>
        <w:t xml:space="preserve"> </w:t>
      </w:r>
      <w:r w:rsidRPr="00C203E5">
        <w:rPr>
          <w:vertAlign w:val="superscript"/>
        </w:rPr>
        <w:t>(a)</w:t>
      </w:r>
      <w:r w:rsidRPr="00C203E5">
        <w:rPr>
          <w:vertAlign w:val="superscript"/>
        </w:rPr>
        <w:tab/>
      </w:r>
      <w:r w:rsidRPr="00C203E5">
        <w:t>($</w:t>
      </w:r>
      <w:r>
        <w:t> million</w:t>
      </w:r>
      <w:r w:rsidRPr="00C203E5">
        <w:t>)</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7051F4" w:rsidRPr="00C34C81" w:rsidTr="00642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rsidR="007051F4" w:rsidRPr="00C34C81" w:rsidRDefault="007051F4" w:rsidP="00F17BCD">
            <w:pPr>
              <w:autoSpaceDE w:val="0"/>
              <w:autoSpaceDN w:val="0"/>
              <w:adjustRightInd w:val="0"/>
              <w:rPr>
                <w:rFonts w:eastAsiaTheme="minorEastAsia" w:cstheme="majorHAnsi"/>
                <w:i w:val="0"/>
                <w:color w:val="000000"/>
                <w:lang w:eastAsia="en-AU"/>
              </w:rPr>
            </w:pPr>
            <w:r w:rsidRPr="00C34C81">
              <w:rPr>
                <w:rFonts w:eastAsiaTheme="minorEastAsia" w:cstheme="majorHAnsi"/>
                <w:color w:val="000000"/>
                <w:lang w:eastAsia="en-AU"/>
              </w:rPr>
              <w:t xml:space="preserve"> </w:t>
            </w:r>
          </w:p>
          <w:p w:rsidR="007051F4" w:rsidRPr="00C34C81" w:rsidRDefault="007051F4" w:rsidP="00F17BCD">
            <w:pPr>
              <w:autoSpaceDE w:val="0"/>
              <w:autoSpaceDN w:val="0"/>
              <w:adjustRightInd w:val="0"/>
              <w:rPr>
                <w:rFonts w:eastAsiaTheme="minorEastAsia" w:cstheme="majorHAnsi"/>
                <w:color w:val="000000"/>
                <w:lang w:eastAsia="en-AU"/>
              </w:rPr>
            </w:pPr>
            <w:r w:rsidRPr="00C34C81">
              <w:rPr>
                <w:rFonts w:eastAsiaTheme="minorEastAsia" w:cstheme="majorHAnsi"/>
                <w:i w:val="0"/>
                <w:color w:val="000000"/>
                <w:lang w:eastAsia="en-AU"/>
              </w:rPr>
              <w:t xml:space="preserve"> </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2018-19</w:t>
            </w:r>
            <w:r>
              <w:t xml:space="preserve"> </w:t>
            </w:r>
            <w:r w:rsidRPr="007051F4">
              <w:t>revised</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2019-20</w:t>
            </w:r>
            <w:r>
              <w:t xml:space="preserve"> </w:t>
            </w:r>
            <w:r w:rsidRPr="007051F4">
              <w:t>estimate</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2020-21</w:t>
            </w:r>
            <w:r>
              <w:t xml:space="preserve"> </w:t>
            </w:r>
            <w:r w:rsidRPr="007051F4">
              <w:t>estimate</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2021-22</w:t>
            </w:r>
            <w:r>
              <w:t xml:space="preserve"> </w:t>
            </w:r>
            <w:r w:rsidRPr="007051F4">
              <w:t>estimate</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Revenue</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Taxation</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24 092</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25 050</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25 836</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27 116</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 xml:space="preserve">Dividends, tax equivalent revenue and interest </w:t>
            </w:r>
            <w:r w:rsidRPr="00C34C81">
              <w:rPr>
                <w:rFonts w:eastAsiaTheme="minorEastAsia" w:cstheme="majorHAnsi"/>
                <w:color w:val="000000"/>
                <w:szCs w:val="18"/>
                <w:vertAlign w:val="superscript"/>
                <w:lang w:eastAsia="en-AU"/>
              </w:rPr>
              <w:t>(b)</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1 921</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1 369</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1 357</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1 319</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Sales of goods and services</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7 594</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8 417</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8 685</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8 726</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Grant revenue</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33 515</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33 697</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34 686</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35 942</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Other current revenue</w:t>
            </w:r>
          </w:p>
        </w:tc>
        <w:tc>
          <w:tcPr>
            <w:tcW w:w="850" w:type="dxa"/>
            <w:tcBorders>
              <w:top w:val="nil"/>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2 636</w:t>
            </w:r>
          </w:p>
        </w:tc>
        <w:tc>
          <w:tcPr>
            <w:tcW w:w="850" w:type="dxa"/>
            <w:tcBorders>
              <w:top w:val="nil"/>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2 594</w:t>
            </w:r>
          </w:p>
        </w:tc>
        <w:tc>
          <w:tcPr>
            <w:tcW w:w="850" w:type="dxa"/>
            <w:tcBorders>
              <w:top w:val="nil"/>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2 656</w:t>
            </w:r>
          </w:p>
        </w:tc>
        <w:tc>
          <w:tcPr>
            <w:tcW w:w="850" w:type="dxa"/>
            <w:tcBorders>
              <w:top w:val="nil"/>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2 714</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Total revenue</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69 757</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71 128</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73 221</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75 817</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i/>
                <w:iCs/>
                <w:color w:val="000000"/>
                <w:szCs w:val="18"/>
                <w:lang w:eastAsia="en-AU"/>
              </w:rPr>
            </w:pPr>
            <w:r w:rsidRPr="00C34C81">
              <w:rPr>
                <w:rFonts w:eastAsiaTheme="minorEastAsia" w:cstheme="majorHAnsi"/>
                <w:i/>
                <w:iCs/>
                <w:color w:val="000000"/>
                <w:szCs w:val="18"/>
                <w:lang w:eastAsia="en-AU"/>
              </w:rPr>
              <w:t>% change</w:t>
            </w:r>
          </w:p>
        </w:tc>
        <w:tc>
          <w:tcPr>
            <w:tcW w:w="850" w:type="dxa"/>
            <w:tcBorders>
              <w:top w:val="nil"/>
              <w:left w:val="nil"/>
              <w:bottom w:val="nil"/>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8.0</w:t>
            </w:r>
          </w:p>
        </w:tc>
        <w:tc>
          <w:tcPr>
            <w:tcW w:w="850" w:type="dxa"/>
            <w:tcBorders>
              <w:top w:val="nil"/>
              <w:left w:val="nil"/>
              <w:bottom w:val="nil"/>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2.0</w:t>
            </w:r>
          </w:p>
        </w:tc>
        <w:tc>
          <w:tcPr>
            <w:tcW w:w="850" w:type="dxa"/>
            <w:tcBorders>
              <w:top w:val="nil"/>
              <w:left w:val="nil"/>
              <w:bottom w:val="nil"/>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2.9</w:t>
            </w:r>
          </w:p>
        </w:tc>
        <w:tc>
          <w:tcPr>
            <w:tcW w:w="850" w:type="dxa"/>
            <w:tcBorders>
              <w:top w:val="nil"/>
              <w:left w:val="nil"/>
              <w:bottom w:val="nil"/>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3.5</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Expenses</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lang w:eastAsia="en-AU"/>
              </w:rPr>
            </w:pPr>
            <w:r w:rsidRPr="00C34C81">
              <w:rPr>
                <w:rFonts w:eastAsiaTheme="minorEastAsia" w:cstheme="majorHAnsi"/>
                <w:color w:val="000000"/>
                <w:lang w:eastAsia="en-AU"/>
              </w:rPr>
              <w:t xml:space="preserve"> </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Employee expenses</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24 986</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26 446</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27 495</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28 565</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 xml:space="preserve">Superannuation </w:t>
            </w:r>
            <w:r w:rsidRPr="00C34C81">
              <w:rPr>
                <w:rFonts w:eastAsiaTheme="minorEastAsia" w:cstheme="majorHAnsi"/>
                <w:color w:val="000000"/>
                <w:szCs w:val="18"/>
                <w:vertAlign w:val="superscript"/>
                <w:lang w:eastAsia="en-AU"/>
              </w:rPr>
              <w:t>(c)</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3 439</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3 441</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3 482</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3 572</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Depreciation</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2 884</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3 050</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3 352</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3 521</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Interest expense</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2 090</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2 133</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2 211</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2 260</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Other operating expenses</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21 296</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20 305</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20 016</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20 498</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B32D50" w:rsidRPr="00C34C81" w:rsidRDefault="00B32D50" w:rsidP="00F17BCD">
            <w:pPr>
              <w:keepLines w:val="0"/>
              <w:autoSpaceDE w:val="0"/>
              <w:autoSpaceDN w:val="0"/>
              <w:adjustRightInd w:val="0"/>
              <w:rPr>
                <w:rFonts w:eastAsiaTheme="minorEastAsia" w:cstheme="majorHAnsi"/>
                <w:color w:val="000000"/>
                <w:szCs w:val="18"/>
                <w:lang w:eastAsia="en-AU"/>
              </w:rPr>
            </w:pPr>
            <w:r w:rsidRPr="00C34C81">
              <w:rPr>
                <w:rFonts w:eastAsiaTheme="minorEastAsia" w:cstheme="majorHAnsi"/>
                <w:color w:val="000000"/>
                <w:szCs w:val="18"/>
                <w:lang w:eastAsia="en-AU"/>
              </w:rPr>
              <w:t>Grant expense</w:t>
            </w:r>
          </w:p>
        </w:tc>
        <w:tc>
          <w:tcPr>
            <w:tcW w:w="850" w:type="dxa"/>
            <w:tcBorders>
              <w:top w:val="nil"/>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12 785</w:t>
            </w:r>
          </w:p>
        </w:tc>
        <w:tc>
          <w:tcPr>
            <w:tcW w:w="850" w:type="dxa"/>
            <w:tcBorders>
              <w:top w:val="nil"/>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14 045</w:t>
            </w:r>
          </w:p>
        </w:tc>
        <w:tc>
          <w:tcPr>
            <w:tcW w:w="850" w:type="dxa"/>
            <w:tcBorders>
              <w:top w:val="nil"/>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14 007</w:t>
            </w:r>
          </w:p>
        </w:tc>
        <w:tc>
          <w:tcPr>
            <w:tcW w:w="850" w:type="dxa"/>
            <w:tcBorders>
              <w:top w:val="nil"/>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C34C81">
              <w:rPr>
                <w:rFonts w:eastAsiaTheme="minorEastAsia" w:cstheme="majorHAnsi"/>
                <w:color w:val="000000"/>
                <w:szCs w:val="18"/>
                <w:lang w:eastAsia="en-AU"/>
              </w:rPr>
              <w:t>14 411</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Total expenses</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67 480</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69 420</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70 565</w:t>
            </w:r>
          </w:p>
        </w:tc>
        <w:tc>
          <w:tcPr>
            <w:tcW w:w="850" w:type="dxa"/>
            <w:tcBorders>
              <w:top w:val="nil"/>
              <w:left w:val="nil"/>
              <w:bottom w:val="nil"/>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72 827</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34C81" w:rsidRDefault="00B32D50" w:rsidP="00F17BCD">
            <w:pPr>
              <w:keepLines w:val="0"/>
              <w:autoSpaceDE w:val="0"/>
              <w:autoSpaceDN w:val="0"/>
              <w:adjustRightInd w:val="0"/>
              <w:rPr>
                <w:rFonts w:eastAsiaTheme="minorEastAsia" w:cstheme="majorHAnsi"/>
                <w:i/>
                <w:iCs/>
                <w:color w:val="000000"/>
                <w:szCs w:val="18"/>
                <w:lang w:eastAsia="en-AU"/>
              </w:rPr>
            </w:pPr>
            <w:r w:rsidRPr="00C34C81">
              <w:rPr>
                <w:rFonts w:eastAsiaTheme="minorEastAsia" w:cstheme="majorHAnsi"/>
                <w:i/>
                <w:iCs/>
                <w:color w:val="000000"/>
                <w:szCs w:val="18"/>
                <w:lang w:eastAsia="en-AU"/>
              </w:rPr>
              <w:t>% change</w:t>
            </w:r>
          </w:p>
        </w:tc>
        <w:tc>
          <w:tcPr>
            <w:tcW w:w="850" w:type="dxa"/>
            <w:tcBorders>
              <w:top w:val="nil"/>
              <w:left w:val="nil"/>
              <w:bottom w:val="nil"/>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8.4</w:t>
            </w:r>
          </w:p>
        </w:tc>
        <w:tc>
          <w:tcPr>
            <w:tcW w:w="850" w:type="dxa"/>
            <w:tcBorders>
              <w:top w:val="nil"/>
              <w:left w:val="nil"/>
              <w:bottom w:val="nil"/>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2.9</w:t>
            </w:r>
          </w:p>
        </w:tc>
        <w:tc>
          <w:tcPr>
            <w:tcW w:w="850" w:type="dxa"/>
            <w:tcBorders>
              <w:top w:val="nil"/>
              <w:left w:val="nil"/>
              <w:bottom w:val="nil"/>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1.6</w:t>
            </w:r>
          </w:p>
        </w:tc>
        <w:tc>
          <w:tcPr>
            <w:tcW w:w="850" w:type="dxa"/>
            <w:tcBorders>
              <w:top w:val="nil"/>
              <w:left w:val="nil"/>
              <w:bottom w:val="nil"/>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i/>
                <w:iCs/>
                <w:color w:val="000000"/>
                <w:szCs w:val="18"/>
                <w:lang w:eastAsia="en-AU"/>
              </w:rPr>
              <w:t>3.2</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B32D50" w:rsidRPr="00C34C81" w:rsidRDefault="00B32D50" w:rsidP="00F17BCD">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Net result from transactions</w:t>
            </w:r>
          </w:p>
        </w:tc>
        <w:tc>
          <w:tcPr>
            <w:tcW w:w="850" w:type="dxa"/>
            <w:tcBorders>
              <w:top w:val="single" w:sz="6" w:space="0" w:color="auto"/>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2 277</w:t>
            </w:r>
          </w:p>
        </w:tc>
        <w:tc>
          <w:tcPr>
            <w:tcW w:w="850" w:type="dxa"/>
            <w:tcBorders>
              <w:top w:val="single" w:sz="6" w:space="0" w:color="auto"/>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1 708</w:t>
            </w:r>
          </w:p>
        </w:tc>
        <w:tc>
          <w:tcPr>
            <w:tcW w:w="850" w:type="dxa"/>
            <w:tcBorders>
              <w:top w:val="single" w:sz="6" w:space="0" w:color="auto"/>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2 656</w:t>
            </w:r>
          </w:p>
        </w:tc>
        <w:tc>
          <w:tcPr>
            <w:tcW w:w="850" w:type="dxa"/>
            <w:tcBorders>
              <w:top w:val="single" w:sz="6" w:space="0" w:color="auto"/>
              <w:left w:val="nil"/>
              <w:bottom w:val="single" w:sz="6" w:space="0" w:color="auto"/>
              <w:right w:val="nil"/>
            </w:tcBorders>
          </w:tcPr>
          <w:p w:rsidR="00B32D50" w:rsidRPr="00C34C8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C34C81">
              <w:rPr>
                <w:rFonts w:eastAsiaTheme="minorEastAsia" w:cstheme="majorHAnsi"/>
                <w:b/>
                <w:bCs/>
                <w:color w:val="000000"/>
                <w:szCs w:val="18"/>
                <w:lang w:eastAsia="en-AU"/>
              </w:rPr>
              <w:t>2 990</w:t>
            </w:r>
          </w:p>
        </w:tc>
      </w:tr>
      <w:tr w:rsidR="00B32D50" w:rsidRPr="00C34C81"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B32D50" w:rsidRPr="00C34C81" w:rsidRDefault="00B32D50" w:rsidP="00F17BCD">
            <w:pPr>
              <w:keepLines w:val="0"/>
              <w:autoSpaceDE w:val="0"/>
              <w:autoSpaceDN w:val="0"/>
              <w:adjustRightInd w:val="0"/>
              <w:rPr>
                <w:rFonts w:eastAsiaTheme="minorEastAsia" w:cstheme="majorHAnsi"/>
                <w:b/>
                <w:bCs/>
                <w:color w:val="000000"/>
                <w:szCs w:val="18"/>
                <w:lang w:eastAsia="en-AU"/>
              </w:rPr>
            </w:pPr>
            <w:r w:rsidRPr="00C34C81">
              <w:rPr>
                <w:rFonts w:eastAsiaTheme="minorEastAsia" w:cstheme="majorHAnsi"/>
                <w:b/>
                <w:bCs/>
                <w:color w:val="000000"/>
                <w:szCs w:val="18"/>
                <w:lang w:eastAsia="en-AU"/>
              </w:rPr>
              <w:t xml:space="preserve">Total other economic flows included in net result </w:t>
            </w:r>
            <w:r w:rsidRPr="00C34C81">
              <w:rPr>
                <w:rFonts w:eastAsiaTheme="minorEastAsia" w:cstheme="majorHAnsi"/>
                <w:b/>
                <w:bCs/>
                <w:color w:val="000000"/>
                <w:szCs w:val="18"/>
                <w:vertAlign w:val="superscript"/>
                <w:lang w:eastAsia="en-AU"/>
              </w:rPr>
              <w:t>(d)</w:t>
            </w:r>
          </w:p>
        </w:tc>
        <w:tc>
          <w:tcPr>
            <w:tcW w:w="850" w:type="dxa"/>
            <w:tcBorders>
              <w:top w:val="single" w:sz="6" w:space="0" w:color="auto"/>
              <w:left w:val="nil"/>
              <w:bottom w:val="single" w:sz="6" w:space="0" w:color="auto"/>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(233)</w:t>
            </w:r>
          </w:p>
        </w:tc>
        <w:tc>
          <w:tcPr>
            <w:tcW w:w="850" w:type="dxa"/>
            <w:tcBorders>
              <w:top w:val="single" w:sz="6" w:space="0" w:color="auto"/>
              <w:left w:val="nil"/>
              <w:bottom w:val="single" w:sz="6" w:space="0" w:color="auto"/>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(251)</w:t>
            </w:r>
          </w:p>
        </w:tc>
        <w:tc>
          <w:tcPr>
            <w:tcW w:w="850" w:type="dxa"/>
            <w:tcBorders>
              <w:top w:val="single" w:sz="6" w:space="0" w:color="auto"/>
              <w:left w:val="nil"/>
              <w:bottom w:val="single" w:sz="6" w:space="0" w:color="auto"/>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(265)</w:t>
            </w:r>
          </w:p>
        </w:tc>
        <w:tc>
          <w:tcPr>
            <w:tcW w:w="850" w:type="dxa"/>
            <w:tcBorders>
              <w:top w:val="single" w:sz="6" w:space="0" w:color="auto"/>
              <w:left w:val="nil"/>
              <w:bottom w:val="single" w:sz="6" w:space="0" w:color="auto"/>
              <w:right w:val="nil"/>
            </w:tcBorders>
          </w:tcPr>
          <w:p w:rsidR="00B32D50" w:rsidRPr="00C34C81"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(284)</w:t>
            </w:r>
          </w:p>
        </w:tc>
      </w:tr>
      <w:tr w:rsidR="00B32D50" w:rsidRPr="00C34C81"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B32D50" w:rsidRPr="00C34C81" w:rsidRDefault="00B32D50" w:rsidP="00F17BCD">
            <w:pPr>
              <w:keepLines w:val="0"/>
              <w:autoSpaceDE w:val="0"/>
              <w:autoSpaceDN w:val="0"/>
              <w:adjustRightInd w:val="0"/>
              <w:rPr>
                <w:rFonts w:eastAsiaTheme="minorEastAsia" w:cstheme="majorHAnsi"/>
                <w:bCs/>
                <w:color w:val="000000"/>
                <w:szCs w:val="18"/>
                <w:lang w:eastAsia="en-AU"/>
              </w:rPr>
            </w:pPr>
            <w:r w:rsidRPr="00C34C81">
              <w:rPr>
                <w:rFonts w:eastAsiaTheme="minorEastAsia" w:cstheme="majorHAnsi"/>
                <w:bCs/>
                <w:color w:val="000000"/>
                <w:szCs w:val="18"/>
                <w:lang w:eastAsia="en-AU"/>
              </w:rPr>
              <w:t>Net result</w:t>
            </w:r>
          </w:p>
        </w:tc>
        <w:tc>
          <w:tcPr>
            <w:tcW w:w="850" w:type="dxa"/>
            <w:tcBorders>
              <w:top w:val="single" w:sz="6" w:space="0" w:color="auto"/>
              <w:bottom w:val="single" w:sz="12" w:space="0" w:color="auto"/>
            </w:tcBorders>
          </w:tcPr>
          <w:p w:rsidR="00B32D50" w:rsidRPr="00C34C81"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C34C81">
              <w:rPr>
                <w:rFonts w:eastAsiaTheme="minorEastAsia" w:cstheme="majorHAnsi"/>
                <w:bCs/>
                <w:color w:val="000000"/>
                <w:szCs w:val="18"/>
                <w:lang w:eastAsia="en-AU"/>
              </w:rPr>
              <w:t>2 044</w:t>
            </w:r>
          </w:p>
        </w:tc>
        <w:tc>
          <w:tcPr>
            <w:tcW w:w="850" w:type="dxa"/>
            <w:tcBorders>
              <w:top w:val="single" w:sz="6" w:space="0" w:color="auto"/>
              <w:bottom w:val="single" w:sz="12" w:space="0" w:color="auto"/>
            </w:tcBorders>
          </w:tcPr>
          <w:p w:rsidR="00B32D50" w:rsidRPr="00C34C81"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C34C81">
              <w:rPr>
                <w:rFonts w:eastAsiaTheme="minorEastAsia" w:cstheme="majorHAnsi"/>
                <w:bCs/>
                <w:color w:val="000000"/>
                <w:szCs w:val="18"/>
                <w:lang w:eastAsia="en-AU"/>
              </w:rPr>
              <w:t>1 456</w:t>
            </w:r>
          </w:p>
        </w:tc>
        <w:tc>
          <w:tcPr>
            <w:tcW w:w="850" w:type="dxa"/>
            <w:tcBorders>
              <w:top w:val="single" w:sz="6" w:space="0" w:color="auto"/>
              <w:bottom w:val="single" w:sz="12" w:space="0" w:color="auto"/>
            </w:tcBorders>
          </w:tcPr>
          <w:p w:rsidR="00B32D50" w:rsidRPr="00C34C81"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C34C81">
              <w:rPr>
                <w:rFonts w:eastAsiaTheme="minorEastAsia" w:cstheme="majorHAnsi"/>
                <w:bCs/>
                <w:color w:val="000000"/>
                <w:szCs w:val="18"/>
                <w:lang w:eastAsia="en-AU"/>
              </w:rPr>
              <w:t>2 392</w:t>
            </w:r>
          </w:p>
        </w:tc>
        <w:tc>
          <w:tcPr>
            <w:tcW w:w="850" w:type="dxa"/>
            <w:tcBorders>
              <w:top w:val="single" w:sz="6" w:space="0" w:color="auto"/>
              <w:bottom w:val="single" w:sz="12" w:space="0" w:color="auto"/>
            </w:tcBorders>
          </w:tcPr>
          <w:p w:rsidR="00B32D50" w:rsidRPr="00C34C81"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C34C81">
              <w:rPr>
                <w:rFonts w:eastAsiaTheme="minorEastAsia" w:cstheme="majorHAnsi"/>
                <w:bCs/>
                <w:color w:val="000000"/>
                <w:szCs w:val="18"/>
                <w:lang w:eastAsia="en-AU"/>
              </w:rPr>
              <w:t>2 706</w:t>
            </w:r>
          </w:p>
        </w:tc>
      </w:tr>
    </w:tbl>
    <w:p w:rsidR="00B32D50" w:rsidRPr="00C203E5" w:rsidRDefault="00B32D50" w:rsidP="00F17BCD">
      <w:pPr>
        <w:pStyle w:val="Source"/>
      </w:pPr>
      <w:r w:rsidRPr="00C203E5">
        <w:t>Source: Department of Treasury and Finance</w:t>
      </w:r>
    </w:p>
    <w:p w:rsidR="00B32D50" w:rsidRPr="00C203E5" w:rsidRDefault="00B32D50" w:rsidP="00F17BCD">
      <w:pPr>
        <w:pStyle w:val="Note"/>
      </w:pPr>
      <w:r w:rsidRPr="00C203E5">
        <w:t>Notes:</w:t>
      </w:r>
    </w:p>
    <w:p w:rsidR="00B32D50" w:rsidRPr="00C203E5" w:rsidRDefault="00B32D50" w:rsidP="00F17BCD">
      <w:pPr>
        <w:pStyle w:val="Note"/>
      </w:pPr>
      <w:r w:rsidRPr="00C203E5">
        <w:t xml:space="preserve">(a) </w:t>
      </w:r>
      <w:r w:rsidRPr="00C203E5">
        <w:tab/>
        <w:t>Figures in this table are subject to rounding to the nearest</w:t>
      </w:r>
      <w:r>
        <w:t> million</w:t>
      </w:r>
      <w:r w:rsidRPr="00C203E5">
        <w:t xml:space="preserve"> and may not add up to totals.</w:t>
      </w:r>
    </w:p>
    <w:p w:rsidR="00B32D50" w:rsidRPr="00C203E5" w:rsidRDefault="00B32D50" w:rsidP="00F17BCD">
      <w:pPr>
        <w:pStyle w:val="Note"/>
      </w:pPr>
      <w:r w:rsidRPr="00C203E5">
        <w:t xml:space="preserve">(b) </w:t>
      </w:r>
      <w:r w:rsidRPr="00C203E5">
        <w:tab/>
        <w:t>Comprises dividends, income tax and rate equivalent revenue and interest.</w:t>
      </w:r>
    </w:p>
    <w:p w:rsidR="00B32D50" w:rsidRPr="00C203E5" w:rsidRDefault="00B32D50" w:rsidP="00F17BCD">
      <w:pPr>
        <w:pStyle w:val="Note"/>
      </w:pPr>
      <w:r>
        <w:t>(c</w:t>
      </w:r>
      <w:r w:rsidRPr="00C203E5">
        <w:t>)</w:t>
      </w:r>
      <w:r w:rsidRPr="00C203E5">
        <w:tab/>
        <w:t>Comprises superannuation interest expense and other superannuation expenses.</w:t>
      </w:r>
    </w:p>
    <w:p w:rsidR="00B32D50" w:rsidRDefault="00B32D50" w:rsidP="00F17BCD">
      <w:pPr>
        <w:pStyle w:val="Note"/>
      </w:pPr>
      <w:r w:rsidRPr="00C203E5">
        <w:t>(</w:t>
      </w:r>
      <w:r>
        <w:t>d</w:t>
      </w:r>
      <w:r w:rsidRPr="00C203E5">
        <w:t xml:space="preserve">) </w:t>
      </w:r>
      <w:r w:rsidRPr="00C203E5">
        <w:tab/>
        <w:t>This typically includes gains and losses from the disposal of non</w:t>
      </w:r>
      <w:r w:rsidRPr="00C203E5">
        <w:noBreakHyphen/>
        <w:t>financial assets, adjustments for bad and doubtful debts and revaluations of financial assets and liabilities.</w:t>
      </w:r>
    </w:p>
    <w:p w:rsidR="00B32D50" w:rsidRDefault="00B32D50">
      <w:pPr>
        <w:keepLines w:val="0"/>
        <w:rPr>
          <w:rFonts w:asciiTheme="majorHAnsi" w:hAnsiTheme="majorHAnsi" w:cstheme="majorBidi"/>
          <w:b/>
          <w:spacing w:val="-2"/>
          <w:sz w:val="26"/>
          <w:szCs w:val="26"/>
        </w:rPr>
      </w:pPr>
      <w:r>
        <w:br w:type="page"/>
      </w:r>
    </w:p>
    <w:p w:rsidR="00B32D50" w:rsidRPr="00C203E5" w:rsidRDefault="00B32D50" w:rsidP="00F17BCD">
      <w:pPr>
        <w:pStyle w:val="Heading20"/>
        <w:rPr>
          <w:rFonts w:eastAsiaTheme="minorHAnsi"/>
        </w:rPr>
      </w:pPr>
      <w:r w:rsidRPr="00C203E5">
        <w:rPr>
          <w:rFonts w:eastAsiaTheme="minorHAnsi"/>
        </w:rPr>
        <w:lastRenderedPageBreak/>
        <w:t>Revenue outlook</w:t>
      </w:r>
    </w:p>
    <w:p w:rsidR="00B32D50" w:rsidRPr="00C203E5" w:rsidRDefault="00B32D50" w:rsidP="00F17BCD">
      <w:r w:rsidRPr="008C03EC">
        <w:t>T</w:t>
      </w:r>
      <w:r>
        <w:t>otal revenue for the g</w:t>
      </w:r>
      <w:r w:rsidRPr="00C203E5">
        <w:t xml:space="preserve">eneral government sector is expected to </w:t>
      </w:r>
      <w:r>
        <w:t>be</w:t>
      </w:r>
      <w:r w:rsidRPr="00C203E5">
        <w:t xml:space="preserve"> $</w:t>
      </w:r>
      <w:r>
        <w:t>69.8 billion</w:t>
      </w:r>
      <w:r w:rsidRPr="00C203E5">
        <w:t xml:space="preserve"> in 2018</w:t>
      </w:r>
      <w:r w:rsidRPr="00C203E5">
        <w:noBreakHyphen/>
        <w:t>19, with revenue growth projected to average 4.</w:t>
      </w:r>
      <w:r>
        <w:t>1</w:t>
      </w:r>
      <w:r w:rsidRPr="00C203E5">
        <w:t> per cent a year over the budget and forward estimates.</w:t>
      </w:r>
    </w:p>
    <w:p w:rsidR="00B32D50" w:rsidRPr="00C203E5" w:rsidRDefault="00B32D50" w:rsidP="00F17BCD">
      <w:pPr>
        <w:pStyle w:val="Heading30"/>
        <w:rPr>
          <w:rFonts w:eastAsiaTheme="minorHAnsi"/>
        </w:rPr>
      </w:pPr>
      <w:r w:rsidRPr="00C203E5">
        <w:rPr>
          <w:rFonts w:eastAsiaTheme="minorHAnsi"/>
        </w:rPr>
        <w:t>Taxation</w:t>
      </w:r>
    </w:p>
    <w:p w:rsidR="00B32D50" w:rsidRPr="004F3096" w:rsidRDefault="00B32D50" w:rsidP="00F17BCD">
      <w:r w:rsidRPr="000244D1">
        <w:rPr>
          <w:rFonts w:cstheme="minorHAnsi"/>
          <w:color w:val="000000"/>
        </w:rPr>
        <w:t>Taxation revenue is forecast to be $24.</w:t>
      </w:r>
      <w:r>
        <w:rPr>
          <w:rFonts w:cstheme="minorHAnsi"/>
          <w:color w:val="000000"/>
        </w:rPr>
        <w:t>1</w:t>
      </w:r>
      <w:r w:rsidRPr="000244D1">
        <w:rPr>
          <w:rFonts w:cstheme="minorHAnsi"/>
          <w:color w:val="000000"/>
        </w:rPr>
        <w:t xml:space="preserve"> billion in 2018-19</w:t>
      </w:r>
      <w:r>
        <w:rPr>
          <w:rFonts w:cstheme="minorHAnsi"/>
          <w:color w:val="000000"/>
        </w:rPr>
        <w:t>, with t</w:t>
      </w:r>
      <w:r w:rsidRPr="000244D1">
        <w:rPr>
          <w:rFonts w:cstheme="minorHAnsi"/>
          <w:color w:val="000000"/>
        </w:rPr>
        <w:t xml:space="preserve">he </w:t>
      </w:r>
      <w:r>
        <w:rPr>
          <w:rFonts w:cstheme="minorHAnsi"/>
          <w:color w:val="000000"/>
        </w:rPr>
        <w:t>rate of growth in property related taxes forecast to decelerate.</w:t>
      </w:r>
      <w:r w:rsidRPr="000244D1" w:rsidDel="005122BF">
        <w:rPr>
          <w:rFonts w:cstheme="minorHAnsi"/>
          <w:color w:val="000000"/>
        </w:rPr>
        <w:t xml:space="preserve"> </w:t>
      </w:r>
      <w:r>
        <w:rPr>
          <w:rFonts w:cstheme="minorHAnsi"/>
          <w:color w:val="000000"/>
        </w:rPr>
        <w:t>Residential p</w:t>
      </w:r>
      <w:r w:rsidRPr="00F15FB7">
        <w:rPr>
          <w:rFonts w:cstheme="minorHAnsi"/>
          <w:color w:val="000000"/>
        </w:rPr>
        <w:t xml:space="preserve">roperty market conditions in 2018 </w:t>
      </w:r>
      <w:r>
        <w:rPr>
          <w:rFonts w:cstheme="minorHAnsi"/>
          <w:color w:val="000000"/>
        </w:rPr>
        <w:t>have weakened</w:t>
      </w:r>
      <w:r w:rsidRPr="00F15FB7">
        <w:rPr>
          <w:rFonts w:cstheme="minorHAnsi"/>
          <w:color w:val="000000"/>
        </w:rPr>
        <w:t xml:space="preserve"> </w:t>
      </w:r>
      <w:r>
        <w:rPr>
          <w:rFonts w:cstheme="minorHAnsi"/>
          <w:color w:val="000000"/>
        </w:rPr>
        <w:t xml:space="preserve">after several years of strong growth in prices and volume. </w:t>
      </w:r>
      <w:r w:rsidRPr="004F3096">
        <w:t>Specifically:</w:t>
      </w:r>
    </w:p>
    <w:p w:rsidR="00B32D50" w:rsidRPr="004F3096" w:rsidRDefault="00B32D50" w:rsidP="00B32D50">
      <w:pPr>
        <w:pStyle w:val="ListBullet"/>
        <w:numPr>
          <w:ilvl w:val="0"/>
          <w:numId w:val="20"/>
        </w:numPr>
      </w:pPr>
      <w:r w:rsidRPr="004F3096">
        <w:t xml:space="preserve">land transfer duty revenue is </w:t>
      </w:r>
      <w:r>
        <w:t>forecast</w:t>
      </w:r>
      <w:r w:rsidRPr="004F3096">
        <w:t xml:space="preserve"> to decline by </w:t>
      </w:r>
      <w:r>
        <w:t>6</w:t>
      </w:r>
      <w:r w:rsidRPr="004F3096">
        <w:t xml:space="preserve">.8 per cent to </w:t>
      </w:r>
      <w:r w:rsidRPr="00955B02">
        <w:t>$</w:t>
      </w:r>
      <w:r>
        <w:t>6.5</w:t>
      </w:r>
      <w:r w:rsidRPr="004F3096">
        <w:t> billion in 2018</w:t>
      </w:r>
      <w:r w:rsidRPr="004F3096">
        <w:noBreakHyphen/>
        <w:t xml:space="preserve">19 and </w:t>
      </w:r>
      <w:r>
        <w:t>grow</w:t>
      </w:r>
      <w:r w:rsidRPr="004F3096">
        <w:t xml:space="preserve"> </w:t>
      </w:r>
      <w:r>
        <w:t xml:space="preserve">by only 2.1 per cent in 2019-20. Growth in land transfer duty is expected </w:t>
      </w:r>
      <w:r w:rsidRPr="004F3096">
        <w:t xml:space="preserve">to average 3.5 per cent each year over the forward estimates. </w:t>
      </w:r>
      <w:r>
        <w:t xml:space="preserve">This forecast reflects a weaker </w:t>
      </w:r>
      <w:r w:rsidRPr="004F3096">
        <w:t xml:space="preserve">outlook for the </w:t>
      </w:r>
      <w:r>
        <w:t xml:space="preserve">residential </w:t>
      </w:r>
      <w:r w:rsidRPr="004F3096">
        <w:t>property market</w:t>
      </w:r>
      <w:r>
        <w:t xml:space="preserve"> in the near term</w:t>
      </w:r>
      <w:r w:rsidRPr="00AC2B0C">
        <w:t>, coinciding</w:t>
      </w:r>
      <w:r>
        <w:t xml:space="preserve"> with lower auction clearance rates, tightening credit conditions, moderating property prices and transaction volumes, and out-of-cycle mortgage rate rises</w:t>
      </w:r>
      <w:r w:rsidRPr="004F3096">
        <w:t>;</w:t>
      </w:r>
      <w:r>
        <w:t xml:space="preserve"> and</w:t>
      </w:r>
    </w:p>
    <w:p w:rsidR="00B32D50" w:rsidRPr="007B6C98" w:rsidRDefault="00B32D50" w:rsidP="00B32D50">
      <w:pPr>
        <w:pStyle w:val="ListBullet"/>
        <w:numPr>
          <w:ilvl w:val="0"/>
          <w:numId w:val="20"/>
        </w:numPr>
      </w:pPr>
      <w:r w:rsidRPr="004F3096">
        <w:rPr>
          <w:rFonts w:cstheme="minorHAnsi"/>
          <w:color w:val="000000"/>
        </w:rPr>
        <w:t>land tax</w:t>
      </w:r>
      <w:r>
        <w:rPr>
          <w:rFonts w:cstheme="minorHAnsi"/>
          <w:color w:val="000000"/>
        </w:rPr>
        <w:t xml:space="preserve"> revenue</w:t>
      </w:r>
      <w:r w:rsidRPr="004F3096">
        <w:rPr>
          <w:rFonts w:cstheme="minorHAnsi"/>
          <w:color w:val="000000"/>
        </w:rPr>
        <w:t xml:space="preserve"> </w:t>
      </w:r>
      <w:r>
        <w:rPr>
          <w:rFonts w:cstheme="minorHAnsi"/>
          <w:color w:val="000000"/>
        </w:rPr>
        <w:t>is</w:t>
      </w:r>
      <w:r w:rsidRPr="004F3096">
        <w:rPr>
          <w:rFonts w:cstheme="minorHAnsi"/>
          <w:color w:val="000000"/>
        </w:rPr>
        <w:t xml:space="preserve"> forecast to increase to $3.4 billion in 2018-19</w:t>
      </w:r>
      <w:r w:rsidR="00DC0E8D">
        <w:rPr>
          <w:rFonts w:cstheme="minorHAnsi"/>
          <w:color w:val="000000"/>
        </w:rPr>
        <w:t xml:space="preserve">, reflecting </w:t>
      </w:r>
      <w:r>
        <w:rPr>
          <w:rFonts w:cstheme="minorHAnsi"/>
          <w:color w:val="000000"/>
        </w:rPr>
        <w:t>rising residential and commercial property values and an increase in the number of liable properties between</w:t>
      </w:r>
      <w:r w:rsidRPr="004F3096">
        <w:rPr>
          <w:rFonts w:cstheme="minorHAnsi"/>
          <w:color w:val="000000"/>
        </w:rPr>
        <w:t xml:space="preserve"> </w:t>
      </w:r>
      <w:r>
        <w:rPr>
          <w:rFonts w:cstheme="minorHAnsi"/>
          <w:color w:val="000000"/>
        </w:rPr>
        <w:t>1 January 2016 and 31 </w:t>
      </w:r>
      <w:r w:rsidRPr="004F3096">
        <w:rPr>
          <w:rFonts w:cstheme="minorHAnsi"/>
          <w:color w:val="000000"/>
        </w:rPr>
        <w:t>December 2017</w:t>
      </w:r>
      <w:r>
        <w:rPr>
          <w:rFonts w:cstheme="minorHAnsi"/>
          <w:color w:val="000000"/>
        </w:rPr>
        <w:t>. Land t</w:t>
      </w:r>
      <w:r w:rsidRPr="004F3096">
        <w:rPr>
          <w:rFonts w:cstheme="minorHAnsi"/>
          <w:color w:val="000000"/>
        </w:rPr>
        <w:t xml:space="preserve">ax </w:t>
      </w:r>
      <w:r>
        <w:rPr>
          <w:rFonts w:cstheme="minorHAnsi"/>
          <w:color w:val="000000"/>
        </w:rPr>
        <w:t xml:space="preserve">revenue </w:t>
      </w:r>
      <w:r w:rsidRPr="004F3096">
        <w:rPr>
          <w:rFonts w:cstheme="minorHAnsi"/>
          <w:color w:val="000000"/>
        </w:rPr>
        <w:t>growth is projected to moder</w:t>
      </w:r>
      <w:r>
        <w:rPr>
          <w:rFonts w:cstheme="minorHAnsi"/>
          <w:color w:val="000000"/>
        </w:rPr>
        <w:t xml:space="preserve">ate over the forward estimates </w:t>
      </w:r>
      <w:r w:rsidRPr="004F3096">
        <w:rPr>
          <w:rFonts w:cstheme="minorHAnsi"/>
          <w:color w:val="000000"/>
        </w:rPr>
        <w:t>as current property market conditions flow through to land valuations</w:t>
      </w:r>
      <w:r>
        <w:rPr>
          <w:rFonts w:cstheme="minorHAnsi"/>
          <w:color w:val="000000"/>
        </w:rPr>
        <w:t>.</w:t>
      </w:r>
    </w:p>
    <w:p w:rsidR="00B32D50" w:rsidRDefault="00B32D50" w:rsidP="00F17BCD">
      <w:r w:rsidRPr="004F3096">
        <w:t xml:space="preserve">Taxation </w:t>
      </w:r>
      <w:r>
        <w:t xml:space="preserve">revenue </w:t>
      </w:r>
      <w:r w:rsidRPr="004F3096">
        <w:t xml:space="preserve">from sources other than property is expected to increase at a steady </w:t>
      </w:r>
      <w:r>
        <w:t>rate</w:t>
      </w:r>
      <w:r w:rsidRPr="004F3096">
        <w:t xml:space="preserve"> over the forward estimates period. </w:t>
      </w:r>
      <w:r w:rsidRPr="004F3096">
        <w:rPr>
          <w:rFonts w:cstheme="minorHAnsi"/>
          <w:color w:val="000000"/>
        </w:rPr>
        <w:t xml:space="preserve">Strong economic growth in Victoria is translating into tighter labour market conditions </w:t>
      </w:r>
      <w:r>
        <w:rPr>
          <w:rFonts w:cstheme="minorHAnsi"/>
          <w:color w:val="000000"/>
        </w:rPr>
        <w:t>and</w:t>
      </w:r>
      <w:r w:rsidRPr="004F3096">
        <w:rPr>
          <w:rFonts w:cstheme="minorHAnsi"/>
          <w:color w:val="000000"/>
        </w:rPr>
        <w:t xml:space="preserve"> strengthening wage and income growth.</w:t>
      </w:r>
      <w:r w:rsidRPr="004F3096">
        <w:t xml:space="preserve"> </w:t>
      </w:r>
      <w:r>
        <w:t>Specifically:</w:t>
      </w:r>
    </w:p>
    <w:p w:rsidR="00B32D50" w:rsidRPr="004F3096" w:rsidRDefault="00B32D50" w:rsidP="00B32D50">
      <w:pPr>
        <w:pStyle w:val="ListBullet"/>
        <w:numPr>
          <w:ilvl w:val="0"/>
          <w:numId w:val="20"/>
        </w:numPr>
      </w:pPr>
      <w:r w:rsidRPr="007B6C98">
        <w:t xml:space="preserve">payroll tax revenue is forecast to grow by </w:t>
      </w:r>
      <w:r>
        <w:t>6.1</w:t>
      </w:r>
      <w:r w:rsidRPr="007B6C98">
        <w:t xml:space="preserve"> per cent in 2018-19 to $6.</w:t>
      </w:r>
      <w:r>
        <w:t>3</w:t>
      </w:r>
      <w:r w:rsidRPr="007B6C98">
        <w:t xml:space="preserve"> billion, and increase by </w:t>
      </w:r>
      <w:r>
        <w:t xml:space="preserve">an average of </w:t>
      </w:r>
      <w:r w:rsidRPr="007B6C98">
        <w:t>4.</w:t>
      </w:r>
      <w:r>
        <w:t>6</w:t>
      </w:r>
      <w:r w:rsidRPr="007B6C98">
        <w:t xml:space="preserve"> per cent per annum over the forward estimates. Higher payroll </w:t>
      </w:r>
      <w:r>
        <w:t xml:space="preserve">tax </w:t>
      </w:r>
      <w:r w:rsidRPr="007B6C98">
        <w:t>revenue is supported by a strengthening outlook for full-time employment and wage growth</w:t>
      </w:r>
      <w:r w:rsidRPr="004F3096">
        <w:t>;</w:t>
      </w:r>
    </w:p>
    <w:p w:rsidR="00B32D50" w:rsidRPr="004F3096" w:rsidRDefault="00B32D50" w:rsidP="00B32D50">
      <w:pPr>
        <w:pStyle w:val="ListBullet"/>
        <w:numPr>
          <w:ilvl w:val="0"/>
          <w:numId w:val="20"/>
        </w:numPr>
      </w:pPr>
      <w:r w:rsidRPr="004F3096">
        <w:rPr>
          <w:rFonts w:cstheme="minorHAnsi"/>
          <w:color w:val="000000"/>
        </w:rPr>
        <w:t>gambling tax</w:t>
      </w:r>
      <w:r>
        <w:rPr>
          <w:rFonts w:cstheme="minorHAnsi"/>
          <w:color w:val="000000"/>
        </w:rPr>
        <w:t xml:space="preserve"> revenue</w:t>
      </w:r>
      <w:r w:rsidRPr="004F3096">
        <w:rPr>
          <w:rFonts w:cstheme="minorHAnsi"/>
          <w:color w:val="000000"/>
        </w:rPr>
        <w:t xml:space="preserve"> </w:t>
      </w:r>
      <w:r>
        <w:rPr>
          <w:rFonts w:cstheme="minorHAnsi"/>
          <w:color w:val="000000"/>
        </w:rPr>
        <w:t>is</w:t>
      </w:r>
      <w:r w:rsidRPr="004F3096">
        <w:rPr>
          <w:rFonts w:cstheme="minorHAnsi"/>
          <w:color w:val="000000"/>
        </w:rPr>
        <w:t xml:space="preserve"> forecast to grow to $1.9 billion in 2018-19. Forecasts incorporate additional revenue from the new lottery licence effective from 1</w:t>
      </w:r>
      <w:r>
        <w:rPr>
          <w:rFonts w:cstheme="minorHAnsi"/>
          <w:color w:val="000000"/>
        </w:rPr>
        <w:t> </w:t>
      </w:r>
      <w:r w:rsidRPr="004F3096">
        <w:rPr>
          <w:rFonts w:cstheme="minorHAnsi"/>
          <w:color w:val="000000"/>
        </w:rPr>
        <w:t>July 2018, and from the new p</w:t>
      </w:r>
      <w:r>
        <w:rPr>
          <w:rFonts w:cstheme="minorHAnsi"/>
          <w:color w:val="000000"/>
        </w:rPr>
        <w:t>oint</w:t>
      </w:r>
      <w:r w:rsidRPr="004F3096">
        <w:rPr>
          <w:rFonts w:cstheme="minorHAnsi"/>
          <w:color w:val="000000"/>
        </w:rPr>
        <w:t xml:space="preserve"> of consumption tax (POCT) on wagering, </w:t>
      </w:r>
      <w:r>
        <w:rPr>
          <w:rFonts w:cstheme="minorHAnsi"/>
          <w:color w:val="000000"/>
        </w:rPr>
        <w:t>effective from 1 January 2019 that</w:t>
      </w:r>
      <w:r w:rsidRPr="004F3096">
        <w:rPr>
          <w:rFonts w:cstheme="minorHAnsi"/>
          <w:color w:val="000000"/>
        </w:rPr>
        <w:t xml:space="preserve"> replace</w:t>
      </w:r>
      <w:r>
        <w:rPr>
          <w:rFonts w:cstheme="minorHAnsi"/>
          <w:color w:val="000000"/>
        </w:rPr>
        <w:t>s</w:t>
      </w:r>
      <w:r w:rsidRPr="004F3096">
        <w:rPr>
          <w:rFonts w:cstheme="minorHAnsi"/>
          <w:color w:val="000000"/>
        </w:rPr>
        <w:t xml:space="preserve"> the current wagering tax framework. Over the forward estimates, growth is expec</w:t>
      </w:r>
      <w:r>
        <w:rPr>
          <w:rFonts w:cstheme="minorHAnsi"/>
          <w:color w:val="000000"/>
        </w:rPr>
        <w:t>ted to average 1.7 per cent per </w:t>
      </w:r>
      <w:r w:rsidRPr="004F3096">
        <w:rPr>
          <w:rFonts w:cstheme="minorHAnsi"/>
          <w:color w:val="000000"/>
        </w:rPr>
        <w:t>annum;</w:t>
      </w:r>
    </w:p>
    <w:p w:rsidR="00B32D50" w:rsidRPr="004F3096" w:rsidRDefault="00B32D50" w:rsidP="00B32D50">
      <w:pPr>
        <w:pStyle w:val="ListBullet"/>
        <w:numPr>
          <w:ilvl w:val="0"/>
          <w:numId w:val="20"/>
        </w:numPr>
      </w:pPr>
      <w:r w:rsidRPr="004F3096">
        <w:t xml:space="preserve">insurance tax revenue is </w:t>
      </w:r>
      <w:r>
        <w:t>forecast</w:t>
      </w:r>
      <w:r w:rsidRPr="004F3096">
        <w:t xml:space="preserve"> to grow to $1.4 billion in 2018</w:t>
      </w:r>
      <w:r w:rsidRPr="004F3096">
        <w:noBreakHyphen/>
        <w:t>19</w:t>
      </w:r>
      <w:r>
        <w:t>,</w:t>
      </w:r>
      <w:r w:rsidRPr="004F3096">
        <w:t xml:space="preserve"> </w:t>
      </w:r>
      <w:r>
        <w:t>reflecting</w:t>
      </w:r>
      <w:r w:rsidRPr="004F3096">
        <w:t xml:space="preserve"> </w:t>
      </w:r>
      <w:r w:rsidRPr="004F3096">
        <w:rPr>
          <w:rFonts w:cstheme="minorHAnsi"/>
          <w:color w:val="000000"/>
        </w:rPr>
        <w:t>strong premium growth</w:t>
      </w:r>
      <w:r>
        <w:rPr>
          <w:rFonts w:cstheme="minorHAnsi"/>
          <w:color w:val="000000"/>
        </w:rPr>
        <w:t xml:space="preserve"> across most insurance products</w:t>
      </w:r>
      <w:r w:rsidRPr="004F3096">
        <w:t>; and</w:t>
      </w:r>
    </w:p>
    <w:p w:rsidR="00B32D50" w:rsidRPr="00165407" w:rsidRDefault="00B32D50" w:rsidP="00B32D50">
      <w:pPr>
        <w:pStyle w:val="ListBullet"/>
        <w:numPr>
          <w:ilvl w:val="0"/>
          <w:numId w:val="20"/>
        </w:numPr>
      </w:pPr>
      <w:r w:rsidRPr="004F3096">
        <w:t>motor vehicle tax</w:t>
      </w:r>
      <w:r>
        <w:t xml:space="preserve"> revenue</w:t>
      </w:r>
      <w:r w:rsidRPr="004F3096">
        <w:t xml:space="preserve"> </w:t>
      </w:r>
      <w:r>
        <w:t>is</w:t>
      </w:r>
      <w:r w:rsidRPr="004F3096">
        <w:t xml:space="preserve"> </w:t>
      </w:r>
      <w:r>
        <w:t>forecast</w:t>
      </w:r>
      <w:r w:rsidRPr="004F3096">
        <w:t xml:space="preserve"> to grow to $2.7 billion in 2018</w:t>
      </w:r>
      <w:r w:rsidRPr="004F3096">
        <w:noBreakHyphen/>
        <w:t>19</w:t>
      </w:r>
      <w:r>
        <w:rPr>
          <w:rFonts w:cstheme="minorHAnsi"/>
          <w:color w:val="000000"/>
        </w:rPr>
        <w:t>.</w:t>
      </w:r>
    </w:p>
    <w:p w:rsidR="00B32D50" w:rsidRDefault="00B32D50">
      <w:pPr>
        <w:keepLines w:val="0"/>
        <w:rPr>
          <w:rFonts w:cstheme="minorHAnsi"/>
          <w:color w:val="000000"/>
        </w:rPr>
      </w:pPr>
      <w:r>
        <w:rPr>
          <w:rFonts w:cstheme="minorHAnsi"/>
          <w:color w:val="000000"/>
        </w:rPr>
        <w:br w:type="page"/>
      </w:r>
    </w:p>
    <w:p w:rsidR="00B32D50" w:rsidRPr="00C203E5" w:rsidRDefault="00B32D50" w:rsidP="00F17BCD">
      <w:pPr>
        <w:pStyle w:val="Heading30"/>
        <w:spacing w:before="200"/>
        <w:rPr>
          <w:rFonts w:eastAsiaTheme="minorHAnsi"/>
        </w:rPr>
      </w:pPr>
      <w:r w:rsidRPr="00C203E5">
        <w:rPr>
          <w:rFonts w:eastAsiaTheme="minorHAnsi"/>
        </w:rPr>
        <w:lastRenderedPageBreak/>
        <w:t>Dividends, income tax equivalent and interest</w:t>
      </w:r>
    </w:p>
    <w:p w:rsidR="00B32D50" w:rsidRPr="00C203E5" w:rsidRDefault="00B32D50" w:rsidP="00F17BCD">
      <w:r w:rsidRPr="00C203E5">
        <w:t>Dividen</w:t>
      </w:r>
      <w:r>
        <w:t>d and income tax equivalent</w:t>
      </w:r>
      <w:r w:rsidRPr="00C203E5">
        <w:t xml:space="preserve"> revenue is projected to be $</w:t>
      </w:r>
      <w:r>
        <w:t>1.1 billion</w:t>
      </w:r>
      <w:r w:rsidRPr="00C203E5">
        <w:t xml:space="preserve"> in 2018</w:t>
      </w:r>
      <w:r w:rsidRPr="00C203E5">
        <w:noBreakHyphen/>
        <w:t xml:space="preserve">19 and </w:t>
      </w:r>
      <w:r>
        <w:t>average $582 million across the forward estimates.</w:t>
      </w:r>
      <w:r w:rsidRPr="00C203E5">
        <w:t xml:space="preserve"> The </w:t>
      </w:r>
      <w:r>
        <w:t xml:space="preserve">higher revenue in 2018-19 is largely due </w:t>
      </w:r>
      <w:r w:rsidRPr="00C203E5">
        <w:t>to dividends received from the Victorian Managed Insurance Authority.</w:t>
      </w:r>
    </w:p>
    <w:p w:rsidR="00B32D50" w:rsidRPr="00C203E5" w:rsidRDefault="00B32D50" w:rsidP="00F17BCD">
      <w:r w:rsidRPr="00C203E5">
        <w:t>Interest income is earned on holdings of cash and deposits. Total interest income is expected to be $8</w:t>
      </w:r>
      <w:r>
        <w:t>18 million</w:t>
      </w:r>
      <w:r w:rsidRPr="00C203E5">
        <w:t xml:space="preserve"> in 2018</w:t>
      </w:r>
      <w:r w:rsidRPr="00C203E5">
        <w:noBreakHyphen/>
        <w:t xml:space="preserve">19, and </w:t>
      </w:r>
      <w:r>
        <w:t xml:space="preserve">is forecast to </w:t>
      </w:r>
      <w:r w:rsidRPr="00C203E5">
        <w:t xml:space="preserve">decline by an average of </w:t>
      </w:r>
      <w:r>
        <w:t>2.8</w:t>
      </w:r>
      <w:r w:rsidRPr="00C203E5">
        <w:t> per cent a year over the following three years</w:t>
      </w:r>
      <w:r>
        <w:t>,</w:t>
      </w:r>
      <w:r w:rsidRPr="00C203E5">
        <w:t xml:space="preserve"> as money is drawn down from the Victorian Transport Fund to fund infrastructure.</w:t>
      </w:r>
    </w:p>
    <w:p w:rsidR="00B32D50" w:rsidRPr="00C203E5" w:rsidRDefault="00B32D50" w:rsidP="00F17BCD">
      <w:pPr>
        <w:pStyle w:val="Heading30"/>
        <w:spacing w:before="180"/>
        <w:rPr>
          <w:rFonts w:eastAsiaTheme="minorHAnsi"/>
        </w:rPr>
      </w:pPr>
      <w:r w:rsidRPr="00C203E5">
        <w:rPr>
          <w:rFonts w:eastAsiaTheme="minorHAnsi"/>
        </w:rPr>
        <w:t>Sales of goods and services</w:t>
      </w:r>
    </w:p>
    <w:p w:rsidR="00B32D50" w:rsidRDefault="00B32D50" w:rsidP="00F17BCD">
      <w:r w:rsidRPr="00C203E5">
        <w:t xml:space="preserve">Revenue from the sales of goods and services is expected to </w:t>
      </w:r>
      <w:r>
        <w:t>be $7.6 billion in 2018</w:t>
      </w:r>
      <w:r>
        <w:noBreakHyphen/>
        <w:t>19</w:t>
      </w:r>
      <w:r w:rsidRPr="00C203E5">
        <w:t>. Over the forward estimates, growth is expected to average 4.</w:t>
      </w:r>
      <w:r>
        <w:t>7</w:t>
      </w:r>
      <w:r w:rsidRPr="00C203E5">
        <w:t> per cent a year. This growth largely reflects increase</w:t>
      </w:r>
      <w:r>
        <w:t>s</w:t>
      </w:r>
      <w:r w:rsidRPr="00C203E5">
        <w:t xml:space="preserve"> in the capital asset charge revenue from VicTrack associated wit</w:t>
      </w:r>
      <w:r>
        <w:t>h an increase in its asset base,</w:t>
      </w:r>
      <w:r w:rsidRPr="003C6481">
        <w:t xml:space="preserve"> TAFE fees for service and </w:t>
      </w:r>
      <w:r>
        <w:t xml:space="preserve">hospital patient </w:t>
      </w:r>
      <w:r w:rsidRPr="003C6481">
        <w:t>fees</w:t>
      </w:r>
      <w:r w:rsidRPr="00C203E5">
        <w:t>.</w:t>
      </w:r>
    </w:p>
    <w:p w:rsidR="00B32D50" w:rsidRPr="00C203E5" w:rsidRDefault="00B32D50" w:rsidP="00F17BCD">
      <w:pPr>
        <w:pStyle w:val="Heading30"/>
        <w:spacing w:before="180"/>
      </w:pPr>
      <w:r w:rsidRPr="00C203E5">
        <w:rPr>
          <w:rFonts w:eastAsiaTheme="minorHAnsi"/>
        </w:rPr>
        <w:t>Grants</w:t>
      </w:r>
    </w:p>
    <w:p w:rsidR="00B32D50" w:rsidRPr="00C203E5" w:rsidRDefault="00B32D50" w:rsidP="00F17BCD">
      <w:r>
        <w:t>In 2018-19, t</w:t>
      </w:r>
      <w:r w:rsidRPr="00C203E5">
        <w:t xml:space="preserve">otal grants revenue is expected to grow by </w:t>
      </w:r>
      <w:r>
        <w:t>12.0</w:t>
      </w:r>
      <w:r w:rsidRPr="00C203E5">
        <w:t> per cent to $33.</w:t>
      </w:r>
      <w:r>
        <w:t>5 billion,</w:t>
      </w:r>
      <w:r w:rsidRPr="00C203E5">
        <w:t xml:space="preserve"> </w:t>
      </w:r>
      <w:r>
        <w:t>largely due to</w:t>
      </w:r>
      <w:r w:rsidRPr="00C203E5">
        <w:t xml:space="preserve"> </w:t>
      </w:r>
      <w:r>
        <w:t xml:space="preserve">an expected increase in </w:t>
      </w:r>
      <w:r w:rsidRPr="00C203E5">
        <w:t xml:space="preserve">GST revenue, which is anticipated to grow by </w:t>
      </w:r>
      <w:r>
        <w:t>8.1</w:t>
      </w:r>
      <w:r w:rsidRPr="00C203E5">
        <w:t> per cent to $1</w:t>
      </w:r>
      <w:r>
        <w:t>6.9 billion, along with expected payments to be received under the DisabilityCare Australia Fund (DCAF).</w:t>
      </w:r>
      <w:r w:rsidRPr="00C203E5">
        <w:t xml:space="preserve"> </w:t>
      </w:r>
      <w:r>
        <w:t>G</w:t>
      </w:r>
      <w:r w:rsidRPr="00C203E5">
        <w:t xml:space="preserve">rowth </w:t>
      </w:r>
      <w:r>
        <w:t xml:space="preserve">is forecast to </w:t>
      </w:r>
      <w:r w:rsidRPr="00C203E5">
        <w:t>eas</w:t>
      </w:r>
      <w:r>
        <w:t>e</w:t>
      </w:r>
      <w:r w:rsidRPr="00C203E5">
        <w:t xml:space="preserve"> to </w:t>
      </w:r>
      <w:r>
        <w:t>2.4</w:t>
      </w:r>
      <w:r w:rsidRPr="00C203E5">
        <w:t> per cent a year on average over the forward estimates</w:t>
      </w:r>
      <w:r>
        <w:t xml:space="preserve">, </w:t>
      </w:r>
      <w:r w:rsidRPr="00C203E5">
        <w:t xml:space="preserve">principally </w:t>
      </w:r>
      <w:r w:rsidRPr="001C2FD0">
        <w:t xml:space="preserve">due to a decline in Victoria’s GST relativities </w:t>
      </w:r>
      <w:r>
        <w:t xml:space="preserve">after the budget year </w:t>
      </w:r>
      <w:r w:rsidRPr="00C203E5">
        <w:t>and the transfer of responsibility for disabilit</w:t>
      </w:r>
      <w:r>
        <w:t>y services to the Commonwealth.</w:t>
      </w:r>
    </w:p>
    <w:p w:rsidR="00B32D50" w:rsidRPr="00C203E5" w:rsidRDefault="00B32D50" w:rsidP="007051F4">
      <w:r w:rsidRPr="00C203E5">
        <w:t>Victoria’s share of the GST pool has increased from 24.0 per cent in 2017</w:t>
      </w:r>
      <w:r w:rsidRPr="00C203E5">
        <w:noBreakHyphen/>
        <w:t>18 to 25.6 per</w:t>
      </w:r>
      <w:r w:rsidR="007051F4">
        <w:t xml:space="preserve"> </w:t>
      </w:r>
      <w:r w:rsidRPr="00C203E5">
        <w:t>cent in 2018</w:t>
      </w:r>
      <w:r w:rsidRPr="00C203E5">
        <w:noBreakHyphen/>
        <w:t xml:space="preserve">19. This largely reflects continued strong population growth relative to other states, </w:t>
      </w:r>
      <w:r>
        <w:t xml:space="preserve">and </w:t>
      </w:r>
      <w:r w:rsidRPr="00C203E5">
        <w:t>a related need for greater investment in infrastructure.</w:t>
      </w:r>
    </w:p>
    <w:p w:rsidR="00B32D50" w:rsidRPr="00C203E5" w:rsidRDefault="00B32D50" w:rsidP="00F17BCD">
      <w:r w:rsidRPr="00C203E5">
        <w:t xml:space="preserve">Over the forward estimates, Victorian GST revenue is expected to increase on average by </w:t>
      </w:r>
      <w:r>
        <w:t>4.4</w:t>
      </w:r>
      <w:r w:rsidRPr="00C203E5">
        <w:t> per cent a year, buoyed by the continued growth in the GST pool. Victoria’s GST relativity is forecast to ease beyond 2018</w:t>
      </w:r>
      <w:r w:rsidRPr="00C203E5">
        <w:noBreakHyphen/>
        <w:t>19</w:t>
      </w:r>
      <w:r>
        <w:t>,</w:t>
      </w:r>
      <w:r w:rsidRPr="00C203E5">
        <w:t xml:space="preserve"> partly due to the State’s relatively stronger revenue outlook.</w:t>
      </w:r>
    </w:p>
    <w:p w:rsidR="00B32D50" w:rsidRPr="00C203E5" w:rsidRDefault="00B32D50" w:rsidP="00F17BCD">
      <w:r w:rsidRPr="00C203E5">
        <w:t>Commonwealth grants for specific purpose</w:t>
      </w:r>
      <w:r>
        <w:t xml:space="preserve">s are projected to average </w:t>
      </w:r>
      <w:r w:rsidRPr="000244D1">
        <w:t>$15.</w:t>
      </w:r>
      <w:r>
        <w:t>5 billion</w:t>
      </w:r>
      <w:r w:rsidRPr="00C203E5">
        <w:t xml:space="preserve"> a year across the </w:t>
      </w:r>
      <w:r>
        <w:t xml:space="preserve">budget and </w:t>
      </w:r>
      <w:r w:rsidRPr="00C203E5">
        <w:t>forward estimates. The Commonwealth provides these grants as contributions towards health</w:t>
      </w:r>
      <w:r>
        <w:t xml:space="preserve"> </w:t>
      </w:r>
      <w:r w:rsidRPr="00C203E5">
        <w:t>care, education, disability and other services, and m</w:t>
      </w:r>
      <w:r>
        <w:t>ajor infrastructure investment.</w:t>
      </w:r>
    </w:p>
    <w:p w:rsidR="00B32D50" w:rsidRPr="00C203E5" w:rsidRDefault="00B32D50" w:rsidP="00F17BCD">
      <w:r w:rsidRPr="00C203E5">
        <w:t>Commonwealth grant</w:t>
      </w:r>
      <w:r>
        <w:t>s</w:t>
      </w:r>
      <w:r w:rsidRPr="00C203E5">
        <w:t xml:space="preserve"> for specific purpose</w:t>
      </w:r>
      <w:r>
        <w:t xml:space="preserve">s </w:t>
      </w:r>
      <w:r w:rsidRPr="00C203E5">
        <w:t>decreases in 2019</w:t>
      </w:r>
      <w:r w:rsidRPr="00C203E5">
        <w:noBreakHyphen/>
        <w:t>20 largely due to the transfer of responsibility for disability services, and the Commonwealth funding attached to these services from Victoria, to the National Disability Insurance Agency as part of the full roll</w:t>
      </w:r>
      <w:r>
        <w:noBreakHyphen/>
      </w:r>
      <w:r w:rsidRPr="00C203E5">
        <w:t>out of the National Disa</w:t>
      </w:r>
      <w:r>
        <w:t>bility Insurance Scheme (NDIS).</w:t>
      </w:r>
    </w:p>
    <w:p w:rsidR="00B32D50" w:rsidRPr="00C203E5" w:rsidRDefault="00B32D50" w:rsidP="00F17BCD">
      <w:pPr>
        <w:pStyle w:val="Heading30"/>
        <w:spacing w:before="180"/>
        <w:rPr>
          <w:rFonts w:eastAsiaTheme="minorHAnsi"/>
        </w:rPr>
      </w:pPr>
      <w:r w:rsidRPr="00C203E5">
        <w:rPr>
          <w:rFonts w:eastAsiaTheme="minorHAnsi"/>
        </w:rPr>
        <w:t>Other current revenue</w:t>
      </w:r>
    </w:p>
    <w:p w:rsidR="00B32D50" w:rsidRPr="00C203E5" w:rsidRDefault="00B32D50" w:rsidP="00F17BCD">
      <w:r w:rsidRPr="00C203E5">
        <w:t xml:space="preserve">Other current revenue includes fines, royalties, donations and gifts, assets received free of charge and other miscellaneous revenues. Other current revenue is projected </w:t>
      </w:r>
      <w:r>
        <w:t>to be $2.6 billion</w:t>
      </w:r>
      <w:r w:rsidRPr="00C203E5">
        <w:t xml:space="preserve"> in 2018</w:t>
      </w:r>
      <w:r w:rsidRPr="00C203E5">
        <w:noBreakHyphen/>
        <w:t xml:space="preserve">19 and </w:t>
      </w:r>
      <w:r>
        <w:t>increase by an average of 1.0</w:t>
      </w:r>
      <w:r w:rsidRPr="00C203E5">
        <w:t> per cent a year across the forward estimates.</w:t>
      </w:r>
    </w:p>
    <w:p w:rsidR="00B32D50" w:rsidRPr="00C203E5" w:rsidRDefault="00B32D50" w:rsidP="00F17BCD">
      <w:pPr>
        <w:pStyle w:val="Heading20"/>
        <w:rPr>
          <w:rFonts w:eastAsiaTheme="minorHAnsi"/>
        </w:rPr>
      </w:pPr>
      <w:r w:rsidRPr="00C203E5">
        <w:rPr>
          <w:rFonts w:eastAsiaTheme="minorHAnsi"/>
        </w:rPr>
        <w:lastRenderedPageBreak/>
        <w:t>Expenses outlook</w:t>
      </w:r>
    </w:p>
    <w:p w:rsidR="00B32D50" w:rsidRPr="00C203E5" w:rsidRDefault="00B32D50" w:rsidP="00F17BCD">
      <w:r w:rsidRPr="008C03EC">
        <w:t>T</w:t>
      </w:r>
      <w:r>
        <w:t>otal expenses for the g</w:t>
      </w:r>
      <w:r w:rsidRPr="00C203E5">
        <w:t xml:space="preserve">eneral government sector is expected to </w:t>
      </w:r>
      <w:r>
        <w:t>be</w:t>
      </w:r>
      <w:r w:rsidRPr="00C203E5">
        <w:t xml:space="preserve"> $6</w:t>
      </w:r>
      <w:r>
        <w:t>7.5 billion</w:t>
      </w:r>
      <w:r w:rsidRPr="00C203E5">
        <w:t xml:space="preserve"> in 2018</w:t>
      </w:r>
      <w:r w:rsidRPr="00C203E5">
        <w:noBreakHyphen/>
        <w:t xml:space="preserve">19. Total expenses are expected to grow by </w:t>
      </w:r>
      <w:r>
        <w:t>4.0</w:t>
      </w:r>
      <w:r w:rsidRPr="00C203E5">
        <w:t> per cent a year on average over the four years to $72.</w:t>
      </w:r>
      <w:r>
        <w:t>8 billion</w:t>
      </w:r>
      <w:r w:rsidRPr="00C203E5">
        <w:t xml:space="preserve"> in 2021</w:t>
      </w:r>
      <w:r w:rsidRPr="00C203E5">
        <w:noBreakHyphen/>
        <w:t>22.</w:t>
      </w:r>
      <w:r>
        <w:t xml:space="preserve"> </w:t>
      </w:r>
      <w:r w:rsidRPr="00C203E5">
        <w:t>Specifically:</w:t>
      </w:r>
    </w:p>
    <w:p w:rsidR="00B32D50" w:rsidRDefault="00B32D50" w:rsidP="00F17BCD">
      <w:pPr>
        <w:pStyle w:val="ListBullet"/>
      </w:pPr>
      <w:r w:rsidRPr="00C203E5">
        <w:t xml:space="preserve">employee expenses (including superannuation) are forecast to grow by </w:t>
      </w:r>
      <w:r>
        <w:t>7</w:t>
      </w:r>
      <w:r w:rsidRPr="00C203E5">
        <w:t>.</w:t>
      </w:r>
      <w:r>
        <w:t>2</w:t>
      </w:r>
      <w:r w:rsidRPr="00C203E5">
        <w:t> per cent in 2018</w:t>
      </w:r>
      <w:r w:rsidRPr="00C203E5">
        <w:noBreakHyphen/>
        <w:t xml:space="preserve">19, moderating to an average annual increase of </w:t>
      </w:r>
      <w:r>
        <w:t>4.2</w:t>
      </w:r>
      <w:r w:rsidRPr="00C203E5">
        <w:t> per cent over the forward estimates. The growth in 2018</w:t>
      </w:r>
      <w:r w:rsidRPr="00C203E5">
        <w:noBreakHyphen/>
        <w:t xml:space="preserve">19 reflects increases in </w:t>
      </w:r>
      <w:r>
        <w:t xml:space="preserve">the </w:t>
      </w:r>
      <w:r w:rsidRPr="00C203E5">
        <w:t>public sector work</w:t>
      </w:r>
      <w:r>
        <w:t>force</w:t>
      </w:r>
      <w:r w:rsidRPr="00C203E5">
        <w:t>. The increase in employee expenses also reflect</w:t>
      </w:r>
      <w:r>
        <w:t>s</w:t>
      </w:r>
      <w:r w:rsidRPr="00C203E5">
        <w:t xml:space="preserve"> changes in average remuneration levels </w:t>
      </w:r>
      <w:r>
        <w:t>through</w:t>
      </w:r>
      <w:r w:rsidRPr="00C203E5">
        <w:t xml:space="preserve"> e</w:t>
      </w:r>
      <w:r>
        <w:t>nterprise bargaining agreements;</w:t>
      </w:r>
    </w:p>
    <w:p w:rsidR="00B32D50" w:rsidRPr="00C203E5" w:rsidRDefault="00B32D50" w:rsidP="00F17BCD">
      <w:pPr>
        <w:pStyle w:val="ListBullet"/>
      </w:pPr>
      <w:r w:rsidRPr="00C203E5">
        <w:t xml:space="preserve">depreciation expense is forecast to grow by </w:t>
      </w:r>
      <w:r>
        <w:t>5.1</w:t>
      </w:r>
      <w:r w:rsidRPr="00C203E5">
        <w:t> per cent to $2.9</w:t>
      </w:r>
      <w:r>
        <w:t> billion</w:t>
      </w:r>
      <w:r w:rsidRPr="00C203E5">
        <w:t xml:space="preserve"> in 2018</w:t>
      </w:r>
      <w:r w:rsidRPr="00C203E5">
        <w:noBreakHyphen/>
        <w:t>19 and increase by 6.</w:t>
      </w:r>
      <w:r>
        <w:t>9</w:t>
      </w:r>
      <w:r w:rsidRPr="00C203E5">
        <w:t> per cent a year on average over the forward estimates to $3.5</w:t>
      </w:r>
      <w:r>
        <w:t> billion</w:t>
      </w:r>
      <w:r w:rsidRPr="00C203E5">
        <w:t xml:space="preserve"> in 2021</w:t>
      </w:r>
      <w:r w:rsidRPr="00C203E5">
        <w:noBreakHyphen/>
        <w:t xml:space="preserve">22. This growth is broadly in line with </w:t>
      </w:r>
      <w:r>
        <w:t xml:space="preserve">the </w:t>
      </w:r>
      <w:r w:rsidRPr="00C203E5">
        <w:t>investment in infrastructure;</w:t>
      </w:r>
    </w:p>
    <w:p w:rsidR="00B32D50" w:rsidRPr="00C203E5" w:rsidRDefault="00B32D50" w:rsidP="00F17BCD">
      <w:pPr>
        <w:pStyle w:val="ListBullet"/>
      </w:pPr>
      <w:r w:rsidRPr="00C203E5">
        <w:t xml:space="preserve">interest expense is forecast to </w:t>
      </w:r>
      <w:r>
        <w:t>be</w:t>
      </w:r>
      <w:r w:rsidRPr="00C203E5">
        <w:t xml:space="preserve"> $2.</w:t>
      </w:r>
      <w:r>
        <w:t>1 billion</w:t>
      </w:r>
      <w:r w:rsidRPr="00C203E5">
        <w:t xml:space="preserve"> in 2018</w:t>
      </w:r>
      <w:r w:rsidRPr="00C203E5">
        <w:noBreakHyphen/>
        <w:t xml:space="preserve">19. Interest expense is expected to grow by an average of </w:t>
      </w:r>
      <w:r>
        <w:t>2.6 per cent a year</w:t>
      </w:r>
      <w:r w:rsidRPr="00A94268">
        <w:t xml:space="preserve"> </w:t>
      </w:r>
      <w:r w:rsidRPr="00C203E5">
        <w:t>over the forward estimates</w:t>
      </w:r>
      <w:r>
        <w:t>;</w:t>
      </w:r>
    </w:p>
    <w:p w:rsidR="00B32D50" w:rsidRPr="00C203E5" w:rsidRDefault="00B32D50" w:rsidP="00F17BCD">
      <w:pPr>
        <w:pStyle w:val="ListBullet"/>
        <w:ind w:right="-94"/>
      </w:pPr>
      <w:r w:rsidRPr="00C203E5">
        <w:t xml:space="preserve">other operating expenses are forecast to increase by </w:t>
      </w:r>
      <w:r>
        <w:t>7.6</w:t>
      </w:r>
      <w:r w:rsidRPr="00C203E5">
        <w:t> per cent in 2018</w:t>
      </w:r>
      <w:r w:rsidRPr="00C203E5">
        <w:noBreakHyphen/>
        <w:t>19</w:t>
      </w:r>
      <w:r>
        <w:t xml:space="preserve">, largely reflecting the impact of </w:t>
      </w:r>
      <w:r w:rsidRPr="00C203E5">
        <w:t xml:space="preserve">increases in </w:t>
      </w:r>
      <w:r>
        <w:t xml:space="preserve">the </w:t>
      </w:r>
      <w:r w:rsidRPr="00C203E5">
        <w:t>public sector work</w:t>
      </w:r>
      <w:r>
        <w:t>force and differences in the timing of activity across major departments.</w:t>
      </w:r>
      <w:r w:rsidRPr="00C203E5">
        <w:t xml:space="preserve"> Thereafter, other operating expenses </w:t>
      </w:r>
      <w:r>
        <w:t>are expected to</w:t>
      </w:r>
      <w:r w:rsidRPr="00C203E5">
        <w:t xml:space="preserve"> decrease by an average of 1.</w:t>
      </w:r>
      <w:r>
        <w:t>3</w:t>
      </w:r>
      <w:r w:rsidRPr="00C203E5">
        <w:t> per cent a year over the forward estimates to $20.</w:t>
      </w:r>
      <w:r>
        <w:t>5 billion</w:t>
      </w:r>
      <w:r w:rsidRPr="00C203E5">
        <w:t xml:space="preserve"> in 2021</w:t>
      </w:r>
      <w:r w:rsidRPr="00C203E5">
        <w:noBreakHyphen/>
        <w:t>22</w:t>
      </w:r>
      <w:r>
        <w:t>,</w:t>
      </w:r>
      <w:r w:rsidRPr="00AC6D80">
        <w:t xml:space="preserve"> </w:t>
      </w:r>
      <w:r>
        <w:t xml:space="preserve">partly </w:t>
      </w:r>
      <w:r w:rsidRPr="005A5DDD">
        <w:t xml:space="preserve">reflecting the </w:t>
      </w:r>
      <w:r>
        <w:t>transition of services to the Commonwealth for the NDIS</w:t>
      </w:r>
      <w:r w:rsidRPr="00C203E5">
        <w:t>; and</w:t>
      </w:r>
    </w:p>
    <w:p w:rsidR="00B32D50" w:rsidRPr="00C203E5" w:rsidRDefault="00B32D50" w:rsidP="00F17BCD">
      <w:pPr>
        <w:pStyle w:val="ListBullet"/>
      </w:pPr>
      <w:r w:rsidRPr="00C203E5">
        <w:t xml:space="preserve">grants expenses are forecast to increase by </w:t>
      </w:r>
      <w:r>
        <w:t>14.9</w:t>
      </w:r>
      <w:r w:rsidRPr="00C203E5">
        <w:t> per cent to $12.</w:t>
      </w:r>
      <w:r>
        <w:t>8 billion</w:t>
      </w:r>
      <w:r w:rsidRPr="00C203E5">
        <w:t xml:space="preserve"> in 2018</w:t>
      </w:r>
      <w:r w:rsidRPr="00C203E5">
        <w:noBreakHyphen/>
        <w:t xml:space="preserve">19, largely </w:t>
      </w:r>
      <w:r>
        <w:t>due to</w:t>
      </w:r>
      <w:r w:rsidRPr="00C203E5">
        <w:t xml:space="preserve"> payments made to the National Disability Insurance Agency for disabili</w:t>
      </w:r>
      <w:r>
        <w:t>ty services as part of the full roll-</w:t>
      </w:r>
      <w:r w:rsidRPr="00C203E5">
        <w:t xml:space="preserve">out of the NDIS. Thereafter, growth is expected to average </w:t>
      </w:r>
      <w:r>
        <w:t>4.1</w:t>
      </w:r>
      <w:r w:rsidRPr="00C203E5">
        <w:t xml:space="preserve"> per cent a </w:t>
      </w:r>
      <w:r>
        <w:t>year over the forward estimates.</w:t>
      </w:r>
    </w:p>
    <w:p w:rsidR="00B32D50" w:rsidRPr="00C203E5" w:rsidRDefault="00B32D50" w:rsidP="00F17BCD">
      <w:pPr>
        <w:keepLines w:val="0"/>
        <w:rPr>
          <w:rFonts w:asciiTheme="majorHAnsi" w:hAnsiTheme="majorHAnsi" w:cstheme="majorBidi"/>
          <w:b/>
          <w:spacing w:val="-2"/>
          <w:sz w:val="26"/>
          <w:szCs w:val="26"/>
        </w:rPr>
      </w:pPr>
      <w:r w:rsidRPr="00C203E5">
        <w:br w:type="page"/>
      </w:r>
    </w:p>
    <w:p w:rsidR="00B32D50" w:rsidRPr="00C203E5" w:rsidRDefault="00B32D50" w:rsidP="00F17BCD">
      <w:pPr>
        <w:pStyle w:val="Heading20"/>
        <w:rPr>
          <w:rFonts w:eastAsiaTheme="minorHAnsi"/>
        </w:rPr>
      </w:pPr>
      <w:r w:rsidRPr="00C203E5">
        <w:rPr>
          <w:rFonts w:eastAsiaTheme="minorHAnsi"/>
        </w:rPr>
        <w:lastRenderedPageBreak/>
        <w:t xml:space="preserve">Reconciliation of estimates to the </w:t>
      </w:r>
      <w:r w:rsidRPr="00C203E5">
        <w:rPr>
          <w:rFonts w:eastAsiaTheme="minorHAnsi"/>
          <w:i/>
        </w:rPr>
        <w:t>201</w:t>
      </w:r>
      <w:r>
        <w:rPr>
          <w:rFonts w:eastAsiaTheme="minorHAnsi"/>
          <w:i/>
        </w:rPr>
        <w:t>8</w:t>
      </w:r>
      <w:r w:rsidRPr="00C203E5">
        <w:rPr>
          <w:rFonts w:eastAsiaTheme="minorHAnsi"/>
          <w:i/>
        </w:rPr>
        <w:noBreakHyphen/>
        <w:t>1</w:t>
      </w:r>
      <w:r>
        <w:rPr>
          <w:rFonts w:eastAsiaTheme="minorHAnsi"/>
          <w:i/>
        </w:rPr>
        <w:t>9</w:t>
      </w:r>
      <w:r w:rsidRPr="00C203E5">
        <w:rPr>
          <w:rFonts w:eastAsiaTheme="minorHAnsi"/>
          <w:i/>
        </w:rPr>
        <w:t xml:space="preserve"> Budget</w:t>
      </w:r>
    </w:p>
    <w:p w:rsidR="00B32D50" w:rsidRPr="00C203E5" w:rsidRDefault="00B32D50" w:rsidP="00F17BCD">
      <w:r w:rsidRPr="00C203E5">
        <w:t xml:space="preserve">Relative to the </w:t>
      </w:r>
      <w:r w:rsidRPr="00C203E5">
        <w:rPr>
          <w:i/>
        </w:rPr>
        <w:t>201</w:t>
      </w:r>
      <w:r>
        <w:rPr>
          <w:i/>
        </w:rPr>
        <w:t>8</w:t>
      </w:r>
      <w:r w:rsidRPr="00C203E5">
        <w:rPr>
          <w:i/>
        </w:rPr>
        <w:noBreakHyphen/>
        <w:t>1</w:t>
      </w:r>
      <w:r>
        <w:rPr>
          <w:i/>
        </w:rPr>
        <w:t>9 Budget</w:t>
      </w:r>
      <w:r w:rsidRPr="00C203E5">
        <w:t xml:space="preserve">, the net result from transactions has been revised </w:t>
      </w:r>
      <w:r>
        <w:t xml:space="preserve">up </w:t>
      </w:r>
      <w:r w:rsidRPr="00C203E5">
        <w:t>by $</w:t>
      </w:r>
      <w:r>
        <w:t>898 million</w:t>
      </w:r>
      <w:r w:rsidRPr="00C203E5">
        <w:t xml:space="preserve"> in 2018</w:t>
      </w:r>
      <w:r w:rsidRPr="00C203E5">
        <w:noBreakHyphen/>
        <w:t xml:space="preserve">19, </w:t>
      </w:r>
      <w:r>
        <w:t xml:space="preserve">down by </w:t>
      </w:r>
      <w:r w:rsidRPr="00C203E5">
        <w:t>$</w:t>
      </w:r>
      <w:r>
        <w:t>263 million</w:t>
      </w:r>
      <w:r w:rsidRPr="00C203E5">
        <w:t xml:space="preserve"> in 2019</w:t>
      </w:r>
      <w:r w:rsidRPr="00C203E5">
        <w:noBreakHyphen/>
        <w:t xml:space="preserve">20 </w:t>
      </w:r>
      <w:r>
        <w:t xml:space="preserve">and </w:t>
      </w:r>
      <w:r w:rsidRPr="00C203E5">
        <w:t>$</w:t>
      </w:r>
      <w:r>
        <w:t>59 million</w:t>
      </w:r>
      <w:r w:rsidRPr="00C203E5">
        <w:t xml:space="preserve"> in 20</w:t>
      </w:r>
      <w:r>
        <w:t>20</w:t>
      </w:r>
      <w:r w:rsidRPr="00C203E5">
        <w:noBreakHyphen/>
        <w:t>2</w:t>
      </w:r>
      <w:r>
        <w:t xml:space="preserve">1, </w:t>
      </w:r>
      <w:r w:rsidRPr="00C203E5">
        <w:t xml:space="preserve">and </w:t>
      </w:r>
      <w:r>
        <w:t xml:space="preserve">up </w:t>
      </w:r>
      <w:r w:rsidRPr="00C203E5">
        <w:t>by $</w:t>
      </w:r>
      <w:r>
        <w:t>99 million</w:t>
      </w:r>
      <w:r w:rsidRPr="00C203E5">
        <w:t xml:space="preserve"> in 202</w:t>
      </w:r>
      <w:r>
        <w:t>1</w:t>
      </w:r>
      <w:r w:rsidRPr="00C203E5">
        <w:noBreakHyphen/>
        <w:t>2</w:t>
      </w:r>
      <w:r>
        <w:t xml:space="preserve">2 </w:t>
      </w:r>
      <w:r w:rsidRPr="00C203E5">
        <w:t xml:space="preserve">(Table </w:t>
      </w:r>
      <w:r>
        <w:t>2.3</w:t>
      </w:r>
      <w:r w:rsidRPr="00C203E5">
        <w:t>).</w:t>
      </w:r>
    </w:p>
    <w:p w:rsidR="00B32D50" w:rsidRPr="00B32DA4" w:rsidRDefault="00B32D50" w:rsidP="00F17BCD">
      <w:pPr>
        <w:pStyle w:val="TableHeading"/>
      </w:pPr>
      <w:r w:rsidRPr="00C203E5">
        <w:t xml:space="preserve">Table </w:t>
      </w:r>
      <w:r>
        <w:t>2.3</w:t>
      </w:r>
      <w:r w:rsidRPr="00C203E5">
        <w:t xml:space="preserve">: </w:t>
      </w:r>
      <w:r w:rsidRPr="00C203E5">
        <w:tab/>
        <w:t xml:space="preserve">Reconciliation of estimates to the </w:t>
      </w:r>
      <w:r w:rsidRPr="00C203E5">
        <w:rPr>
          <w:i/>
        </w:rPr>
        <w:t>201</w:t>
      </w:r>
      <w:r>
        <w:rPr>
          <w:i/>
        </w:rPr>
        <w:t>8</w:t>
      </w:r>
      <w:r w:rsidRPr="00C203E5">
        <w:rPr>
          <w:i/>
        </w:rPr>
        <w:noBreakHyphen/>
        <w:t>1</w:t>
      </w:r>
      <w:r>
        <w:rPr>
          <w:i/>
        </w:rPr>
        <w:t>9</w:t>
      </w:r>
      <w:r w:rsidRPr="00C203E5">
        <w:rPr>
          <w:i/>
        </w:rPr>
        <w:t xml:space="preserve"> Budget</w:t>
      </w:r>
      <w:r>
        <w:rPr>
          <w:i/>
        </w:rPr>
        <w:t xml:space="preserve"> </w:t>
      </w:r>
      <w:r w:rsidRPr="00C203E5">
        <w:rPr>
          <w:vertAlign w:val="superscript"/>
        </w:rPr>
        <w:t>(a)</w:t>
      </w:r>
      <w:r w:rsidRPr="00C203E5">
        <w:t xml:space="preserve"> </w:t>
      </w:r>
      <w:r w:rsidRPr="00C203E5">
        <w:tab/>
        <w:t>($</w:t>
      </w:r>
      <w:r>
        <w:t> million</w:t>
      </w:r>
      <w:r w:rsidRPr="00C203E5">
        <w:t>)</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7051F4" w:rsidRPr="00B32DA4" w:rsidTr="00642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rsidR="007051F4" w:rsidRPr="00B32DA4" w:rsidRDefault="007051F4" w:rsidP="00F17BCD">
            <w:pPr>
              <w:keepLines w:val="0"/>
              <w:autoSpaceDE w:val="0"/>
              <w:autoSpaceDN w:val="0"/>
              <w:adjustRightInd w:val="0"/>
              <w:rPr>
                <w:rFonts w:eastAsiaTheme="minorEastAsia" w:cstheme="majorHAnsi"/>
                <w:i w:val="0"/>
                <w:iCs/>
                <w:color w:val="FFFFFF"/>
                <w:szCs w:val="18"/>
                <w:lang w:eastAsia="en-AU"/>
              </w:rPr>
            </w:pPr>
            <w:r w:rsidRPr="00B32DA4">
              <w:rPr>
                <w:rFonts w:eastAsiaTheme="minorEastAsia" w:cstheme="majorHAnsi"/>
                <w:iCs/>
                <w:color w:val="FFFFFF"/>
                <w:szCs w:val="18"/>
                <w:lang w:eastAsia="en-AU"/>
              </w:rPr>
              <w:t xml:space="preserve"> </w:t>
            </w:r>
          </w:p>
          <w:p w:rsidR="007051F4" w:rsidRPr="00B32DA4" w:rsidRDefault="007051F4" w:rsidP="00F17BCD">
            <w:pPr>
              <w:autoSpaceDE w:val="0"/>
              <w:autoSpaceDN w:val="0"/>
              <w:adjustRightInd w:val="0"/>
              <w:rPr>
                <w:rFonts w:eastAsiaTheme="minorEastAsia" w:cstheme="majorHAnsi"/>
                <w:iCs/>
                <w:color w:val="FFFFFF"/>
                <w:szCs w:val="18"/>
                <w:lang w:eastAsia="en-AU"/>
              </w:rPr>
            </w:pPr>
            <w:r w:rsidRPr="00B32DA4">
              <w:rPr>
                <w:rFonts w:eastAsiaTheme="minorEastAsia" w:cstheme="majorHAnsi"/>
                <w:i w:val="0"/>
                <w:iCs/>
                <w:color w:val="FFFFFF"/>
                <w:szCs w:val="18"/>
                <w:lang w:eastAsia="en-AU"/>
              </w:rPr>
              <w:t xml:space="preserve"> </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2018-19</w:t>
            </w:r>
            <w:r>
              <w:t xml:space="preserve"> </w:t>
            </w:r>
            <w:r w:rsidRPr="007051F4">
              <w:t>revised</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2019-20</w:t>
            </w:r>
            <w:r>
              <w:t xml:space="preserve"> </w:t>
            </w:r>
            <w:r w:rsidRPr="007051F4">
              <w:t>estimate</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2020-21</w:t>
            </w:r>
            <w:r>
              <w:t xml:space="preserve"> </w:t>
            </w:r>
            <w:r w:rsidRPr="007051F4">
              <w:t>estimate</w:t>
            </w:r>
          </w:p>
        </w:tc>
        <w:tc>
          <w:tcPr>
            <w:tcW w:w="850" w:type="dxa"/>
            <w:tcBorders>
              <w:top w:val="nil"/>
              <w:left w:val="nil"/>
              <w:right w:val="nil"/>
            </w:tcBorders>
            <w:shd w:val="solid" w:color="000000" w:fill="FFFFFF"/>
          </w:tcPr>
          <w:p w:rsidR="007051F4" w:rsidRPr="007051F4" w:rsidRDefault="007051F4" w:rsidP="007051F4">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051F4">
              <w:t>2021-22</w:t>
            </w:r>
            <w:r>
              <w:t xml:space="preserve"> </w:t>
            </w:r>
            <w:r w:rsidRPr="007051F4">
              <w:t>estimate</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b/>
                <w:bCs/>
                <w:i/>
                <w:iCs/>
                <w:color w:val="000000"/>
                <w:szCs w:val="18"/>
                <w:lang w:eastAsia="en-AU"/>
              </w:rPr>
            </w:pPr>
            <w:r w:rsidRPr="00B32DA4">
              <w:rPr>
                <w:rFonts w:eastAsiaTheme="minorEastAsia" w:cstheme="majorHAnsi"/>
                <w:b/>
                <w:bCs/>
                <w:color w:val="000000"/>
                <w:szCs w:val="18"/>
                <w:lang w:eastAsia="en-AU"/>
              </w:rPr>
              <w:t xml:space="preserve">Net result from transactions: </w:t>
            </w:r>
            <w:r w:rsidRPr="00B32DA4">
              <w:rPr>
                <w:rFonts w:eastAsiaTheme="minorEastAsia" w:cstheme="majorHAnsi"/>
                <w:b/>
                <w:bCs/>
                <w:i/>
                <w:iCs/>
                <w:color w:val="000000"/>
                <w:szCs w:val="18"/>
                <w:lang w:eastAsia="en-AU"/>
              </w:rPr>
              <w:t>2018-19 Budget</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B32DA4">
              <w:rPr>
                <w:rFonts w:eastAsiaTheme="minorEastAsia" w:cstheme="majorHAnsi"/>
                <w:b/>
                <w:bCs/>
                <w:color w:val="000000"/>
                <w:szCs w:val="18"/>
                <w:lang w:eastAsia="en-AU"/>
              </w:rPr>
              <w:t>1 380</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B32DA4">
              <w:rPr>
                <w:rFonts w:eastAsiaTheme="minorEastAsia" w:cstheme="majorHAnsi"/>
                <w:b/>
                <w:bCs/>
                <w:color w:val="000000"/>
                <w:szCs w:val="18"/>
                <w:lang w:eastAsia="en-AU"/>
              </w:rPr>
              <w:t>1 971</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B32DA4">
              <w:rPr>
                <w:rFonts w:eastAsiaTheme="minorEastAsia" w:cstheme="majorHAnsi"/>
                <w:b/>
                <w:bCs/>
                <w:color w:val="000000"/>
                <w:szCs w:val="18"/>
                <w:lang w:eastAsia="en-AU"/>
              </w:rPr>
              <w:t>2 715</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B32DA4">
              <w:rPr>
                <w:rFonts w:eastAsiaTheme="minorEastAsia" w:cstheme="majorHAnsi"/>
                <w:b/>
                <w:bCs/>
                <w:color w:val="000000"/>
                <w:szCs w:val="18"/>
                <w:lang w:eastAsia="en-AU"/>
              </w:rPr>
              <w:t>2 891</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b/>
                <w:bCs/>
                <w:color w:val="000000"/>
                <w:szCs w:val="18"/>
                <w:lang w:eastAsia="en-AU"/>
              </w:rPr>
            </w:pPr>
            <w:r w:rsidRPr="00B32DA4">
              <w:rPr>
                <w:rFonts w:eastAsiaTheme="minorEastAsia" w:cstheme="majorHAnsi"/>
                <w:b/>
                <w:bCs/>
                <w:color w:val="000000"/>
                <w:szCs w:val="18"/>
                <w:lang w:eastAsia="en-AU"/>
              </w:rPr>
              <w:t>Policy decision variations</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8"/>
                <w:lang w:eastAsia="en-AU"/>
              </w:rPr>
            </w:pPr>
            <w:r w:rsidRPr="00B32DA4">
              <w:rPr>
                <w:rFonts w:eastAsiaTheme="minorEastAsia" w:cstheme="majorHAnsi"/>
                <w:color w:val="000000"/>
                <w:szCs w:val="18"/>
                <w:lang w:eastAsia="en-AU"/>
              </w:rPr>
              <w:t xml:space="preserve">   Revenue policy decision variations</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16</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51</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54</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58</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8"/>
                <w:lang w:eastAsia="en-AU"/>
              </w:rPr>
            </w:pPr>
            <w:r w:rsidRPr="00B32DA4">
              <w:rPr>
                <w:rFonts w:eastAsiaTheme="minorEastAsia" w:cstheme="majorHAnsi"/>
                <w:color w:val="000000"/>
                <w:szCs w:val="18"/>
                <w:lang w:eastAsia="en-AU"/>
              </w:rPr>
              <w:t xml:space="preserve">   Output policy decision variations </w:t>
            </w:r>
            <w:r w:rsidRPr="00B32DA4">
              <w:rPr>
                <w:rFonts w:eastAsiaTheme="minorEastAsia" w:cstheme="majorHAnsi"/>
                <w:color w:val="000000"/>
                <w:szCs w:val="18"/>
                <w:vertAlign w:val="superscript"/>
                <w:lang w:eastAsia="en-AU"/>
              </w:rPr>
              <w:t>(b)</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(535)</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(133)</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(92)</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(96)</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20"/>
                <w:lang w:eastAsia="en-AU"/>
              </w:rPr>
            </w:pPr>
            <w:r w:rsidRPr="00B32DA4">
              <w:rPr>
                <w:rFonts w:eastAsiaTheme="minorEastAsia" w:cstheme="majorHAnsi"/>
                <w:color w:val="000000"/>
                <w:szCs w:val="20"/>
                <w:lang w:eastAsia="en-AU"/>
              </w:rPr>
              <w:t xml:space="preserve"> </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(519)</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(82)</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(38)</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(38)</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b/>
                <w:bCs/>
                <w:color w:val="000000"/>
                <w:szCs w:val="18"/>
                <w:lang w:eastAsia="en-AU"/>
              </w:rPr>
            </w:pPr>
            <w:r w:rsidRPr="00B32DA4">
              <w:rPr>
                <w:rFonts w:eastAsiaTheme="minorEastAsia" w:cstheme="majorHAnsi"/>
                <w:b/>
                <w:bCs/>
                <w:color w:val="000000"/>
                <w:szCs w:val="18"/>
                <w:lang w:eastAsia="en-AU"/>
              </w:rPr>
              <w:t>Economic/demographic variations</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8"/>
                <w:lang w:eastAsia="en-AU"/>
              </w:rPr>
            </w:pPr>
            <w:r w:rsidRPr="00B32DA4">
              <w:rPr>
                <w:rFonts w:eastAsiaTheme="minorEastAsia" w:cstheme="majorHAnsi"/>
                <w:color w:val="000000"/>
                <w:szCs w:val="18"/>
                <w:lang w:eastAsia="en-AU"/>
              </w:rPr>
              <w:t xml:space="preserve">   Taxation</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(10)</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(246)</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(293)</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(427)</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8"/>
                <w:lang w:eastAsia="en-AU"/>
              </w:rPr>
            </w:pPr>
            <w:r w:rsidRPr="00B32DA4">
              <w:rPr>
                <w:rFonts w:eastAsiaTheme="minorEastAsia" w:cstheme="majorHAnsi"/>
                <w:color w:val="000000"/>
                <w:szCs w:val="18"/>
                <w:lang w:eastAsia="en-AU"/>
              </w:rPr>
              <w:t xml:space="preserve">   Investment income </w:t>
            </w:r>
            <w:r w:rsidRPr="00B32DA4">
              <w:rPr>
                <w:rFonts w:eastAsiaTheme="minorEastAsia" w:cstheme="majorHAnsi"/>
                <w:color w:val="000000"/>
                <w:szCs w:val="18"/>
                <w:vertAlign w:val="superscript"/>
                <w:lang w:eastAsia="en-AU"/>
              </w:rPr>
              <w:t>(c)</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135</w:t>
            </w:r>
          </w:p>
        </w:tc>
        <w:tc>
          <w:tcPr>
            <w:tcW w:w="850" w:type="dxa"/>
            <w:tcBorders>
              <w:top w:val="nil"/>
              <w:left w:val="nil"/>
              <w:bottom w:val="single" w:sz="6" w:space="0" w:color="auto"/>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Pr>
                <w:rFonts w:eastAsiaTheme="minorEastAsia" w:cstheme="majorHAnsi"/>
                <w:color w:val="000000"/>
                <w:szCs w:val="18"/>
                <w:lang w:eastAsia="en-AU"/>
              </w:rPr>
              <w:t>0</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(40)</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(57)</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20"/>
                <w:lang w:eastAsia="en-AU"/>
              </w:rPr>
            </w:pPr>
            <w:r w:rsidRPr="00B32DA4">
              <w:rPr>
                <w:rFonts w:eastAsiaTheme="minorEastAsia" w:cstheme="majorHAnsi"/>
                <w:color w:val="000000"/>
                <w:szCs w:val="20"/>
                <w:lang w:eastAsia="en-AU"/>
              </w:rPr>
              <w:t xml:space="preserve"> </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125</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(246)</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(333)</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(484)</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b/>
                <w:bCs/>
                <w:color w:val="000000"/>
                <w:szCs w:val="18"/>
                <w:lang w:eastAsia="en-AU"/>
              </w:rPr>
            </w:pPr>
            <w:r w:rsidRPr="00B32DA4">
              <w:rPr>
                <w:rFonts w:eastAsiaTheme="minorEastAsia" w:cstheme="majorHAnsi"/>
                <w:b/>
                <w:bCs/>
                <w:color w:val="000000"/>
                <w:szCs w:val="18"/>
                <w:lang w:eastAsia="en-AU"/>
              </w:rPr>
              <w:t>Commonwealth grant variations</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8"/>
                <w:lang w:eastAsia="en-AU"/>
              </w:rPr>
            </w:pPr>
            <w:r w:rsidRPr="00B32DA4">
              <w:rPr>
                <w:rFonts w:eastAsiaTheme="minorEastAsia" w:cstheme="majorHAnsi"/>
                <w:color w:val="000000"/>
                <w:szCs w:val="18"/>
                <w:lang w:eastAsia="en-AU"/>
              </w:rPr>
              <w:t xml:space="preserve">   General purpose grants</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(28)</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488</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528</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740</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8"/>
                <w:lang w:eastAsia="en-AU"/>
              </w:rPr>
            </w:pPr>
            <w:r w:rsidRPr="00B32DA4">
              <w:rPr>
                <w:rFonts w:eastAsiaTheme="minorEastAsia" w:cstheme="majorHAnsi"/>
                <w:color w:val="000000"/>
                <w:szCs w:val="18"/>
                <w:lang w:eastAsia="en-AU"/>
              </w:rPr>
              <w:t xml:space="preserve">   Specific purpose grants </w:t>
            </w:r>
            <w:r w:rsidRPr="00B32DA4">
              <w:rPr>
                <w:rFonts w:eastAsiaTheme="minorEastAsia" w:cstheme="majorHAnsi"/>
                <w:color w:val="000000"/>
                <w:szCs w:val="18"/>
                <w:vertAlign w:val="superscript"/>
                <w:lang w:eastAsia="en-AU"/>
              </w:rPr>
              <w:t>(d)</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244</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12</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180</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154</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20"/>
                <w:lang w:eastAsia="en-AU"/>
              </w:rPr>
            </w:pPr>
            <w:r w:rsidRPr="00B32DA4">
              <w:rPr>
                <w:rFonts w:eastAsiaTheme="minorEastAsia" w:cstheme="majorHAnsi"/>
                <w:color w:val="000000"/>
                <w:szCs w:val="20"/>
                <w:lang w:eastAsia="en-AU"/>
              </w:rPr>
              <w:t xml:space="preserve"> </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216</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499</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708</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894</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b/>
                <w:bCs/>
                <w:color w:val="000000"/>
                <w:szCs w:val="18"/>
                <w:lang w:eastAsia="en-AU"/>
              </w:rPr>
            </w:pPr>
            <w:r w:rsidRPr="00B32DA4">
              <w:rPr>
                <w:rFonts w:eastAsiaTheme="minorEastAsia" w:cstheme="majorHAnsi"/>
                <w:b/>
                <w:bCs/>
                <w:color w:val="000000"/>
                <w:szCs w:val="18"/>
                <w:lang w:eastAsia="en-AU"/>
              </w:rPr>
              <w:t>Administrative variations</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8"/>
                <w:lang w:eastAsia="en-AU"/>
              </w:rPr>
            </w:pPr>
            <w:r w:rsidRPr="00B32DA4">
              <w:rPr>
                <w:rFonts w:eastAsiaTheme="minorEastAsia" w:cstheme="majorHAnsi"/>
                <w:color w:val="000000"/>
                <w:szCs w:val="18"/>
                <w:lang w:eastAsia="en-AU"/>
              </w:rPr>
              <w:t xml:space="preserve">   Contingency offset for new policy </w:t>
            </w:r>
            <w:r w:rsidRPr="00B32DA4">
              <w:rPr>
                <w:rFonts w:eastAsiaTheme="minorEastAsia" w:cstheme="majorHAnsi"/>
                <w:color w:val="000000"/>
                <w:szCs w:val="18"/>
                <w:vertAlign w:val="superscript"/>
                <w:lang w:eastAsia="en-AU"/>
              </w:rPr>
              <w:t>(e)</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66</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B32DA4">
              <w:rPr>
                <w:rFonts w:eastAsiaTheme="minorEastAsia" w:cstheme="majorHAnsi"/>
                <w:color w:val="000000"/>
                <w:szCs w:val="18"/>
                <w:lang w:eastAsia="en-AU"/>
              </w:rPr>
              <w:t>..</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B32DA4">
              <w:rPr>
                <w:rFonts w:eastAsiaTheme="minorEastAsia" w:cstheme="majorHAnsi"/>
                <w:color w:val="000000"/>
                <w:szCs w:val="18"/>
                <w:lang w:eastAsia="en-AU"/>
              </w:rPr>
              <w:t>..</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B32DA4">
              <w:rPr>
                <w:rFonts w:eastAsiaTheme="minorEastAsia" w:cstheme="majorHAnsi"/>
                <w:color w:val="000000"/>
                <w:szCs w:val="18"/>
                <w:lang w:eastAsia="en-AU"/>
              </w:rPr>
              <w:t>..</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8"/>
                <w:lang w:eastAsia="en-AU"/>
              </w:rPr>
            </w:pPr>
            <w:r w:rsidRPr="00B32DA4">
              <w:rPr>
                <w:rFonts w:eastAsiaTheme="minorEastAsia" w:cstheme="majorHAnsi"/>
                <w:color w:val="000000"/>
                <w:szCs w:val="18"/>
                <w:lang w:eastAsia="en-AU"/>
              </w:rPr>
              <w:t xml:space="preserve">   Other administrative variations</w:t>
            </w:r>
          </w:p>
        </w:tc>
        <w:tc>
          <w:tcPr>
            <w:tcW w:w="850" w:type="dxa"/>
            <w:tcBorders>
              <w:top w:val="nil"/>
              <w:left w:val="nil"/>
              <w:bottom w:val="single" w:sz="6" w:space="0" w:color="auto"/>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B32DA4">
              <w:rPr>
                <w:rFonts w:eastAsiaTheme="minorEastAsia" w:cstheme="majorHAnsi"/>
                <w:color w:val="000000"/>
                <w:szCs w:val="18"/>
                <w:lang w:eastAsia="en-AU"/>
              </w:rPr>
              <w:t xml:space="preserve">1 </w:t>
            </w:r>
            <w:r w:rsidRPr="00B32DA4">
              <w:t>010</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(434)</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(396)</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(273)</w:t>
            </w: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20"/>
                <w:lang w:eastAsia="en-AU"/>
              </w:rPr>
            </w:pPr>
            <w:r w:rsidRPr="00B32DA4">
              <w:rPr>
                <w:rFonts w:eastAsiaTheme="minorEastAsia" w:cstheme="majorHAnsi"/>
                <w:color w:val="000000"/>
                <w:szCs w:val="20"/>
                <w:lang w:eastAsia="en-AU"/>
              </w:rPr>
              <w:t xml:space="preserve"> </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b/>
              </w:rPr>
            </w:pPr>
            <w:r w:rsidRPr="00B32DA4">
              <w:rPr>
                <w:rFonts w:eastAsiaTheme="minorEastAsia" w:cstheme="majorHAnsi"/>
                <w:b/>
                <w:bCs/>
                <w:color w:val="000000"/>
                <w:szCs w:val="20"/>
                <w:lang w:eastAsia="en-AU"/>
              </w:rPr>
              <w:t xml:space="preserve">1 </w:t>
            </w:r>
            <w:r w:rsidRPr="00B32DA4">
              <w:rPr>
                <w:b/>
              </w:rPr>
              <w:t>076</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(434)</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(396)</w:t>
            </w:r>
          </w:p>
        </w:tc>
        <w:tc>
          <w:tcPr>
            <w:tcW w:w="850" w:type="dxa"/>
            <w:tcBorders>
              <w:top w:val="nil"/>
              <w:left w:val="nil"/>
              <w:bottom w:val="nil"/>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20"/>
                <w:lang w:eastAsia="en-AU"/>
              </w:rPr>
              <w:t>(273)</w:t>
            </w:r>
          </w:p>
        </w:tc>
      </w:tr>
      <w:tr w:rsidR="00B32D50" w:rsidRPr="00B32DA4" w:rsidTr="00F17BCD">
        <w:trPr>
          <w:trHeight w:hRule="exact" w:val="12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20"/>
                <w:lang w:eastAsia="en-AU"/>
              </w:rPr>
            </w:pPr>
            <w:r w:rsidRPr="00B32DA4">
              <w:rPr>
                <w:rFonts w:eastAsiaTheme="minorEastAsia" w:cstheme="majorHAnsi"/>
                <w:color w:val="000000"/>
                <w:szCs w:val="20"/>
                <w:lang w:eastAsia="en-AU"/>
              </w:rPr>
              <w:t xml:space="preserve"> </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p>
        </w:tc>
      </w:tr>
      <w:tr w:rsidR="00B32D50" w:rsidRPr="00B32DA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b/>
                <w:bCs/>
                <w:i/>
                <w:iCs/>
                <w:color w:val="000000"/>
                <w:szCs w:val="18"/>
                <w:lang w:eastAsia="en-AU"/>
              </w:rPr>
            </w:pPr>
            <w:r w:rsidRPr="00B32DA4">
              <w:rPr>
                <w:rFonts w:eastAsiaTheme="minorEastAsia" w:cstheme="majorHAnsi"/>
                <w:b/>
                <w:bCs/>
                <w:color w:val="000000"/>
                <w:szCs w:val="18"/>
                <w:lang w:eastAsia="en-AU"/>
              </w:rPr>
              <w:t xml:space="preserve">Total variation since </w:t>
            </w:r>
            <w:r w:rsidRPr="00B32DA4">
              <w:rPr>
                <w:rFonts w:eastAsiaTheme="minorEastAsia" w:cstheme="majorHAnsi"/>
                <w:b/>
                <w:bCs/>
                <w:i/>
                <w:iCs/>
                <w:color w:val="000000"/>
                <w:szCs w:val="18"/>
                <w:lang w:eastAsia="en-AU"/>
              </w:rPr>
              <w:t>2018-19 Budget</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898</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(263)</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(59)</w:t>
            </w:r>
          </w:p>
        </w:tc>
        <w:tc>
          <w:tcPr>
            <w:tcW w:w="850" w:type="dxa"/>
            <w:tcBorders>
              <w:top w:val="nil"/>
              <w:left w:val="nil"/>
              <w:bottom w:val="single" w:sz="6" w:space="0" w:color="auto"/>
              <w:right w:val="nil"/>
            </w:tcBorders>
          </w:tcPr>
          <w:p w:rsidR="00B32D50" w:rsidRPr="00B32DA4" w:rsidRDefault="007051F4"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99</w:t>
            </w:r>
          </w:p>
        </w:tc>
      </w:tr>
      <w:tr w:rsidR="00B32D50" w:rsidRPr="00B32DA4"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B32D50" w:rsidRPr="00B32DA4" w:rsidRDefault="00B32D50" w:rsidP="00F17BCD">
            <w:pPr>
              <w:keepLines w:val="0"/>
              <w:autoSpaceDE w:val="0"/>
              <w:autoSpaceDN w:val="0"/>
              <w:adjustRightInd w:val="0"/>
              <w:rPr>
                <w:rFonts w:eastAsiaTheme="minorEastAsia" w:cstheme="majorHAnsi"/>
                <w:bCs/>
                <w:color w:val="000000"/>
                <w:szCs w:val="18"/>
                <w:lang w:eastAsia="en-AU"/>
              </w:rPr>
            </w:pPr>
            <w:r w:rsidRPr="00B32DA4">
              <w:rPr>
                <w:rFonts w:eastAsiaTheme="minorEastAsia" w:cstheme="majorHAnsi"/>
                <w:bCs/>
                <w:color w:val="000000"/>
                <w:szCs w:val="18"/>
                <w:lang w:eastAsia="en-AU"/>
              </w:rPr>
              <w:t>Net result from transactions</w:t>
            </w:r>
          </w:p>
        </w:tc>
        <w:tc>
          <w:tcPr>
            <w:tcW w:w="850" w:type="dxa"/>
            <w:tcBorders>
              <w:top w:val="nil"/>
              <w:bottom w:val="single" w:sz="12" w:space="0" w:color="auto"/>
            </w:tcBorders>
          </w:tcPr>
          <w:p w:rsidR="00B32D50" w:rsidRPr="00B32DA4"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B32DA4">
              <w:rPr>
                <w:rFonts w:eastAsiaTheme="minorEastAsia" w:cstheme="majorHAnsi"/>
                <w:bCs/>
                <w:color w:val="000000"/>
                <w:szCs w:val="18"/>
                <w:lang w:eastAsia="en-AU"/>
              </w:rPr>
              <w:t>2 277</w:t>
            </w:r>
          </w:p>
        </w:tc>
        <w:tc>
          <w:tcPr>
            <w:tcW w:w="850" w:type="dxa"/>
            <w:tcBorders>
              <w:top w:val="nil"/>
              <w:bottom w:val="single" w:sz="12" w:space="0" w:color="auto"/>
            </w:tcBorders>
          </w:tcPr>
          <w:p w:rsidR="00B32D50" w:rsidRPr="00B32DA4"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B32DA4">
              <w:rPr>
                <w:rFonts w:eastAsiaTheme="minorEastAsia" w:cstheme="majorHAnsi"/>
                <w:bCs/>
                <w:color w:val="000000"/>
                <w:szCs w:val="18"/>
                <w:lang w:eastAsia="en-AU"/>
              </w:rPr>
              <w:t>1 708</w:t>
            </w:r>
          </w:p>
        </w:tc>
        <w:tc>
          <w:tcPr>
            <w:tcW w:w="850" w:type="dxa"/>
            <w:tcBorders>
              <w:top w:val="nil"/>
              <w:bottom w:val="single" w:sz="12" w:space="0" w:color="auto"/>
            </w:tcBorders>
          </w:tcPr>
          <w:p w:rsidR="00B32D50" w:rsidRPr="00B32DA4"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B32DA4">
              <w:rPr>
                <w:rFonts w:eastAsiaTheme="minorEastAsia" w:cstheme="majorHAnsi"/>
                <w:bCs/>
                <w:color w:val="000000"/>
                <w:szCs w:val="18"/>
                <w:lang w:eastAsia="en-AU"/>
              </w:rPr>
              <w:t>2 656</w:t>
            </w:r>
          </w:p>
        </w:tc>
        <w:tc>
          <w:tcPr>
            <w:tcW w:w="850" w:type="dxa"/>
            <w:tcBorders>
              <w:top w:val="nil"/>
              <w:bottom w:val="single" w:sz="12" w:space="0" w:color="auto"/>
            </w:tcBorders>
          </w:tcPr>
          <w:p w:rsidR="00B32D50" w:rsidRPr="00B32DA4"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theme="majorHAnsi"/>
                <w:bCs/>
                <w:color w:val="000000"/>
                <w:szCs w:val="18"/>
                <w:lang w:eastAsia="en-AU"/>
              </w:rPr>
            </w:pPr>
            <w:r w:rsidRPr="00B32DA4">
              <w:rPr>
                <w:rFonts w:eastAsiaTheme="minorEastAsia" w:cstheme="majorHAnsi"/>
                <w:bCs/>
                <w:color w:val="000000"/>
                <w:szCs w:val="18"/>
                <w:lang w:eastAsia="en-AU"/>
              </w:rPr>
              <w:t>2 990</w:t>
            </w:r>
          </w:p>
        </w:tc>
      </w:tr>
    </w:tbl>
    <w:p w:rsidR="00B32D50" w:rsidRPr="00C203E5" w:rsidRDefault="00B32D50" w:rsidP="00F17BCD">
      <w:pPr>
        <w:pStyle w:val="Source"/>
      </w:pPr>
      <w:r w:rsidRPr="00C203E5">
        <w:t>Source: Department of Treasury and Finance</w:t>
      </w:r>
    </w:p>
    <w:p w:rsidR="00B32D50" w:rsidRPr="00C203E5" w:rsidRDefault="00B32D50" w:rsidP="00F17BCD">
      <w:pPr>
        <w:pStyle w:val="Note"/>
      </w:pPr>
      <w:r w:rsidRPr="00C203E5">
        <w:t>Notes:</w:t>
      </w:r>
    </w:p>
    <w:p w:rsidR="00B32D50" w:rsidRPr="00C203E5" w:rsidRDefault="00B32D50" w:rsidP="00F17BCD">
      <w:pPr>
        <w:pStyle w:val="Note"/>
      </w:pPr>
      <w:r w:rsidRPr="00C203E5">
        <w:t xml:space="preserve">(a) </w:t>
      </w:r>
      <w:r w:rsidRPr="00C203E5">
        <w:tab/>
        <w:t>Figures in this table are subject to rounding to the nearest</w:t>
      </w:r>
      <w:r>
        <w:t> million</w:t>
      </w:r>
      <w:r w:rsidRPr="00C203E5">
        <w:t xml:space="preserve"> and may not add up to totals.</w:t>
      </w:r>
    </w:p>
    <w:p w:rsidR="00B32D50" w:rsidRPr="00C203E5" w:rsidRDefault="00B32D50" w:rsidP="00F17BCD">
      <w:pPr>
        <w:pStyle w:val="Note"/>
      </w:pPr>
      <w:r w:rsidRPr="00C203E5">
        <w:t xml:space="preserve">(b) </w:t>
      </w:r>
      <w:r w:rsidRPr="00C203E5">
        <w:tab/>
      </w:r>
      <w:r>
        <w:t>This is represented in Table 2.4</w:t>
      </w:r>
      <w:r w:rsidRPr="00C203E5">
        <w:t>.</w:t>
      </w:r>
    </w:p>
    <w:p w:rsidR="00B32D50" w:rsidRPr="00C203E5" w:rsidRDefault="00B32D50" w:rsidP="00F17BCD">
      <w:pPr>
        <w:pStyle w:val="Note"/>
      </w:pPr>
      <w:r w:rsidRPr="00C203E5">
        <w:t>(c)</w:t>
      </w:r>
      <w:r w:rsidRPr="00C203E5">
        <w:tab/>
        <w:t>Comprises dividends, income tax and rate equivalent revenue and interest.</w:t>
      </w:r>
    </w:p>
    <w:p w:rsidR="00B32D50" w:rsidRPr="00C203E5" w:rsidRDefault="00B32D50" w:rsidP="00F17BCD">
      <w:pPr>
        <w:pStyle w:val="Note"/>
      </w:pPr>
      <w:r w:rsidRPr="00C203E5">
        <w:t>(d)</w:t>
      </w:r>
      <w:r w:rsidRPr="00C203E5">
        <w:tab/>
        <w:t xml:space="preserve">Reflects the change in grant revenue as per </w:t>
      </w:r>
      <w:r>
        <w:t xml:space="preserve">Chapter 3 Note 3.2.4 </w:t>
      </w:r>
      <w:r w:rsidRPr="008E4B08">
        <w:rPr>
          <w:i w:val="0"/>
        </w:rPr>
        <w:t xml:space="preserve">Grant </w:t>
      </w:r>
      <w:r>
        <w:rPr>
          <w:i w:val="0"/>
        </w:rPr>
        <w:t>r</w:t>
      </w:r>
      <w:r w:rsidRPr="008E4B08">
        <w:rPr>
          <w:i w:val="0"/>
        </w:rPr>
        <w:t>evenue</w:t>
      </w:r>
      <w:r>
        <w:rPr>
          <w:i w:val="0"/>
        </w:rPr>
        <w:t xml:space="preserve"> </w:t>
      </w:r>
      <w:r w:rsidRPr="00224C50">
        <w:t>less associated expense movements</w:t>
      </w:r>
      <w:r>
        <w:t>.</w:t>
      </w:r>
    </w:p>
    <w:p w:rsidR="00B32D50" w:rsidRPr="00C203E5" w:rsidRDefault="00B32D50" w:rsidP="00F17BCD">
      <w:pPr>
        <w:pStyle w:val="Note"/>
      </w:pPr>
      <w:r w:rsidRPr="00C203E5">
        <w:t>(e)</w:t>
      </w:r>
      <w:r w:rsidRPr="00C203E5">
        <w:tab/>
        <w:t xml:space="preserve">Represents releases from the funding not allocated to specific purposes contingency </w:t>
      </w:r>
      <w:r>
        <w:t>included in the</w:t>
      </w:r>
      <w:r w:rsidRPr="00C203E5">
        <w:t xml:space="preserve"> </w:t>
      </w:r>
      <w:r w:rsidRPr="00C203E5">
        <w:rPr>
          <w:i w:val="0"/>
        </w:rPr>
        <w:t>2018-19 Budget</w:t>
      </w:r>
      <w:r w:rsidRPr="00C203E5">
        <w:t xml:space="preserve">. Further information on total output contingencies can be found at </w:t>
      </w:r>
      <w:r>
        <w:t>Note 3.3.5</w:t>
      </w:r>
      <w:r w:rsidRPr="00435173">
        <w:t xml:space="preserve"> of </w:t>
      </w:r>
      <w:r>
        <w:t>Chapter 3</w:t>
      </w:r>
      <w:r w:rsidRPr="00916A19">
        <w:t xml:space="preserve"> </w:t>
      </w:r>
      <w:r>
        <w:rPr>
          <w:i w:val="0"/>
        </w:rPr>
        <w:t>Estimated financial s</w:t>
      </w:r>
      <w:r w:rsidRPr="008E4B08">
        <w:rPr>
          <w:i w:val="0"/>
        </w:rPr>
        <w:t xml:space="preserve">tatements </w:t>
      </w:r>
      <w:r>
        <w:rPr>
          <w:i w:val="0"/>
        </w:rPr>
        <w:t>and notes</w:t>
      </w:r>
      <w:r>
        <w:t>.</w:t>
      </w:r>
    </w:p>
    <w:p w:rsidR="00B32D50" w:rsidRPr="00C203E5" w:rsidRDefault="00B32D50" w:rsidP="00F17BCD">
      <w:pPr>
        <w:keepLines w:val="0"/>
        <w:rPr>
          <w:rFonts w:asciiTheme="majorHAnsi" w:hAnsiTheme="majorHAnsi" w:cstheme="majorBidi"/>
          <w:b/>
          <w:bCs/>
          <w:spacing w:val="-2"/>
          <w:sz w:val="23"/>
          <w:szCs w:val="26"/>
        </w:rPr>
      </w:pPr>
      <w:r w:rsidRPr="00C203E5">
        <w:br w:type="page"/>
      </w:r>
    </w:p>
    <w:p w:rsidR="00B32D50" w:rsidRPr="00C203E5" w:rsidRDefault="00B32D50" w:rsidP="00F17BCD">
      <w:pPr>
        <w:pStyle w:val="Heading4"/>
        <w:rPr>
          <w:rFonts w:eastAsiaTheme="minorHAnsi"/>
          <w:b/>
        </w:rPr>
      </w:pPr>
      <w:r w:rsidRPr="00C203E5">
        <w:rPr>
          <w:rFonts w:eastAsiaTheme="minorHAnsi"/>
        </w:rPr>
        <w:lastRenderedPageBreak/>
        <w:t>Policy variations</w:t>
      </w:r>
    </w:p>
    <w:p w:rsidR="00B32D50" w:rsidRPr="00C203E5" w:rsidRDefault="00B32D50" w:rsidP="00F17BCD">
      <w:r w:rsidRPr="00C203E5">
        <w:t xml:space="preserve">Policy variations reflect specific initiatives by the Government that have an impact on the next four years, and are related to a new policy or represent a change in the Government’s existing policy position since the </w:t>
      </w:r>
      <w:r w:rsidRPr="00A94268">
        <w:rPr>
          <w:i/>
        </w:rPr>
        <w:t>2018-19 Budget</w:t>
      </w:r>
      <w:r w:rsidRPr="00C203E5">
        <w:t>.</w:t>
      </w:r>
    </w:p>
    <w:p w:rsidR="00B32D50" w:rsidRPr="00C203E5" w:rsidRDefault="00B32D50" w:rsidP="00F17BCD">
      <w:r>
        <w:t xml:space="preserve">Appendix A </w:t>
      </w:r>
      <w:r w:rsidRPr="006341FF">
        <w:rPr>
          <w:i/>
        </w:rPr>
        <w:t>Specific policy initiatives affecting budget position</w:t>
      </w:r>
      <w:r>
        <w:t xml:space="preserve"> d</w:t>
      </w:r>
      <w:r w:rsidRPr="00C203E5">
        <w:t xml:space="preserve">etails </w:t>
      </w:r>
      <w:r>
        <w:t>the</w:t>
      </w:r>
      <w:r w:rsidRPr="00C203E5">
        <w:t xml:space="preserve"> specific new output and revenue poli</w:t>
      </w:r>
      <w:r>
        <w:t xml:space="preserve">cy decisions of Government since the </w:t>
      </w:r>
      <w:r w:rsidRPr="00A94268">
        <w:rPr>
          <w:i/>
        </w:rPr>
        <w:t>2018-19 Budget</w:t>
      </w:r>
      <w:r>
        <w:t xml:space="preserve"> and before the issue of the election writs on 30 October 2018.</w:t>
      </w:r>
    </w:p>
    <w:p w:rsidR="00B32D50" w:rsidRPr="00B32DA4" w:rsidRDefault="00B32D50" w:rsidP="00F17BCD">
      <w:pPr>
        <w:pStyle w:val="TableHeading"/>
      </w:pPr>
      <w:r w:rsidRPr="00C203E5">
        <w:t xml:space="preserve">Table </w:t>
      </w:r>
      <w:r>
        <w:t>2.4</w:t>
      </w:r>
      <w:r w:rsidRPr="00C203E5">
        <w:t>:</w:t>
      </w:r>
      <w:r w:rsidRPr="00C203E5">
        <w:tab/>
        <w:t xml:space="preserve">Net impact of new output initiatives </w:t>
      </w:r>
      <w:r>
        <w:t xml:space="preserve">since the </w:t>
      </w:r>
      <w:r w:rsidRPr="00C203E5">
        <w:rPr>
          <w:i/>
        </w:rPr>
        <w:t>2018</w:t>
      </w:r>
      <w:r w:rsidRPr="00C203E5">
        <w:rPr>
          <w:i/>
        </w:rPr>
        <w:noBreakHyphen/>
        <w:t>19 Budget</w:t>
      </w:r>
      <w:r w:rsidRPr="00C203E5">
        <w:t xml:space="preserve"> </w:t>
      </w:r>
      <w:r w:rsidRPr="00C203E5">
        <w:rPr>
          <w:vertAlign w:val="superscript"/>
        </w:rPr>
        <w:t>(a)</w:t>
      </w:r>
      <w:r w:rsidRPr="00C203E5">
        <w:t xml:space="preserve"> </w:t>
      </w:r>
      <w:r w:rsidRPr="00C203E5">
        <w:tab/>
        <w:t>($</w:t>
      </w:r>
      <w:r>
        <w:t> million</w:t>
      </w:r>
      <w:r w:rsidRPr="00C203E5">
        <w:t>)</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4367"/>
        <w:gridCol w:w="850"/>
        <w:gridCol w:w="850"/>
        <w:gridCol w:w="850"/>
        <w:gridCol w:w="850"/>
      </w:tblGrid>
      <w:tr w:rsidR="00CF507D" w:rsidRPr="00B32DA4" w:rsidTr="00642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nil"/>
              <w:left w:val="nil"/>
              <w:right w:val="nil"/>
            </w:tcBorders>
            <w:shd w:val="solid" w:color="000000" w:fill="auto"/>
          </w:tcPr>
          <w:p w:rsidR="00CF507D" w:rsidRPr="00B32DA4" w:rsidRDefault="00CF507D" w:rsidP="00F17BCD">
            <w:pPr>
              <w:keepLines w:val="0"/>
              <w:autoSpaceDE w:val="0"/>
              <w:autoSpaceDN w:val="0"/>
              <w:adjustRightInd w:val="0"/>
              <w:rPr>
                <w:rFonts w:eastAsiaTheme="minorEastAsia" w:cstheme="majorHAnsi"/>
                <w:i w:val="0"/>
                <w:iCs/>
                <w:color w:val="FFFFFF"/>
                <w:szCs w:val="17"/>
                <w:lang w:eastAsia="en-AU"/>
              </w:rPr>
            </w:pPr>
            <w:r w:rsidRPr="00B32DA4">
              <w:rPr>
                <w:rFonts w:eastAsiaTheme="minorEastAsia" w:cstheme="majorHAnsi"/>
                <w:iCs/>
                <w:color w:val="FFFFFF"/>
                <w:szCs w:val="17"/>
                <w:lang w:eastAsia="en-AU"/>
              </w:rPr>
              <w:t xml:space="preserve"> </w:t>
            </w:r>
          </w:p>
          <w:p w:rsidR="00CF507D" w:rsidRPr="00B32DA4" w:rsidRDefault="00CF507D" w:rsidP="00F17BCD">
            <w:pPr>
              <w:autoSpaceDE w:val="0"/>
              <w:autoSpaceDN w:val="0"/>
              <w:adjustRightInd w:val="0"/>
              <w:rPr>
                <w:rFonts w:eastAsiaTheme="minorEastAsia" w:cstheme="majorHAnsi"/>
                <w:iCs/>
                <w:color w:val="FFFFFF"/>
                <w:szCs w:val="17"/>
                <w:lang w:eastAsia="en-AU"/>
              </w:rPr>
            </w:pPr>
            <w:r w:rsidRPr="00B32DA4">
              <w:rPr>
                <w:rFonts w:eastAsiaTheme="minorEastAsia" w:cstheme="majorHAnsi"/>
                <w:i w:val="0"/>
                <w:iCs/>
                <w:color w:val="FFFFFF"/>
                <w:szCs w:val="17"/>
                <w:lang w:eastAsia="en-AU"/>
              </w:rPr>
              <w:t xml:space="preserve"> </w:t>
            </w:r>
          </w:p>
        </w:tc>
        <w:tc>
          <w:tcPr>
            <w:tcW w:w="850" w:type="dxa"/>
            <w:tcBorders>
              <w:top w:val="nil"/>
              <w:left w:val="nil"/>
              <w:right w:val="nil"/>
            </w:tcBorders>
            <w:shd w:val="solid" w:color="000000" w:fill="auto"/>
          </w:tcPr>
          <w:p w:rsidR="00CF507D" w:rsidRPr="00CF507D" w:rsidRDefault="00CF507D" w:rsidP="00CF507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507D">
              <w:t>2018</w:t>
            </w:r>
            <w:r w:rsidRPr="00CF507D">
              <w:rPr>
                <w:rFonts w:ascii="Cambria Math" w:hAnsi="Cambria Math" w:cs="Cambria Math"/>
              </w:rPr>
              <w:t>‑</w:t>
            </w:r>
            <w:r w:rsidRPr="00CF507D">
              <w:t>19 revised</w:t>
            </w:r>
          </w:p>
        </w:tc>
        <w:tc>
          <w:tcPr>
            <w:tcW w:w="850" w:type="dxa"/>
            <w:tcBorders>
              <w:top w:val="nil"/>
              <w:left w:val="nil"/>
              <w:right w:val="nil"/>
            </w:tcBorders>
            <w:shd w:val="solid" w:color="000000" w:fill="auto"/>
          </w:tcPr>
          <w:p w:rsidR="00CF507D" w:rsidRPr="00CF507D" w:rsidRDefault="00CF507D" w:rsidP="00CF507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507D">
              <w:t>2019</w:t>
            </w:r>
            <w:r w:rsidRPr="00CF507D">
              <w:rPr>
                <w:rFonts w:ascii="Cambria Math" w:hAnsi="Cambria Math" w:cs="Cambria Math"/>
              </w:rPr>
              <w:t>‑</w:t>
            </w:r>
            <w:r w:rsidRPr="00CF507D">
              <w:t>20 estimate</w:t>
            </w:r>
          </w:p>
        </w:tc>
        <w:tc>
          <w:tcPr>
            <w:tcW w:w="850" w:type="dxa"/>
            <w:tcBorders>
              <w:top w:val="nil"/>
              <w:left w:val="nil"/>
              <w:right w:val="nil"/>
            </w:tcBorders>
            <w:shd w:val="solid" w:color="000000" w:fill="auto"/>
          </w:tcPr>
          <w:p w:rsidR="00CF507D" w:rsidRPr="00CF507D" w:rsidRDefault="00CF507D" w:rsidP="00CF507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507D">
              <w:t>2020</w:t>
            </w:r>
            <w:r w:rsidRPr="00CF507D">
              <w:rPr>
                <w:rFonts w:ascii="Cambria Math" w:hAnsi="Cambria Math" w:cs="Cambria Math"/>
              </w:rPr>
              <w:t>‑</w:t>
            </w:r>
            <w:r w:rsidRPr="00CF507D">
              <w:t>21 estimate</w:t>
            </w:r>
          </w:p>
        </w:tc>
        <w:tc>
          <w:tcPr>
            <w:tcW w:w="850" w:type="dxa"/>
            <w:tcBorders>
              <w:top w:val="nil"/>
              <w:left w:val="nil"/>
              <w:right w:val="nil"/>
            </w:tcBorders>
            <w:shd w:val="solid" w:color="000000" w:fill="auto"/>
          </w:tcPr>
          <w:p w:rsidR="00CF507D" w:rsidRPr="00CF507D" w:rsidRDefault="00CF507D" w:rsidP="00CF507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507D">
              <w:t>2021</w:t>
            </w:r>
            <w:r w:rsidRPr="00CF507D">
              <w:rPr>
                <w:rFonts w:ascii="Cambria Math" w:hAnsi="Cambria Math" w:cs="Cambria Math"/>
              </w:rPr>
              <w:t>‑</w:t>
            </w:r>
            <w:r w:rsidRPr="00CF507D">
              <w:t>22 estimate</w:t>
            </w:r>
          </w:p>
        </w:tc>
      </w:tr>
      <w:tr w:rsidR="00B32D50" w:rsidRPr="00B32DA4" w:rsidTr="00CF507D">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b/>
                <w:bCs/>
                <w:color w:val="000000"/>
                <w:szCs w:val="17"/>
                <w:lang w:eastAsia="en-AU"/>
              </w:rPr>
            </w:pPr>
            <w:r w:rsidRPr="00B32DA4">
              <w:rPr>
                <w:rFonts w:eastAsiaTheme="minorEastAsia" w:cstheme="majorHAnsi"/>
                <w:b/>
                <w:bCs/>
                <w:color w:val="000000"/>
                <w:szCs w:val="17"/>
                <w:lang w:eastAsia="en-AU"/>
              </w:rPr>
              <w:t>New output initiatives</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7"/>
                <w:lang w:eastAsia="en-AU"/>
              </w:rPr>
              <w:t>480</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7"/>
                <w:lang w:eastAsia="en-AU"/>
              </w:rPr>
              <w:t>351</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7"/>
                <w:lang w:eastAsia="en-AU"/>
              </w:rPr>
              <w:t>348</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7"/>
                <w:lang w:eastAsia="en-AU"/>
              </w:rPr>
              <w:t>373</w:t>
            </w:r>
          </w:p>
        </w:tc>
      </w:tr>
      <w:tr w:rsidR="00B32D50" w:rsidRPr="00B32DA4" w:rsidTr="00CF507D">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7"/>
                <w:lang w:eastAsia="en-AU"/>
              </w:rPr>
            </w:pPr>
            <w:r w:rsidRPr="00B32DA4">
              <w:rPr>
                <w:rFonts w:eastAsiaTheme="minorEastAsia" w:cstheme="majorHAnsi"/>
                <w:color w:val="000000"/>
                <w:szCs w:val="17"/>
                <w:lang w:eastAsia="en-AU"/>
              </w:rPr>
              <w:t>Less:</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7"/>
                <w:lang w:eastAsia="en-AU"/>
              </w:rPr>
            </w:pPr>
            <w:r w:rsidRPr="00B32DA4">
              <w:rPr>
                <w:rFonts w:eastAsiaTheme="minorEastAsia" w:cstheme="majorHAnsi"/>
                <w:b/>
                <w:bCs/>
                <w:color w:val="000000"/>
                <w:szCs w:val="17"/>
                <w:lang w:eastAsia="en-AU"/>
              </w:rPr>
              <w:t xml:space="preserve"> </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7"/>
                <w:lang w:eastAsia="en-AU"/>
              </w:rPr>
            </w:pPr>
            <w:r w:rsidRPr="00B32DA4">
              <w:rPr>
                <w:rFonts w:eastAsiaTheme="minorEastAsia" w:cstheme="majorHAnsi"/>
                <w:b/>
                <w:bCs/>
                <w:color w:val="000000"/>
                <w:szCs w:val="17"/>
                <w:lang w:eastAsia="en-AU"/>
              </w:rPr>
              <w:t xml:space="preserve"> </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7"/>
                <w:lang w:eastAsia="en-AU"/>
              </w:rPr>
            </w:pPr>
            <w:r w:rsidRPr="00B32DA4">
              <w:rPr>
                <w:rFonts w:eastAsiaTheme="minorEastAsia" w:cstheme="majorHAnsi"/>
                <w:b/>
                <w:bCs/>
                <w:color w:val="000000"/>
                <w:szCs w:val="17"/>
                <w:lang w:eastAsia="en-AU"/>
              </w:rPr>
              <w:t xml:space="preserve"> </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7"/>
                <w:lang w:eastAsia="en-AU"/>
              </w:rPr>
            </w:pPr>
            <w:r w:rsidRPr="00B32DA4">
              <w:rPr>
                <w:rFonts w:eastAsiaTheme="minorEastAsia" w:cstheme="majorHAnsi"/>
                <w:b/>
                <w:bCs/>
                <w:color w:val="000000"/>
                <w:szCs w:val="17"/>
                <w:lang w:eastAsia="en-AU"/>
              </w:rPr>
              <w:t xml:space="preserve"> </w:t>
            </w:r>
          </w:p>
        </w:tc>
      </w:tr>
      <w:tr w:rsidR="00B32D50" w:rsidRPr="00B32DA4" w:rsidTr="00CF507D">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7"/>
                <w:lang w:eastAsia="en-AU"/>
              </w:rPr>
            </w:pPr>
            <w:r w:rsidRPr="00B32DA4">
              <w:rPr>
                <w:rFonts w:eastAsiaTheme="minorEastAsia" w:cstheme="majorHAnsi"/>
                <w:color w:val="000000"/>
                <w:szCs w:val="17"/>
                <w:lang w:eastAsia="en-AU"/>
              </w:rPr>
              <w:t xml:space="preserve">      Reprioritisations and revenue offsets </w:t>
            </w:r>
            <w:r w:rsidRPr="00B32DA4">
              <w:rPr>
                <w:rFonts w:eastAsiaTheme="minorEastAsia" w:cstheme="majorHAnsi"/>
                <w:color w:val="000000"/>
                <w:szCs w:val="17"/>
                <w:vertAlign w:val="superscript"/>
                <w:lang w:eastAsia="en-AU"/>
              </w:rPr>
              <w:t>(b)</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7"/>
                <w:lang w:eastAsia="en-AU"/>
              </w:rPr>
              <w:t>37</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7"/>
                <w:lang w:eastAsia="en-AU"/>
              </w:rPr>
              <w:t>22</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r>
      <w:tr w:rsidR="00B32D50" w:rsidRPr="00B32DA4" w:rsidTr="00CF507D">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7"/>
                <w:lang w:eastAsia="en-AU"/>
              </w:rPr>
            </w:pPr>
            <w:r w:rsidRPr="00B32DA4">
              <w:rPr>
                <w:rFonts w:eastAsiaTheme="minorEastAsia" w:cstheme="majorHAnsi"/>
                <w:color w:val="000000"/>
                <w:szCs w:val="17"/>
                <w:lang w:eastAsia="en-AU"/>
              </w:rPr>
              <w:t xml:space="preserve">      Adjustments </w:t>
            </w:r>
            <w:r w:rsidRPr="00B32DA4">
              <w:rPr>
                <w:rFonts w:eastAsiaTheme="minorEastAsia" w:cstheme="majorHAnsi"/>
                <w:color w:val="000000"/>
                <w:szCs w:val="17"/>
                <w:vertAlign w:val="superscript"/>
                <w:lang w:eastAsia="en-AU"/>
              </w:rPr>
              <w:t>(c)</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7"/>
                <w:lang w:eastAsia="en-AU"/>
              </w:rPr>
              <w:t>(92)</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7"/>
                <w:lang w:eastAsia="en-AU"/>
              </w:rPr>
              <w:t>195</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7"/>
                <w:lang w:eastAsia="en-AU"/>
              </w:rPr>
              <w:t>256</w:t>
            </w:r>
          </w:p>
        </w:tc>
        <w:tc>
          <w:tcPr>
            <w:tcW w:w="850" w:type="dxa"/>
            <w:tcBorders>
              <w:top w:val="nil"/>
              <w:left w:val="nil"/>
              <w:bottom w:val="nil"/>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7"/>
                <w:lang w:eastAsia="en-AU"/>
              </w:rPr>
              <w:t>277</w:t>
            </w:r>
          </w:p>
        </w:tc>
      </w:tr>
      <w:tr w:rsidR="00B32D50" w:rsidRPr="00B32DA4" w:rsidTr="00CF507D">
        <w:tc>
          <w:tcPr>
            <w:cnfStyle w:val="001000000000" w:firstRow="0" w:lastRow="0" w:firstColumn="1" w:lastColumn="0" w:oddVBand="0" w:evenVBand="0" w:oddHBand="0" w:evenHBand="0" w:firstRowFirstColumn="0" w:firstRowLastColumn="0" w:lastRowFirstColumn="0" w:lastRowLastColumn="0"/>
            <w:tcW w:w="4367" w:type="dxa"/>
            <w:tcBorders>
              <w:top w:val="nil"/>
              <w:left w:val="nil"/>
              <w:bottom w:val="nil"/>
              <w:right w:val="nil"/>
            </w:tcBorders>
          </w:tcPr>
          <w:p w:rsidR="00B32D50" w:rsidRPr="00B32DA4" w:rsidRDefault="00B32D50" w:rsidP="00F17BCD">
            <w:pPr>
              <w:keepLines w:val="0"/>
              <w:autoSpaceDE w:val="0"/>
              <w:autoSpaceDN w:val="0"/>
              <w:adjustRightInd w:val="0"/>
              <w:rPr>
                <w:rFonts w:eastAsiaTheme="minorEastAsia" w:cstheme="majorHAnsi"/>
                <w:color w:val="000000"/>
                <w:szCs w:val="17"/>
                <w:lang w:eastAsia="en-AU"/>
              </w:rPr>
            </w:pPr>
            <w:r w:rsidRPr="00B32DA4">
              <w:rPr>
                <w:rFonts w:eastAsiaTheme="minorEastAsia" w:cstheme="majorHAnsi"/>
                <w:color w:val="000000"/>
                <w:szCs w:val="17"/>
                <w:lang w:eastAsia="en-AU"/>
              </w:rPr>
              <w:t xml:space="preserve">      Savings</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c>
          <w:tcPr>
            <w:tcW w:w="850" w:type="dxa"/>
            <w:tcBorders>
              <w:top w:val="nil"/>
              <w:left w:val="nil"/>
              <w:bottom w:val="nil"/>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r>
      <w:tr w:rsidR="00B32D50" w:rsidRPr="00B32DA4" w:rsidTr="00CF507D">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left w:val="nil"/>
              <w:bottom w:val="single" w:sz="6" w:space="0" w:color="auto"/>
              <w:right w:val="nil"/>
            </w:tcBorders>
          </w:tcPr>
          <w:p w:rsidR="00B32D50" w:rsidRPr="00B32DA4" w:rsidRDefault="00B32D50" w:rsidP="00F17BCD">
            <w:pPr>
              <w:keepLines w:val="0"/>
              <w:autoSpaceDE w:val="0"/>
              <w:autoSpaceDN w:val="0"/>
              <w:adjustRightInd w:val="0"/>
              <w:rPr>
                <w:rFonts w:eastAsiaTheme="minorEastAsia" w:cstheme="majorHAnsi"/>
                <w:b/>
                <w:bCs/>
                <w:i/>
                <w:iCs/>
                <w:color w:val="000000"/>
                <w:szCs w:val="17"/>
                <w:lang w:eastAsia="en-AU"/>
              </w:rPr>
            </w:pPr>
            <w:r w:rsidRPr="00B32DA4">
              <w:rPr>
                <w:rFonts w:eastAsiaTheme="minorEastAsia" w:cstheme="majorHAnsi"/>
                <w:b/>
                <w:bCs/>
                <w:color w:val="000000"/>
                <w:szCs w:val="17"/>
                <w:lang w:eastAsia="en-AU"/>
              </w:rPr>
              <w:t xml:space="preserve">2018-19 </w:t>
            </w:r>
            <w:r w:rsidRPr="00B32DA4">
              <w:rPr>
                <w:rFonts w:eastAsiaTheme="minorEastAsia" w:cstheme="majorHAnsi"/>
                <w:b/>
                <w:bCs/>
                <w:i/>
                <w:iCs/>
                <w:color w:val="000000"/>
                <w:szCs w:val="17"/>
                <w:lang w:eastAsia="en-AU"/>
              </w:rPr>
              <w:t>output policy initiatives</w:t>
            </w:r>
          </w:p>
        </w:tc>
        <w:tc>
          <w:tcPr>
            <w:tcW w:w="850" w:type="dxa"/>
            <w:tcBorders>
              <w:top w:val="single" w:sz="6" w:space="0" w:color="auto"/>
              <w:left w:val="nil"/>
              <w:bottom w:val="single" w:sz="6" w:space="0" w:color="auto"/>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7"/>
                <w:lang w:eastAsia="en-AU"/>
              </w:rPr>
              <w:t>535</w:t>
            </w:r>
          </w:p>
        </w:tc>
        <w:tc>
          <w:tcPr>
            <w:tcW w:w="850" w:type="dxa"/>
            <w:tcBorders>
              <w:top w:val="single" w:sz="6" w:space="0" w:color="auto"/>
              <w:left w:val="nil"/>
              <w:bottom w:val="single" w:sz="6" w:space="0" w:color="auto"/>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7"/>
                <w:lang w:eastAsia="en-AU"/>
              </w:rPr>
              <w:t>133</w:t>
            </w:r>
          </w:p>
        </w:tc>
        <w:tc>
          <w:tcPr>
            <w:tcW w:w="850" w:type="dxa"/>
            <w:tcBorders>
              <w:top w:val="single" w:sz="6" w:space="0" w:color="auto"/>
              <w:left w:val="nil"/>
              <w:bottom w:val="single" w:sz="6" w:space="0" w:color="auto"/>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7"/>
                <w:lang w:eastAsia="en-AU"/>
              </w:rPr>
              <w:t>92</w:t>
            </w:r>
          </w:p>
        </w:tc>
        <w:tc>
          <w:tcPr>
            <w:tcW w:w="850" w:type="dxa"/>
            <w:tcBorders>
              <w:top w:val="single" w:sz="6" w:space="0" w:color="auto"/>
              <w:left w:val="nil"/>
              <w:bottom w:val="single" w:sz="6" w:space="0" w:color="auto"/>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7"/>
                <w:lang w:eastAsia="en-AU"/>
              </w:rPr>
              <w:t>96</w:t>
            </w:r>
          </w:p>
        </w:tc>
      </w:tr>
      <w:tr w:rsidR="00B32D50" w:rsidRPr="00B32DA4" w:rsidTr="00CF507D">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left w:val="nil"/>
              <w:bottom w:val="single" w:sz="6" w:space="0" w:color="auto"/>
              <w:right w:val="nil"/>
            </w:tcBorders>
          </w:tcPr>
          <w:p w:rsidR="00B32D50" w:rsidRPr="00B32DA4" w:rsidRDefault="00B32D50" w:rsidP="00F17BCD">
            <w:pPr>
              <w:keepLines w:val="0"/>
              <w:autoSpaceDE w:val="0"/>
              <w:autoSpaceDN w:val="0"/>
              <w:adjustRightInd w:val="0"/>
              <w:rPr>
                <w:rFonts w:eastAsiaTheme="minorEastAsia" w:cstheme="majorHAnsi"/>
                <w:color w:val="000000"/>
                <w:szCs w:val="17"/>
                <w:lang w:eastAsia="en-AU"/>
              </w:rPr>
            </w:pPr>
            <w:r w:rsidRPr="00B32DA4">
              <w:rPr>
                <w:rFonts w:eastAsiaTheme="minorEastAsia" w:cstheme="majorHAnsi"/>
                <w:color w:val="000000"/>
                <w:szCs w:val="17"/>
                <w:lang w:eastAsia="en-AU"/>
              </w:rPr>
              <w:t xml:space="preserve">Less: contingency offset for new policy </w:t>
            </w:r>
            <w:r w:rsidRPr="00B32DA4">
              <w:rPr>
                <w:rFonts w:eastAsiaTheme="minorEastAsia" w:cstheme="majorHAnsi"/>
                <w:color w:val="000000"/>
                <w:szCs w:val="17"/>
                <w:vertAlign w:val="superscript"/>
                <w:lang w:eastAsia="en-AU"/>
              </w:rPr>
              <w:t>(d)</w:t>
            </w:r>
          </w:p>
        </w:tc>
        <w:tc>
          <w:tcPr>
            <w:tcW w:w="850" w:type="dxa"/>
            <w:tcBorders>
              <w:top w:val="single" w:sz="6" w:space="0" w:color="auto"/>
              <w:left w:val="nil"/>
              <w:bottom w:val="single" w:sz="6" w:space="0" w:color="auto"/>
              <w:right w:val="nil"/>
            </w:tcBorders>
          </w:tcPr>
          <w:p w:rsidR="00B32D50" w:rsidRPr="00B32DA4"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7"/>
                <w:lang w:eastAsia="en-AU"/>
              </w:rPr>
              <w:t>66</w:t>
            </w:r>
          </w:p>
        </w:tc>
        <w:tc>
          <w:tcPr>
            <w:tcW w:w="850" w:type="dxa"/>
            <w:tcBorders>
              <w:top w:val="single" w:sz="6" w:space="0" w:color="auto"/>
              <w:left w:val="nil"/>
              <w:bottom w:val="single" w:sz="6" w:space="0" w:color="auto"/>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c>
          <w:tcPr>
            <w:tcW w:w="850" w:type="dxa"/>
            <w:tcBorders>
              <w:top w:val="single" w:sz="6" w:space="0" w:color="auto"/>
              <w:left w:val="nil"/>
              <w:bottom w:val="single" w:sz="6" w:space="0" w:color="auto"/>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c>
          <w:tcPr>
            <w:tcW w:w="850" w:type="dxa"/>
            <w:tcBorders>
              <w:top w:val="single" w:sz="6" w:space="0" w:color="auto"/>
              <w:left w:val="nil"/>
              <w:bottom w:val="single" w:sz="6" w:space="0" w:color="auto"/>
              <w:right w:val="nil"/>
            </w:tcBorders>
          </w:tcPr>
          <w:p w:rsidR="00B32D50" w:rsidRPr="00B32DA4"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7"/>
                <w:lang w:eastAsia="en-AU"/>
              </w:rPr>
            </w:pPr>
            <w:r w:rsidRPr="00B32DA4">
              <w:rPr>
                <w:rFonts w:eastAsiaTheme="minorEastAsia" w:cstheme="majorHAnsi"/>
                <w:color w:val="000000"/>
                <w:szCs w:val="17"/>
                <w:lang w:eastAsia="en-AU"/>
              </w:rPr>
              <w:t>..</w:t>
            </w:r>
          </w:p>
        </w:tc>
      </w:tr>
      <w:tr w:rsidR="00B32D50" w:rsidRPr="00B32DA4" w:rsidTr="00CF507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nil"/>
              <w:bottom w:val="single" w:sz="12" w:space="0" w:color="auto"/>
            </w:tcBorders>
          </w:tcPr>
          <w:p w:rsidR="00B32D50" w:rsidRPr="00B32DA4" w:rsidRDefault="00B32D50" w:rsidP="00F17BCD">
            <w:pPr>
              <w:keepLines w:val="0"/>
              <w:autoSpaceDE w:val="0"/>
              <w:autoSpaceDN w:val="0"/>
              <w:adjustRightInd w:val="0"/>
              <w:rPr>
                <w:rFonts w:eastAsiaTheme="minorEastAsia" w:cstheme="majorHAnsi"/>
                <w:bCs/>
                <w:color w:val="000000"/>
                <w:szCs w:val="17"/>
                <w:lang w:eastAsia="en-AU"/>
              </w:rPr>
            </w:pPr>
            <w:r w:rsidRPr="00B32DA4">
              <w:rPr>
                <w:rFonts w:eastAsiaTheme="minorEastAsia" w:cstheme="majorHAnsi"/>
                <w:bCs/>
                <w:color w:val="000000"/>
                <w:szCs w:val="17"/>
                <w:lang w:eastAsia="en-AU"/>
              </w:rPr>
              <w:t xml:space="preserve">Net impact </w:t>
            </w:r>
          </w:p>
        </w:tc>
        <w:tc>
          <w:tcPr>
            <w:tcW w:w="850" w:type="dxa"/>
            <w:tcBorders>
              <w:top w:val="nil"/>
              <w:bottom w:val="single" w:sz="12" w:space="0" w:color="auto"/>
            </w:tcBorders>
          </w:tcPr>
          <w:p w:rsidR="00B32D50" w:rsidRPr="00B32DA4" w:rsidRDefault="00CF507D"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7"/>
                <w:lang w:eastAsia="en-AU"/>
              </w:rPr>
              <w:t>469</w:t>
            </w:r>
          </w:p>
        </w:tc>
        <w:tc>
          <w:tcPr>
            <w:tcW w:w="850" w:type="dxa"/>
            <w:tcBorders>
              <w:top w:val="nil"/>
              <w:bottom w:val="single" w:sz="12" w:space="0" w:color="auto"/>
            </w:tcBorders>
          </w:tcPr>
          <w:p w:rsidR="00B32D50" w:rsidRPr="00B32DA4" w:rsidRDefault="00CF507D"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7"/>
                <w:lang w:eastAsia="en-AU"/>
              </w:rPr>
              <w:t>133</w:t>
            </w:r>
          </w:p>
        </w:tc>
        <w:tc>
          <w:tcPr>
            <w:tcW w:w="850" w:type="dxa"/>
            <w:tcBorders>
              <w:top w:val="nil"/>
              <w:bottom w:val="single" w:sz="12" w:space="0" w:color="auto"/>
            </w:tcBorders>
          </w:tcPr>
          <w:p w:rsidR="00B32D50" w:rsidRPr="00B32DA4" w:rsidRDefault="00CF507D"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7"/>
                <w:lang w:eastAsia="en-AU"/>
              </w:rPr>
              <w:t>92</w:t>
            </w:r>
          </w:p>
        </w:tc>
        <w:tc>
          <w:tcPr>
            <w:tcW w:w="850" w:type="dxa"/>
            <w:tcBorders>
              <w:top w:val="nil"/>
              <w:bottom w:val="single" w:sz="12" w:space="0" w:color="auto"/>
            </w:tcBorders>
          </w:tcPr>
          <w:p w:rsidR="00B32D50" w:rsidRPr="00B32DA4" w:rsidRDefault="00CF507D"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7"/>
                <w:lang w:eastAsia="en-AU"/>
              </w:rPr>
              <w:t>96</w:t>
            </w:r>
          </w:p>
        </w:tc>
      </w:tr>
    </w:tbl>
    <w:p w:rsidR="00B32D50" w:rsidRPr="00C203E5" w:rsidRDefault="00B32D50" w:rsidP="00F17BCD">
      <w:pPr>
        <w:pStyle w:val="Source"/>
      </w:pPr>
      <w:r w:rsidRPr="00C203E5">
        <w:t>Source: Department of Treasury and Finance</w:t>
      </w:r>
    </w:p>
    <w:p w:rsidR="00B32D50" w:rsidRPr="00C203E5" w:rsidRDefault="00B32D50" w:rsidP="00F17BCD">
      <w:pPr>
        <w:pStyle w:val="Note"/>
      </w:pPr>
      <w:r w:rsidRPr="00C203E5">
        <w:t>Notes:</w:t>
      </w:r>
    </w:p>
    <w:p w:rsidR="00B32D50" w:rsidRPr="00C203E5" w:rsidRDefault="00B32D50" w:rsidP="00F17BCD">
      <w:pPr>
        <w:pStyle w:val="Note"/>
      </w:pPr>
      <w:r w:rsidRPr="00C203E5">
        <w:t>(a)</w:t>
      </w:r>
      <w:r w:rsidRPr="00C203E5">
        <w:tab/>
        <w:t>Figures in this table are subject to rounding to the nearest</w:t>
      </w:r>
      <w:r>
        <w:t> million</w:t>
      </w:r>
      <w:r w:rsidRPr="00C203E5">
        <w:t xml:space="preserve"> and may not add up to totals.</w:t>
      </w:r>
    </w:p>
    <w:p w:rsidR="00B32D50" w:rsidRPr="00C203E5" w:rsidRDefault="00B32D50" w:rsidP="00F17BCD">
      <w:pPr>
        <w:pStyle w:val="Note"/>
      </w:pPr>
      <w:r w:rsidRPr="00C203E5">
        <w:t>(b)</w:t>
      </w:r>
      <w:r w:rsidRPr="00C203E5">
        <w:tab/>
        <w:t>This includes the reprioritisation of resources previously allocated to departments and revenue offsets.</w:t>
      </w:r>
    </w:p>
    <w:p w:rsidR="00B32D50" w:rsidRPr="00C203E5" w:rsidRDefault="00B32D50" w:rsidP="00F17BCD">
      <w:pPr>
        <w:pStyle w:val="Note"/>
      </w:pPr>
      <w:r w:rsidRPr="00C203E5">
        <w:t>(c)</w:t>
      </w:r>
      <w:r w:rsidRPr="00C203E5">
        <w:tab/>
        <w:t>Primarily incorporates the net impact of the creation and release of contingencies held for decisions made but not yet allocated.</w:t>
      </w:r>
    </w:p>
    <w:p w:rsidR="00B32D50" w:rsidRPr="00C203E5" w:rsidRDefault="00B32D50" w:rsidP="00F17BCD">
      <w:pPr>
        <w:pStyle w:val="Note"/>
      </w:pPr>
      <w:r w:rsidRPr="00C203E5">
        <w:t>(d)</w:t>
      </w:r>
      <w:r w:rsidRPr="00C203E5">
        <w:tab/>
      </w:r>
      <w:r>
        <w:t xml:space="preserve">Represents releases </w:t>
      </w:r>
      <w:r w:rsidRPr="00DD0F54">
        <w:t xml:space="preserve">from the </w:t>
      </w:r>
      <w:r>
        <w:t>f</w:t>
      </w:r>
      <w:r w:rsidRPr="00DD0F54">
        <w:t>unding not allocated to specific purposes contingency associated with demand</w:t>
      </w:r>
      <w:r>
        <w:t xml:space="preserve"> for g</w:t>
      </w:r>
      <w:r w:rsidRPr="00551215">
        <w:t>overnment services.</w:t>
      </w:r>
      <w:r>
        <w:t xml:space="preserve"> Further information on this contingency can be found at Note 3.3.5</w:t>
      </w:r>
      <w:r w:rsidRPr="00B04923">
        <w:t xml:space="preserve"> of </w:t>
      </w:r>
      <w:r>
        <w:t>Chapter 3</w:t>
      </w:r>
      <w:r w:rsidRPr="00916A19">
        <w:t xml:space="preserve"> </w:t>
      </w:r>
      <w:r>
        <w:rPr>
          <w:i w:val="0"/>
        </w:rPr>
        <w:t>Estimated f</w:t>
      </w:r>
      <w:r w:rsidRPr="00CC7168">
        <w:rPr>
          <w:i w:val="0"/>
        </w:rPr>
        <w:t xml:space="preserve">inancial </w:t>
      </w:r>
      <w:r>
        <w:rPr>
          <w:i w:val="0"/>
        </w:rPr>
        <w:t>s</w:t>
      </w:r>
      <w:r w:rsidRPr="00CC7168">
        <w:rPr>
          <w:i w:val="0"/>
        </w:rPr>
        <w:t>tatements</w:t>
      </w:r>
      <w:r>
        <w:rPr>
          <w:i w:val="0"/>
        </w:rPr>
        <w:t xml:space="preserve"> and notes.</w:t>
      </w:r>
    </w:p>
    <w:p w:rsidR="00B32D50" w:rsidRPr="00C203E5" w:rsidRDefault="00B32D50" w:rsidP="00F17BCD">
      <w:pPr>
        <w:pStyle w:val="Heading4"/>
        <w:rPr>
          <w:rFonts w:eastAsiaTheme="minorHAnsi"/>
        </w:rPr>
      </w:pPr>
      <w:r w:rsidRPr="00C203E5">
        <w:rPr>
          <w:rFonts w:eastAsiaTheme="minorHAnsi"/>
        </w:rPr>
        <w:t>Economic and demographic variations</w:t>
      </w:r>
    </w:p>
    <w:p w:rsidR="00B32D50" w:rsidRPr="00C203E5" w:rsidRDefault="00B32D50" w:rsidP="00F17BCD">
      <w:pPr>
        <w:rPr>
          <w:i/>
          <w:iCs/>
        </w:rPr>
      </w:pPr>
      <w:r w:rsidRPr="00C203E5">
        <w:t xml:space="preserve">Since the </w:t>
      </w:r>
      <w:r w:rsidRPr="00A93143">
        <w:rPr>
          <w:i/>
        </w:rPr>
        <w:t>201</w:t>
      </w:r>
      <w:r>
        <w:rPr>
          <w:i/>
        </w:rPr>
        <w:t>8</w:t>
      </w:r>
      <w:r w:rsidRPr="00A93143">
        <w:rPr>
          <w:i/>
        </w:rPr>
        <w:noBreakHyphen/>
      </w:r>
      <w:r w:rsidRPr="00C203E5">
        <w:rPr>
          <w:i/>
        </w:rPr>
        <w:t>1</w:t>
      </w:r>
      <w:r>
        <w:rPr>
          <w:i/>
        </w:rPr>
        <w:t>9</w:t>
      </w:r>
      <w:r w:rsidRPr="00C203E5">
        <w:rPr>
          <w:i/>
        </w:rPr>
        <w:t xml:space="preserve"> Budget</w:t>
      </w:r>
      <w:r>
        <w:t>, taxation revenue has been revised down by $10 million in 2018</w:t>
      </w:r>
      <w:r>
        <w:noBreakHyphen/>
        <w:t>19, and down by an average of $322 million a year across the forward estimates. Specifically:</w:t>
      </w:r>
    </w:p>
    <w:p w:rsidR="00B32D50" w:rsidRDefault="00B32D50" w:rsidP="00F17BCD">
      <w:pPr>
        <w:pStyle w:val="ListBullet"/>
      </w:pPr>
      <w:r w:rsidRPr="00C203E5">
        <w:t xml:space="preserve">land transfer duty </w:t>
      </w:r>
      <w:r>
        <w:t xml:space="preserve">revenue has been revised down by </w:t>
      </w:r>
      <w:r w:rsidRPr="00C203E5">
        <w:t>$</w:t>
      </w:r>
      <w:r>
        <w:t>2.4 billion</w:t>
      </w:r>
      <w:r w:rsidRPr="00C203E5">
        <w:t xml:space="preserve"> </w:t>
      </w:r>
      <w:r>
        <w:t>over the next four years</w:t>
      </w:r>
      <w:r w:rsidRPr="00C203E5">
        <w:t xml:space="preserve">, reflecting </w:t>
      </w:r>
      <w:r>
        <w:t>the impact of the current slowdown in the residential property market;</w:t>
      </w:r>
    </w:p>
    <w:p w:rsidR="00B32D50" w:rsidRDefault="00B32D50" w:rsidP="00F17BCD">
      <w:pPr>
        <w:pStyle w:val="ListBullet"/>
      </w:pPr>
      <w:r w:rsidRPr="00C203E5">
        <w:t xml:space="preserve">land tax revenue </w:t>
      </w:r>
      <w:r>
        <w:t xml:space="preserve">has been revised up by </w:t>
      </w:r>
      <w:r w:rsidRPr="00C203E5">
        <w:t>$</w:t>
      </w:r>
      <w:r>
        <w:t>909 million</w:t>
      </w:r>
      <w:r w:rsidRPr="00C203E5">
        <w:t xml:space="preserve"> </w:t>
      </w:r>
      <w:r>
        <w:t>over the next four years</w:t>
      </w:r>
      <w:r w:rsidRPr="00C203E5">
        <w:t xml:space="preserve">. </w:t>
      </w:r>
      <w:r>
        <w:t>This is informed by u</w:t>
      </w:r>
      <w:r w:rsidRPr="00C203E5">
        <w:t xml:space="preserve">pdated </w:t>
      </w:r>
      <w:r>
        <w:t>property</w:t>
      </w:r>
      <w:r w:rsidRPr="00C203E5">
        <w:t xml:space="preserve"> </w:t>
      </w:r>
      <w:r>
        <w:t xml:space="preserve">valuation </w:t>
      </w:r>
      <w:r w:rsidRPr="00C203E5">
        <w:t>data</w:t>
      </w:r>
      <w:r>
        <w:t>,</w:t>
      </w:r>
      <w:r w:rsidRPr="00C203E5">
        <w:t xml:space="preserve"> </w:t>
      </w:r>
      <w:r>
        <w:t xml:space="preserve">which indicates an </w:t>
      </w:r>
      <w:r w:rsidRPr="00C203E5">
        <w:t>increase in the value of residential, commercial and industrial land</w:t>
      </w:r>
      <w:r>
        <w:t xml:space="preserve"> in the 2018 revaluation; and</w:t>
      </w:r>
    </w:p>
    <w:p w:rsidR="00B32D50" w:rsidRPr="00C203E5" w:rsidRDefault="00B32D50" w:rsidP="00F17BCD">
      <w:pPr>
        <w:pStyle w:val="ListBullet"/>
      </w:pPr>
      <w:r>
        <w:t>pa</w:t>
      </w:r>
      <w:r w:rsidRPr="00DE58E1">
        <w:t xml:space="preserve">yroll tax revenue </w:t>
      </w:r>
      <w:r>
        <w:t xml:space="preserve">has been revised up by </w:t>
      </w:r>
      <w:r w:rsidRPr="00DE58E1">
        <w:t xml:space="preserve">$275 million </w:t>
      </w:r>
      <w:r>
        <w:t>over the next four years</w:t>
      </w:r>
      <w:r w:rsidRPr="00DE58E1">
        <w:t>. This reflects a stronger outlook for Victorian labour market conditions which underpin payroll tax revenue.</w:t>
      </w:r>
    </w:p>
    <w:p w:rsidR="00B32D50" w:rsidRDefault="00B32D50">
      <w:pPr>
        <w:keepLines w:val="0"/>
        <w:rPr>
          <w:rFonts w:asciiTheme="majorHAnsi" w:hAnsiTheme="majorHAnsi" w:cstheme="majorBidi"/>
          <w:i/>
          <w:iCs/>
          <w:szCs w:val="26"/>
        </w:rPr>
      </w:pPr>
      <w:r>
        <w:br w:type="page"/>
      </w:r>
    </w:p>
    <w:p w:rsidR="00B32D50" w:rsidRPr="00C203E5" w:rsidRDefault="00B32D50" w:rsidP="00F17BCD">
      <w:pPr>
        <w:pStyle w:val="Heading4"/>
        <w:rPr>
          <w:rFonts w:eastAsiaTheme="minorHAnsi"/>
        </w:rPr>
      </w:pPr>
      <w:r w:rsidRPr="00C203E5">
        <w:rPr>
          <w:rFonts w:eastAsiaTheme="minorHAnsi"/>
        </w:rPr>
        <w:lastRenderedPageBreak/>
        <w:t>Commonwealth grants variations</w:t>
      </w:r>
    </w:p>
    <w:p w:rsidR="00B32D50" w:rsidRPr="00C203E5" w:rsidRDefault="00B32D50" w:rsidP="00F17BCD">
      <w:pPr>
        <w:ind w:right="-227"/>
        <w:rPr>
          <w:i/>
          <w:iCs/>
        </w:rPr>
      </w:pPr>
      <w:r w:rsidRPr="00C203E5">
        <w:t xml:space="preserve">Commonwealth general purpose grants (or GST grants) estimates have been </w:t>
      </w:r>
      <w:r>
        <w:t xml:space="preserve">revised </w:t>
      </w:r>
      <w:r w:rsidRPr="00C203E5">
        <w:t xml:space="preserve">up by </w:t>
      </w:r>
      <w:r>
        <w:t xml:space="preserve">an average of </w:t>
      </w:r>
      <w:r w:rsidRPr="00C203E5">
        <w:t>$</w:t>
      </w:r>
      <w:r>
        <w:t>585 million</w:t>
      </w:r>
      <w:r w:rsidRPr="00C203E5">
        <w:t xml:space="preserve"> </w:t>
      </w:r>
      <w:r>
        <w:t xml:space="preserve">a year </w:t>
      </w:r>
      <w:r w:rsidRPr="00C203E5">
        <w:t>from 201</w:t>
      </w:r>
      <w:r>
        <w:t>9</w:t>
      </w:r>
      <w:r w:rsidRPr="00C203E5">
        <w:noBreakHyphen/>
      </w:r>
      <w:r>
        <w:t>20</w:t>
      </w:r>
      <w:r w:rsidRPr="00C203E5">
        <w:t xml:space="preserve"> to 202</w:t>
      </w:r>
      <w:r>
        <w:t>1</w:t>
      </w:r>
      <w:r w:rsidRPr="00C203E5">
        <w:noBreakHyphen/>
        <w:t>2</w:t>
      </w:r>
      <w:r>
        <w:t xml:space="preserve">2 </w:t>
      </w:r>
      <w:r w:rsidRPr="00C203E5">
        <w:t xml:space="preserve">compared with the </w:t>
      </w:r>
      <w:r w:rsidRPr="00C203E5">
        <w:rPr>
          <w:i/>
        </w:rPr>
        <w:t>201</w:t>
      </w:r>
      <w:r>
        <w:rPr>
          <w:i/>
        </w:rPr>
        <w:t>8</w:t>
      </w:r>
      <w:r w:rsidRPr="00C203E5">
        <w:rPr>
          <w:i/>
        </w:rPr>
        <w:noBreakHyphen/>
        <w:t>1</w:t>
      </w:r>
      <w:r>
        <w:rPr>
          <w:i/>
        </w:rPr>
        <w:t>9 Budget</w:t>
      </w:r>
      <w:r>
        <w:t xml:space="preserve"> due to a</w:t>
      </w:r>
      <w:r w:rsidRPr="00BF0F9D">
        <w:t xml:space="preserve"> </w:t>
      </w:r>
      <w:r w:rsidRPr="006D6A8C">
        <w:t xml:space="preserve">stronger outlook for the national </w:t>
      </w:r>
      <w:r>
        <w:t xml:space="preserve">GST pool and </w:t>
      </w:r>
      <w:r w:rsidRPr="00114E13">
        <w:t>Victoria’s GST relativity</w:t>
      </w:r>
      <w:r>
        <w:t>.</w:t>
      </w:r>
    </w:p>
    <w:p w:rsidR="00B32D50" w:rsidRPr="00C203E5" w:rsidRDefault="00B32D50" w:rsidP="00F17BCD">
      <w:pPr>
        <w:rPr>
          <w:i/>
          <w:iCs/>
        </w:rPr>
      </w:pPr>
      <w:r w:rsidRPr="00C203E5">
        <w:t xml:space="preserve">Net changes to specific purpose grants have increased the operating result by </w:t>
      </w:r>
      <w:r>
        <w:t xml:space="preserve">an average of </w:t>
      </w:r>
      <w:r w:rsidRPr="00C203E5">
        <w:t>$</w:t>
      </w:r>
      <w:r>
        <w:t>147 million</w:t>
      </w:r>
      <w:r w:rsidRPr="00C203E5">
        <w:t xml:space="preserve"> </w:t>
      </w:r>
      <w:r>
        <w:t xml:space="preserve">a year </w:t>
      </w:r>
      <w:r w:rsidRPr="00C203E5">
        <w:t>from 2018</w:t>
      </w:r>
      <w:r w:rsidRPr="00C203E5">
        <w:noBreakHyphen/>
        <w:t>19 to 202</w:t>
      </w:r>
      <w:r>
        <w:t>1</w:t>
      </w:r>
      <w:r w:rsidRPr="00C203E5">
        <w:noBreakHyphen/>
        <w:t>2</w:t>
      </w:r>
      <w:r>
        <w:t xml:space="preserve">2 </w:t>
      </w:r>
      <w:r w:rsidRPr="00C203E5">
        <w:t xml:space="preserve">compared with the </w:t>
      </w:r>
      <w:r w:rsidRPr="00C203E5">
        <w:rPr>
          <w:i/>
        </w:rPr>
        <w:t>201</w:t>
      </w:r>
      <w:r>
        <w:rPr>
          <w:i/>
        </w:rPr>
        <w:t>8</w:t>
      </w:r>
      <w:r w:rsidRPr="00C203E5">
        <w:rPr>
          <w:i/>
        </w:rPr>
        <w:noBreakHyphen/>
        <w:t>1</w:t>
      </w:r>
      <w:r>
        <w:rPr>
          <w:i/>
        </w:rPr>
        <w:t>9 Budget</w:t>
      </w:r>
      <w:r w:rsidRPr="00C203E5">
        <w:t>.</w:t>
      </w:r>
      <w:r>
        <w:t xml:space="preserve"> </w:t>
      </w:r>
      <w:r w:rsidRPr="009B4303">
        <w:t>These movements primarily reflect the impacts of updated payment phasings expected under the Regional Rail Revival program</w:t>
      </w:r>
      <w:r>
        <w:t xml:space="preserve"> and the DCAF.</w:t>
      </w:r>
    </w:p>
    <w:p w:rsidR="00B32D50" w:rsidRPr="00C203E5" w:rsidRDefault="00B32D50" w:rsidP="00F17BCD">
      <w:pPr>
        <w:pStyle w:val="Heading4"/>
        <w:spacing w:before="140"/>
        <w:rPr>
          <w:rFonts w:eastAsiaTheme="minorHAnsi"/>
        </w:rPr>
      </w:pPr>
      <w:r w:rsidRPr="00C203E5">
        <w:rPr>
          <w:rFonts w:eastAsiaTheme="minorHAnsi"/>
        </w:rPr>
        <w:t>Administrative variations</w:t>
      </w:r>
    </w:p>
    <w:p w:rsidR="00B32D50" w:rsidRDefault="00B32D50" w:rsidP="00F17BCD">
      <w:r w:rsidRPr="00C203E5">
        <w:t>Other administrative variations are expected to increase the operating result by $</w:t>
      </w:r>
      <w:r>
        <w:t>1.0 billion</w:t>
      </w:r>
      <w:r w:rsidRPr="00C203E5">
        <w:t xml:space="preserve"> </w:t>
      </w:r>
      <w:r>
        <w:t xml:space="preserve">in 2018-19, but fall by an average of </w:t>
      </w:r>
      <w:r w:rsidRPr="00C203E5">
        <w:t>$</w:t>
      </w:r>
      <w:r>
        <w:t>368 million</w:t>
      </w:r>
      <w:r w:rsidRPr="00C203E5">
        <w:t xml:space="preserve"> </w:t>
      </w:r>
      <w:r>
        <w:t xml:space="preserve">a year across the forward estimates, </w:t>
      </w:r>
      <w:r w:rsidRPr="00C203E5">
        <w:t xml:space="preserve">compared with the </w:t>
      </w:r>
      <w:r w:rsidRPr="00C203E5">
        <w:rPr>
          <w:i/>
        </w:rPr>
        <w:t>201</w:t>
      </w:r>
      <w:r>
        <w:rPr>
          <w:i/>
        </w:rPr>
        <w:t>8</w:t>
      </w:r>
      <w:r w:rsidRPr="00C203E5">
        <w:rPr>
          <w:i/>
        </w:rPr>
        <w:noBreakHyphen/>
        <w:t>1</w:t>
      </w:r>
      <w:r>
        <w:rPr>
          <w:i/>
        </w:rPr>
        <w:t>9 Budget</w:t>
      </w:r>
      <w:r w:rsidRPr="00C203E5">
        <w:t>.</w:t>
      </w:r>
      <w:r>
        <w:t xml:space="preserve"> </w:t>
      </w:r>
      <w:r w:rsidRPr="00C203E5">
        <w:t xml:space="preserve">These movements </w:t>
      </w:r>
      <w:r>
        <w:t xml:space="preserve">largely </w:t>
      </w:r>
      <w:r w:rsidRPr="00C203E5">
        <w:t>reflect</w:t>
      </w:r>
      <w:r>
        <w:t>:</w:t>
      </w:r>
    </w:p>
    <w:p w:rsidR="00B32D50" w:rsidRPr="009B4303" w:rsidRDefault="00B32D50" w:rsidP="00F17BCD">
      <w:pPr>
        <w:pStyle w:val="ListBullet"/>
        <w:rPr>
          <w:i/>
          <w:iCs/>
        </w:rPr>
      </w:pPr>
      <w:r>
        <w:t>expenditure and revenue impacts associated with commercialising part of Victoria’s land titles and registry functions;</w:t>
      </w:r>
    </w:p>
    <w:p w:rsidR="00B32D50" w:rsidRPr="001B224B" w:rsidRDefault="00B32D50" w:rsidP="00F17BCD">
      <w:pPr>
        <w:pStyle w:val="ListBullet"/>
        <w:rPr>
          <w:i/>
          <w:iCs/>
        </w:rPr>
      </w:pPr>
      <w:r>
        <w:t>a rephase of grant revenue from the public financial corporation sector from 2017-18 to 2018-19;</w:t>
      </w:r>
      <w:r w:rsidRPr="00D40131">
        <w:t xml:space="preserve"> </w:t>
      </w:r>
      <w:r>
        <w:t>and</w:t>
      </w:r>
    </w:p>
    <w:p w:rsidR="00B32D50" w:rsidRPr="009B4303" w:rsidRDefault="00B32D50" w:rsidP="00F17BCD">
      <w:pPr>
        <w:pStyle w:val="ListBullet"/>
        <w:rPr>
          <w:i/>
          <w:iCs/>
        </w:rPr>
      </w:pPr>
      <w:r>
        <w:t>provisioning for output contingencies not allocated to specific purposes.</w:t>
      </w:r>
    </w:p>
    <w:p w:rsidR="00CF507D" w:rsidRDefault="00CF507D">
      <w:pPr>
        <w:keepLines w:val="0"/>
        <w:rPr>
          <w:rFonts w:asciiTheme="majorHAnsi" w:hAnsiTheme="majorHAnsi" w:cstheme="majorBidi"/>
          <w:b/>
          <w:spacing w:val="-2"/>
          <w:sz w:val="26"/>
          <w:szCs w:val="26"/>
        </w:rPr>
      </w:pPr>
      <w:r>
        <w:br w:type="page"/>
      </w:r>
    </w:p>
    <w:p w:rsidR="00B32D50" w:rsidRPr="00C203E5" w:rsidRDefault="00B32D50" w:rsidP="00F17BCD">
      <w:pPr>
        <w:pStyle w:val="Heading20"/>
        <w:spacing w:before="200"/>
        <w:rPr>
          <w:rFonts w:eastAsiaTheme="minorHAnsi"/>
        </w:rPr>
      </w:pPr>
      <w:r w:rsidRPr="00C203E5">
        <w:rPr>
          <w:rFonts w:eastAsiaTheme="minorHAnsi"/>
        </w:rPr>
        <w:lastRenderedPageBreak/>
        <w:t>Capital expenditure</w:t>
      </w:r>
    </w:p>
    <w:p w:rsidR="00B32D50" w:rsidRPr="00C203E5" w:rsidRDefault="00B32D50" w:rsidP="00F17BCD">
      <w:r w:rsidRPr="00B17076">
        <w:t xml:space="preserve">Government infrastructure investment </w:t>
      </w:r>
      <w:r>
        <w:t>(</w:t>
      </w:r>
      <w:r w:rsidRPr="00C203E5">
        <w:t>GII</w:t>
      </w:r>
      <w:r>
        <w:t>)</w:t>
      </w:r>
      <w:r w:rsidRPr="00C203E5">
        <w:t>, which measures investment funded or</w:t>
      </w:r>
      <w:r>
        <w:t xml:space="preserve"> facilitated by the Government, </w:t>
      </w:r>
      <w:r w:rsidRPr="00C203E5">
        <w:t>is forecast to average $10.</w:t>
      </w:r>
      <w:r>
        <w:t>6 billion</w:t>
      </w:r>
      <w:r w:rsidRPr="00C203E5">
        <w:t xml:space="preserve"> a year over th</w:t>
      </w:r>
      <w:r>
        <w:t xml:space="preserve">e budget and forward estimates. </w:t>
      </w:r>
      <w:r w:rsidRPr="00C203E5">
        <w:t xml:space="preserve">(Chart </w:t>
      </w:r>
      <w:r>
        <w:t>2.1).</w:t>
      </w:r>
    </w:p>
    <w:p w:rsidR="00B32D50" w:rsidRDefault="00B32D50" w:rsidP="00F17BCD">
      <w:pPr>
        <w:pStyle w:val="TableHeading"/>
        <w:spacing w:before="200"/>
        <w:ind w:left="0" w:firstLine="0"/>
        <w:rPr>
          <w:vertAlign w:val="superscript"/>
        </w:rPr>
      </w:pPr>
      <w:r w:rsidRPr="00C203E5">
        <w:t xml:space="preserve">Chart </w:t>
      </w:r>
      <w:r>
        <w:t>2</w:t>
      </w:r>
      <w:r w:rsidRPr="00C203E5">
        <w:t>.1:</w:t>
      </w:r>
      <w:r w:rsidRPr="00C203E5">
        <w:tab/>
        <w:t xml:space="preserve">Government infrastructure investment </w:t>
      </w:r>
      <w:r>
        <w:rPr>
          <w:vertAlign w:val="superscript"/>
        </w:rPr>
        <w:t>(a)(b)</w:t>
      </w:r>
    </w:p>
    <w:p w:rsidR="00B32D50" w:rsidRDefault="00B32D50" w:rsidP="00F17BCD">
      <w:pPr>
        <w:rPr>
          <w:noProof/>
        </w:rPr>
      </w:pPr>
      <w:r>
        <w:rPr>
          <w:noProof/>
        </w:rPr>
        <w:drawing>
          <wp:inline distT="0" distB="0" distL="0" distR="0" wp14:anchorId="1E1EFCC1">
            <wp:extent cx="4812143" cy="333377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37743" cy="3351509"/>
                    </a:xfrm>
                    <a:prstGeom prst="rect">
                      <a:avLst/>
                    </a:prstGeom>
                    <a:noFill/>
                  </pic:spPr>
                </pic:pic>
              </a:graphicData>
            </a:graphic>
          </wp:inline>
        </w:drawing>
      </w:r>
    </w:p>
    <w:p w:rsidR="00B32D50" w:rsidRPr="00C203E5" w:rsidRDefault="00B32D50" w:rsidP="00F17BCD">
      <w:pPr>
        <w:pStyle w:val="Source"/>
      </w:pPr>
      <w:r w:rsidRPr="00C203E5">
        <w:t>Source: Department of Treasury and Finance</w:t>
      </w:r>
    </w:p>
    <w:p w:rsidR="00B32D50" w:rsidRPr="00C203E5" w:rsidRDefault="00B32D50" w:rsidP="00F17BCD">
      <w:pPr>
        <w:pStyle w:val="Note"/>
      </w:pPr>
      <w:r w:rsidRPr="00C203E5">
        <w:t>Notes:</w:t>
      </w:r>
    </w:p>
    <w:p w:rsidR="00B32D50" w:rsidRPr="00C203E5" w:rsidRDefault="00B32D50" w:rsidP="00F17BCD">
      <w:pPr>
        <w:pStyle w:val="Note"/>
      </w:pPr>
      <w:r w:rsidRPr="00C203E5">
        <w:t>(a)</w:t>
      </w:r>
      <w:r w:rsidRPr="00C203E5">
        <w:tab/>
        <w:t xml:space="preserve">Includes general government net infrastructure investment and estimated </w:t>
      </w:r>
      <w:r>
        <w:t>construction costs</w:t>
      </w:r>
      <w:r w:rsidRPr="00C203E5">
        <w:t xml:space="preserve"> for Partnerships Victoria projects.</w:t>
      </w:r>
    </w:p>
    <w:p w:rsidR="00B32D50" w:rsidRPr="00E958CE" w:rsidRDefault="00B32D50" w:rsidP="00F17BCD">
      <w:pPr>
        <w:pStyle w:val="Note"/>
      </w:pPr>
      <w:r w:rsidRPr="00E958CE">
        <w:t>(b)</w:t>
      </w:r>
      <w:r w:rsidRPr="00E958CE">
        <w:tab/>
        <w:t>Excludes the impact of the medium</w:t>
      </w:r>
      <w:r w:rsidRPr="00E958CE">
        <w:noBreakHyphen/>
        <w:t>term lease over the operations of the Port of Melbourne and the divestment of Victoria’s share of Snowy Hydro Limited.</w:t>
      </w:r>
    </w:p>
    <w:p w:rsidR="00B32D50" w:rsidRDefault="00B32D50">
      <w:pPr>
        <w:keepLines w:val="0"/>
        <w:rPr>
          <w:rFonts w:asciiTheme="majorHAnsi" w:hAnsiTheme="majorHAnsi" w:cstheme="majorBidi"/>
          <w:b/>
          <w:spacing w:val="-2"/>
          <w:sz w:val="26"/>
          <w:szCs w:val="26"/>
        </w:rPr>
      </w:pPr>
      <w:r>
        <w:br w:type="page"/>
      </w:r>
    </w:p>
    <w:p w:rsidR="00B32D50" w:rsidRPr="00C203E5" w:rsidRDefault="00B32D50" w:rsidP="00F17BCD">
      <w:pPr>
        <w:pStyle w:val="Heading20"/>
        <w:spacing w:before="120"/>
        <w:rPr>
          <w:rFonts w:eastAsiaTheme="minorHAnsi"/>
          <w:b w:val="0"/>
        </w:rPr>
      </w:pPr>
      <w:r w:rsidRPr="00C203E5">
        <w:rPr>
          <w:rFonts w:eastAsiaTheme="minorHAnsi"/>
        </w:rPr>
        <w:lastRenderedPageBreak/>
        <w:t>Net debt</w:t>
      </w:r>
    </w:p>
    <w:p w:rsidR="00B32D50" w:rsidRPr="00C203E5" w:rsidRDefault="00B32D50" w:rsidP="00F17BCD">
      <w:r w:rsidRPr="00C203E5">
        <w:t xml:space="preserve">Net debt as a proportion of GSP </w:t>
      </w:r>
      <w:r>
        <w:t>wa</w:t>
      </w:r>
      <w:r w:rsidRPr="00C203E5">
        <w:t>s 4.</w:t>
      </w:r>
      <w:r>
        <w:t>7</w:t>
      </w:r>
      <w:r w:rsidRPr="00C203E5">
        <w:t xml:space="preserve"> per cent at June 2018, and </w:t>
      </w:r>
      <w:r>
        <w:t xml:space="preserve">is expected to </w:t>
      </w:r>
      <w:r w:rsidRPr="00C203E5">
        <w:t xml:space="preserve">increase to </w:t>
      </w:r>
      <w:r>
        <w:t>6.0</w:t>
      </w:r>
      <w:r w:rsidRPr="00C203E5">
        <w:t xml:space="preserve"> per cent by June 202</w:t>
      </w:r>
      <w:r>
        <w:t>1,</w:t>
      </w:r>
      <w:r w:rsidRPr="008252DC">
        <w:t xml:space="preserve"> </w:t>
      </w:r>
      <w:r w:rsidRPr="00C203E5">
        <w:t>and remain at that level in 2021-22</w:t>
      </w:r>
      <w:r>
        <w:t xml:space="preserve"> </w:t>
      </w:r>
      <w:r w:rsidRPr="00C203E5">
        <w:t xml:space="preserve">(Chart </w:t>
      </w:r>
      <w:r>
        <w:t>2</w:t>
      </w:r>
      <w:r w:rsidRPr="00C203E5">
        <w:t>.2).</w:t>
      </w:r>
    </w:p>
    <w:p w:rsidR="00B32D50" w:rsidRDefault="00B32D50" w:rsidP="00F17BCD">
      <w:pPr>
        <w:pStyle w:val="TableHeading"/>
        <w:rPr>
          <w:vertAlign w:val="superscript"/>
        </w:rPr>
      </w:pPr>
      <w:r w:rsidRPr="00C203E5">
        <w:t xml:space="preserve">Chart </w:t>
      </w:r>
      <w:r>
        <w:t>2</w:t>
      </w:r>
      <w:r w:rsidRPr="00C203E5">
        <w:t>.2:</w:t>
      </w:r>
      <w:r w:rsidRPr="00C203E5">
        <w:tab/>
        <w:t xml:space="preserve">General government net debt to GSP </w:t>
      </w:r>
      <w:r w:rsidRPr="00C203E5">
        <w:rPr>
          <w:vertAlign w:val="superscript"/>
        </w:rPr>
        <w:t>(a)</w:t>
      </w:r>
    </w:p>
    <w:p w:rsidR="00B32D50" w:rsidRPr="007D424C" w:rsidRDefault="00B32D50" w:rsidP="00F17BCD">
      <w:r>
        <w:rPr>
          <w:noProof/>
        </w:rPr>
        <w:drawing>
          <wp:inline distT="0" distB="0" distL="0" distR="0" wp14:anchorId="091FD88D">
            <wp:extent cx="4745758" cy="328911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88090" cy="3318449"/>
                    </a:xfrm>
                    <a:prstGeom prst="rect">
                      <a:avLst/>
                    </a:prstGeom>
                    <a:noFill/>
                  </pic:spPr>
                </pic:pic>
              </a:graphicData>
            </a:graphic>
          </wp:inline>
        </w:drawing>
      </w:r>
    </w:p>
    <w:p w:rsidR="00B32D50" w:rsidRPr="00C203E5" w:rsidRDefault="00B32D50" w:rsidP="00F17BCD">
      <w:pPr>
        <w:pStyle w:val="Source"/>
      </w:pPr>
      <w:r w:rsidRPr="00C203E5">
        <w:t>Source: Department of Treasury and Finance</w:t>
      </w:r>
    </w:p>
    <w:p w:rsidR="00B32D50" w:rsidRPr="00C203E5" w:rsidRDefault="00B32D50" w:rsidP="00F17BCD">
      <w:pPr>
        <w:pStyle w:val="Note"/>
      </w:pPr>
      <w:r w:rsidRPr="00C203E5">
        <w:t xml:space="preserve">Note: </w:t>
      </w:r>
    </w:p>
    <w:p w:rsidR="00B32D50" w:rsidRPr="00C203E5" w:rsidRDefault="00B32D50" w:rsidP="00F17BCD">
      <w:pPr>
        <w:pStyle w:val="Note"/>
      </w:pPr>
      <w:r w:rsidRPr="00C203E5">
        <w:t>(a)</w:t>
      </w:r>
      <w:r w:rsidRPr="00C203E5">
        <w:tab/>
        <w:t>The decrease in 2016</w:t>
      </w:r>
      <w:r w:rsidRPr="00C203E5">
        <w:noBreakHyphen/>
        <w:t>17 reflects the receipt of proceeds from entering into a medium</w:t>
      </w:r>
      <w:r w:rsidRPr="00C203E5">
        <w:noBreakHyphen/>
        <w:t>term lease over the operations of the Port of Melbourne.</w:t>
      </w:r>
    </w:p>
    <w:p w:rsidR="00B32D50" w:rsidRPr="00C203E5" w:rsidRDefault="00B32D50" w:rsidP="00F17BCD"/>
    <w:p w:rsidR="00B32D50" w:rsidRPr="00C203E5" w:rsidRDefault="00B32D50" w:rsidP="00F17BCD">
      <w:r w:rsidRPr="00C203E5">
        <w:t>The application of cash resources for the general government sector (Table </w:t>
      </w:r>
      <w:r>
        <w:t>2</w:t>
      </w:r>
      <w:r w:rsidRPr="00C203E5">
        <w:t>.</w:t>
      </w:r>
      <w:r>
        <w:t>5</w:t>
      </w:r>
      <w:r w:rsidRPr="00C203E5">
        <w:t>) outlines the annual movements in net debt. General government sector cash from operating activities is expected to average $</w:t>
      </w:r>
      <w:r>
        <w:t>4.8 billion</w:t>
      </w:r>
      <w:r w:rsidRPr="00C203E5">
        <w:t xml:space="preserve"> a year over the next four years. </w:t>
      </w:r>
    </w:p>
    <w:p w:rsidR="00B32D50" w:rsidRPr="00C203E5" w:rsidRDefault="00B32D50" w:rsidP="00F17BCD">
      <w:pPr>
        <w:keepLines w:val="0"/>
        <w:rPr>
          <w:rFonts w:asciiTheme="majorHAnsi" w:hAnsiTheme="majorHAnsi"/>
          <w:b/>
          <w:sz w:val="20"/>
          <w:szCs w:val="20"/>
        </w:rPr>
      </w:pPr>
      <w:r w:rsidRPr="00C203E5">
        <w:br w:type="page"/>
      </w:r>
    </w:p>
    <w:p w:rsidR="00B32D50" w:rsidRPr="006721BF" w:rsidRDefault="00B32D50" w:rsidP="00F17BCD">
      <w:pPr>
        <w:pStyle w:val="TableHeading"/>
      </w:pPr>
      <w:r w:rsidRPr="00C203E5">
        <w:lastRenderedPageBreak/>
        <w:t xml:space="preserve">Table </w:t>
      </w:r>
      <w:r>
        <w:t>2</w:t>
      </w:r>
      <w:r w:rsidRPr="00C203E5">
        <w:t>.</w:t>
      </w:r>
      <w:r>
        <w:t>5</w:t>
      </w:r>
      <w:r w:rsidRPr="00C203E5">
        <w:t>:</w:t>
      </w:r>
      <w:r w:rsidRPr="00C203E5">
        <w:tab/>
        <w:t xml:space="preserve">Application of cash resources for the general government sector </w:t>
      </w:r>
      <w:r w:rsidRPr="00C203E5">
        <w:rPr>
          <w:vertAlign w:val="superscript"/>
        </w:rPr>
        <w:t>(a)</w:t>
      </w:r>
      <w:r w:rsidRPr="00C203E5">
        <w:tab/>
        <w:t>($</w:t>
      </w:r>
      <w:r>
        <w:t> million</w:t>
      </w:r>
      <w:r w:rsidRPr="00C203E5">
        <w:t>)</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CF507D" w:rsidRPr="006721BF" w:rsidTr="00642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right w:val="nil"/>
            </w:tcBorders>
            <w:shd w:val="solid" w:color="000000" w:fill="FFFFFF"/>
          </w:tcPr>
          <w:p w:rsidR="00CF507D" w:rsidRPr="006721BF" w:rsidRDefault="00CF507D" w:rsidP="00F17BCD">
            <w:pPr>
              <w:keepLines w:val="0"/>
              <w:autoSpaceDE w:val="0"/>
              <w:autoSpaceDN w:val="0"/>
              <w:adjustRightInd w:val="0"/>
              <w:rPr>
                <w:rFonts w:eastAsiaTheme="minorEastAsia" w:cstheme="majorHAnsi"/>
                <w:i w:val="0"/>
                <w:color w:val="000000"/>
                <w:lang w:eastAsia="en-AU"/>
              </w:rPr>
            </w:pPr>
            <w:r w:rsidRPr="006721BF">
              <w:rPr>
                <w:rFonts w:eastAsiaTheme="minorEastAsia" w:cstheme="majorHAnsi"/>
                <w:color w:val="000000"/>
                <w:lang w:eastAsia="en-AU"/>
              </w:rPr>
              <w:t xml:space="preserve"> </w:t>
            </w:r>
          </w:p>
          <w:p w:rsidR="00CF507D" w:rsidRPr="006721BF" w:rsidRDefault="00CF507D" w:rsidP="00F17BCD">
            <w:pPr>
              <w:autoSpaceDE w:val="0"/>
              <w:autoSpaceDN w:val="0"/>
              <w:adjustRightInd w:val="0"/>
              <w:rPr>
                <w:rFonts w:eastAsiaTheme="minorEastAsia" w:cstheme="majorHAnsi"/>
                <w:color w:val="000000"/>
                <w:lang w:eastAsia="en-AU"/>
              </w:rPr>
            </w:pPr>
            <w:r w:rsidRPr="006721BF">
              <w:rPr>
                <w:rFonts w:eastAsiaTheme="minorEastAsia" w:cstheme="majorHAnsi"/>
                <w:i w:val="0"/>
                <w:color w:val="000000"/>
                <w:lang w:eastAsia="en-AU"/>
              </w:rPr>
              <w:t xml:space="preserve"> </w:t>
            </w:r>
          </w:p>
        </w:tc>
        <w:tc>
          <w:tcPr>
            <w:tcW w:w="850" w:type="dxa"/>
            <w:tcBorders>
              <w:top w:val="nil"/>
              <w:left w:val="nil"/>
              <w:right w:val="nil"/>
            </w:tcBorders>
            <w:shd w:val="solid" w:color="000000" w:fill="FFFFFF"/>
          </w:tcPr>
          <w:p w:rsidR="00CF507D" w:rsidRPr="00CF507D" w:rsidRDefault="00CF507D" w:rsidP="00CF507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507D">
              <w:t>2018-19</w:t>
            </w:r>
            <w:r>
              <w:t xml:space="preserve"> </w:t>
            </w:r>
            <w:r w:rsidRPr="00CF507D">
              <w:t>revised</w:t>
            </w:r>
          </w:p>
        </w:tc>
        <w:tc>
          <w:tcPr>
            <w:tcW w:w="850" w:type="dxa"/>
            <w:tcBorders>
              <w:top w:val="nil"/>
              <w:left w:val="nil"/>
              <w:right w:val="nil"/>
            </w:tcBorders>
            <w:shd w:val="solid" w:color="000000" w:fill="FFFFFF"/>
          </w:tcPr>
          <w:p w:rsidR="00CF507D" w:rsidRPr="00CF507D" w:rsidRDefault="00CF507D" w:rsidP="00CF507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507D">
              <w:t>2019-20</w:t>
            </w:r>
            <w:r>
              <w:t xml:space="preserve"> </w:t>
            </w:r>
            <w:r w:rsidRPr="00CF507D">
              <w:t>estimate</w:t>
            </w:r>
          </w:p>
        </w:tc>
        <w:tc>
          <w:tcPr>
            <w:tcW w:w="850" w:type="dxa"/>
            <w:tcBorders>
              <w:top w:val="nil"/>
              <w:left w:val="nil"/>
              <w:right w:val="nil"/>
            </w:tcBorders>
            <w:shd w:val="solid" w:color="000000" w:fill="FFFFFF"/>
          </w:tcPr>
          <w:p w:rsidR="00CF507D" w:rsidRPr="00CF507D" w:rsidRDefault="00CF507D" w:rsidP="00CF507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507D">
              <w:t>2020-21</w:t>
            </w:r>
            <w:r>
              <w:t xml:space="preserve"> </w:t>
            </w:r>
            <w:r w:rsidRPr="00CF507D">
              <w:t>estimate</w:t>
            </w:r>
          </w:p>
        </w:tc>
        <w:tc>
          <w:tcPr>
            <w:tcW w:w="850" w:type="dxa"/>
            <w:tcBorders>
              <w:top w:val="nil"/>
              <w:left w:val="nil"/>
              <w:right w:val="nil"/>
            </w:tcBorders>
            <w:shd w:val="solid" w:color="000000" w:fill="FFFFFF"/>
          </w:tcPr>
          <w:p w:rsidR="00CF507D" w:rsidRPr="00CF507D" w:rsidRDefault="00CF507D" w:rsidP="00CF507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507D">
              <w:t>2021-22</w:t>
            </w:r>
            <w:r>
              <w:t xml:space="preserve"> </w:t>
            </w:r>
            <w:r w:rsidRPr="00CF507D">
              <w:t>estimate</w:t>
            </w:r>
          </w:p>
        </w:tc>
      </w:tr>
      <w:tr w:rsidR="00B32D50" w:rsidRPr="006721BF"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6721BF" w:rsidRDefault="00B32D50" w:rsidP="00F17BCD">
            <w:pPr>
              <w:keepLines w:val="0"/>
              <w:autoSpaceDE w:val="0"/>
              <w:autoSpaceDN w:val="0"/>
              <w:adjustRightInd w:val="0"/>
              <w:rPr>
                <w:rFonts w:eastAsiaTheme="minorEastAsia" w:cstheme="majorHAnsi"/>
                <w:b/>
                <w:bCs/>
                <w:color w:val="000000"/>
                <w:szCs w:val="18"/>
                <w:lang w:eastAsia="en-AU"/>
              </w:rPr>
            </w:pPr>
            <w:r w:rsidRPr="006721BF">
              <w:rPr>
                <w:rFonts w:eastAsiaTheme="minorEastAsia" w:cstheme="majorHAnsi"/>
                <w:b/>
                <w:bCs/>
                <w:color w:val="000000"/>
                <w:szCs w:val="18"/>
                <w:lang w:eastAsia="en-AU"/>
              </w:rPr>
              <w:t>Net result from transactions</w:t>
            </w:r>
          </w:p>
        </w:tc>
        <w:tc>
          <w:tcPr>
            <w:tcW w:w="850" w:type="dxa"/>
            <w:tcBorders>
              <w:top w:val="nil"/>
              <w:left w:val="nil"/>
              <w:bottom w:val="nil"/>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2 277</w:t>
            </w:r>
          </w:p>
        </w:tc>
        <w:tc>
          <w:tcPr>
            <w:tcW w:w="850" w:type="dxa"/>
            <w:tcBorders>
              <w:top w:val="nil"/>
              <w:left w:val="nil"/>
              <w:bottom w:val="nil"/>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1 708</w:t>
            </w:r>
          </w:p>
        </w:tc>
        <w:tc>
          <w:tcPr>
            <w:tcW w:w="850" w:type="dxa"/>
            <w:tcBorders>
              <w:top w:val="nil"/>
              <w:left w:val="nil"/>
              <w:bottom w:val="nil"/>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2 656</w:t>
            </w:r>
          </w:p>
        </w:tc>
        <w:tc>
          <w:tcPr>
            <w:tcW w:w="850" w:type="dxa"/>
            <w:tcBorders>
              <w:top w:val="nil"/>
              <w:left w:val="nil"/>
              <w:bottom w:val="nil"/>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2 990</w:t>
            </w:r>
          </w:p>
        </w:tc>
      </w:tr>
      <w:tr w:rsidR="00B32D50" w:rsidRPr="006721BF"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B32D50" w:rsidRPr="006721BF" w:rsidRDefault="00B32D50" w:rsidP="00F17BCD">
            <w:pPr>
              <w:keepLines w:val="0"/>
              <w:autoSpaceDE w:val="0"/>
              <w:autoSpaceDN w:val="0"/>
              <w:adjustRightInd w:val="0"/>
              <w:rPr>
                <w:rFonts w:eastAsiaTheme="minorEastAsia" w:cstheme="majorHAnsi"/>
                <w:color w:val="000000"/>
                <w:szCs w:val="18"/>
                <w:lang w:eastAsia="en-AU"/>
              </w:rPr>
            </w:pPr>
            <w:r w:rsidRPr="006721BF">
              <w:rPr>
                <w:rFonts w:eastAsiaTheme="minorEastAsia" w:cstheme="majorHAnsi"/>
                <w:color w:val="000000"/>
                <w:szCs w:val="18"/>
                <w:lang w:eastAsia="en-AU"/>
              </w:rPr>
              <w:t xml:space="preserve">Add back: non-cash revenue and expenses (net) </w:t>
            </w:r>
            <w:r w:rsidRPr="006721BF">
              <w:rPr>
                <w:rFonts w:eastAsiaTheme="minorEastAsia" w:cstheme="majorHAnsi"/>
                <w:color w:val="000000"/>
                <w:szCs w:val="18"/>
                <w:vertAlign w:val="superscript"/>
                <w:lang w:eastAsia="en-AU"/>
              </w:rPr>
              <w:t>(b)</w:t>
            </w:r>
          </w:p>
        </w:tc>
        <w:tc>
          <w:tcPr>
            <w:tcW w:w="850" w:type="dxa"/>
            <w:tcBorders>
              <w:top w:val="nil"/>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4 877</w:t>
            </w:r>
          </w:p>
        </w:tc>
        <w:tc>
          <w:tcPr>
            <w:tcW w:w="850" w:type="dxa"/>
            <w:tcBorders>
              <w:top w:val="nil"/>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1 452</w:t>
            </w:r>
          </w:p>
        </w:tc>
        <w:tc>
          <w:tcPr>
            <w:tcW w:w="850" w:type="dxa"/>
            <w:tcBorders>
              <w:top w:val="nil"/>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1 123</w:t>
            </w:r>
          </w:p>
        </w:tc>
        <w:tc>
          <w:tcPr>
            <w:tcW w:w="850" w:type="dxa"/>
            <w:tcBorders>
              <w:top w:val="nil"/>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1 973</w:t>
            </w:r>
          </w:p>
        </w:tc>
      </w:tr>
      <w:tr w:rsidR="00B32D50" w:rsidRPr="006721BF"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rPr>
                <w:rFonts w:eastAsiaTheme="minorEastAsia" w:cstheme="majorHAnsi"/>
                <w:b/>
                <w:bCs/>
                <w:color w:val="000000"/>
                <w:szCs w:val="18"/>
                <w:lang w:eastAsia="en-AU"/>
              </w:rPr>
            </w:pPr>
            <w:r w:rsidRPr="006721BF">
              <w:rPr>
                <w:rFonts w:eastAsiaTheme="minorEastAsia" w:cstheme="majorHAnsi"/>
                <w:b/>
                <w:bCs/>
                <w:color w:val="000000"/>
                <w:szCs w:val="18"/>
                <w:lang w:eastAsia="en-AU"/>
              </w:rPr>
              <w:t>Net cash flows from operating activities</w:t>
            </w:r>
          </w:p>
        </w:tc>
        <w:tc>
          <w:tcPr>
            <w:tcW w:w="850"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721BF">
              <w:rPr>
                <w:rFonts w:eastAsiaTheme="minorEastAsia" w:cstheme="majorHAnsi"/>
                <w:b/>
                <w:bCs/>
                <w:color w:val="000000"/>
                <w:szCs w:val="18"/>
                <w:lang w:eastAsia="en-AU"/>
              </w:rPr>
              <w:t>7 155</w:t>
            </w:r>
          </w:p>
        </w:tc>
        <w:tc>
          <w:tcPr>
            <w:tcW w:w="850"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721BF">
              <w:rPr>
                <w:rFonts w:eastAsiaTheme="minorEastAsia" w:cstheme="majorHAnsi"/>
                <w:b/>
                <w:bCs/>
                <w:color w:val="000000"/>
                <w:szCs w:val="18"/>
                <w:lang w:eastAsia="en-AU"/>
              </w:rPr>
              <w:t>3 160</w:t>
            </w:r>
          </w:p>
        </w:tc>
        <w:tc>
          <w:tcPr>
            <w:tcW w:w="850"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721BF">
              <w:rPr>
                <w:rFonts w:eastAsiaTheme="minorEastAsia" w:cstheme="majorHAnsi"/>
                <w:b/>
                <w:bCs/>
                <w:color w:val="000000"/>
                <w:szCs w:val="18"/>
                <w:lang w:eastAsia="en-AU"/>
              </w:rPr>
              <w:t>3 779</w:t>
            </w:r>
          </w:p>
        </w:tc>
        <w:tc>
          <w:tcPr>
            <w:tcW w:w="850"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721BF">
              <w:rPr>
                <w:rFonts w:eastAsiaTheme="minorEastAsia" w:cstheme="majorHAnsi"/>
                <w:b/>
                <w:bCs/>
                <w:color w:val="000000"/>
                <w:szCs w:val="18"/>
                <w:lang w:eastAsia="en-AU"/>
              </w:rPr>
              <w:t>4 962</w:t>
            </w:r>
          </w:p>
        </w:tc>
      </w:tr>
      <w:tr w:rsidR="00B32D50" w:rsidRPr="006721BF"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rPr>
                <w:rFonts w:eastAsiaTheme="minorEastAsia" w:cstheme="majorHAnsi"/>
                <w:b/>
                <w:bCs/>
                <w:color w:val="000000"/>
                <w:szCs w:val="18"/>
                <w:lang w:eastAsia="en-AU"/>
              </w:rPr>
            </w:pPr>
            <w:r w:rsidRPr="006721BF">
              <w:rPr>
                <w:rFonts w:eastAsiaTheme="minorEastAsia" w:cstheme="majorHAnsi"/>
                <w:b/>
                <w:bCs/>
                <w:color w:val="000000"/>
                <w:szCs w:val="18"/>
                <w:lang w:eastAsia="en-AU"/>
              </w:rPr>
              <w:t xml:space="preserve">Total net investment in fixed assets </w:t>
            </w:r>
            <w:r w:rsidRPr="006721BF">
              <w:rPr>
                <w:rFonts w:eastAsiaTheme="minorEastAsia" w:cstheme="majorHAnsi"/>
                <w:b/>
                <w:bCs/>
                <w:color w:val="000000"/>
                <w:szCs w:val="18"/>
                <w:vertAlign w:val="superscript"/>
                <w:lang w:eastAsia="en-AU"/>
              </w:rPr>
              <w:t>(c)</w:t>
            </w:r>
          </w:p>
        </w:tc>
        <w:tc>
          <w:tcPr>
            <w:tcW w:w="850"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721BF">
              <w:rPr>
                <w:rFonts w:eastAsiaTheme="minorEastAsia" w:cstheme="majorHAnsi"/>
                <w:b/>
                <w:bCs/>
                <w:color w:val="000000"/>
                <w:szCs w:val="18"/>
                <w:lang w:eastAsia="en-AU"/>
              </w:rPr>
              <w:t>7 733</w:t>
            </w:r>
          </w:p>
        </w:tc>
        <w:tc>
          <w:tcPr>
            <w:tcW w:w="850"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721BF">
              <w:rPr>
                <w:rFonts w:eastAsiaTheme="minorEastAsia" w:cstheme="majorHAnsi"/>
                <w:b/>
                <w:bCs/>
                <w:color w:val="000000"/>
                <w:szCs w:val="18"/>
                <w:lang w:eastAsia="en-AU"/>
              </w:rPr>
              <w:t>5 597</w:t>
            </w:r>
          </w:p>
        </w:tc>
        <w:tc>
          <w:tcPr>
            <w:tcW w:w="850"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721BF">
              <w:rPr>
                <w:rFonts w:eastAsiaTheme="minorEastAsia" w:cstheme="majorHAnsi"/>
                <w:b/>
                <w:bCs/>
                <w:color w:val="000000"/>
                <w:szCs w:val="18"/>
                <w:lang w:eastAsia="en-AU"/>
              </w:rPr>
              <w:t>4 493</w:t>
            </w:r>
          </w:p>
        </w:tc>
        <w:tc>
          <w:tcPr>
            <w:tcW w:w="850"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b/>
                <w:bCs/>
                <w:color w:val="000000"/>
                <w:szCs w:val="18"/>
                <w:lang w:eastAsia="en-AU"/>
              </w:rPr>
            </w:pPr>
            <w:r w:rsidRPr="006721BF">
              <w:rPr>
                <w:rFonts w:eastAsiaTheme="minorEastAsia" w:cstheme="majorHAnsi"/>
                <w:b/>
                <w:bCs/>
                <w:color w:val="000000"/>
                <w:szCs w:val="18"/>
                <w:lang w:eastAsia="en-AU"/>
              </w:rPr>
              <w:t>5 422</w:t>
            </w:r>
          </w:p>
        </w:tc>
      </w:tr>
      <w:tr w:rsidR="00B32D50" w:rsidRPr="006721BF"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6" w:space="0" w:color="auto"/>
              <w:right w:val="nil"/>
            </w:tcBorders>
          </w:tcPr>
          <w:p w:rsidR="00B32D50" w:rsidRPr="006721BF" w:rsidRDefault="00B32D50" w:rsidP="00F17BCD">
            <w:pPr>
              <w:keepLines w:val="0"/>
              <w:autoSpaceDE w:val="0"/>
              <w:autoSpaceDN w:val="0"/>
              <w:adjustRightInd w:val="0"/>
              <w:rPr>
                <w:rFonts w:eastAsiaTheme="minorEastAsia" w:cstheme="majorHAnsi"/>
                <w:b/>
                <w:bCs/>
                <w:color w:val="000000"/>
                <w:szCs w:val="18"/>
                <w:lang w:eastAsia="en-AU"/>
              </w:rPr>
            </w:pPr>
            <w:r w:rsidRPr="006721BF">
              <w:rPr>
                <w:rFonts w:eastAsiaTheme="minorEastAsia" w:cstheme="majorHAnsi"/>
                <w:b/>
                <w:bCs/>
                <w:color w:val="000000"/>
                <w:szCs w:val="18"/>
                <w:lang w:eastAsia="en-AU"/>
              </w:rPr>
              <w:t>Surplus/(deficit) of cash from operations after funding net investment in fixed assets</w:t>
            </w:r>
          </w:p>
        </w:tc>
        <w:tc>
          <w:tcPr>
            <w:tcW w:w="850" w:type="dxa"/>
            <w:tcBorders>
              <w:top w:val="single" w:sz="6" w:space="0" w:color="auto"/>
              <w:left w:val="nil"/>
              <w:bottom w:val="single" w:sz="6" w:space="0" w:color="auto"/>
              <w:right w:val="nil"/>
            </w:tcBorders>
          </w:tcPr>
          <w:p w:rsidR="00B32D50" w:rsidRPr="006721BF"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(578)</w:t>
            </w:r>
          </w:p>
        </w:tc>
        <w:tc>
          <w:tcPr>
            <w:tcW w:w="850" w:type="dxa"/>
            <w:tcBorders>
              <w:top w:val="single" w:sz="6" w:space="0" w:color="auto"/>
              <w:left w:val="nil"/>
              <w:bottom w:val="single" w:sz="6" w:space="0" w:color="auto"/>
              <w:right w:val="nil"/>
            </w:tcBorders>
          </w:tcPr>
          <w:p w:rsidR="00B32D50" w:rsidRPr="006721BF"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(2 437)</w:t>
            </w:r>
          </w:p>
        </w:tc>
        <w:tc>
          <w:tcPr>
            <w:tcW w:w="850" w:type="dxa"/>
            <w:tcBorders>
              <w:top w:val="single" w:sz="6" w:space="0" w:color="auto"/>
              <w:left w:val="nil"/>
              <w:bottom w:val="single" w:sz="6" w:space="0" w:color="auto"/>
              <w:right w:val="nil"/>
            </w:tcBorders>
          </w:tcPr>
          <w:p w:rsidR="00B32D50" w:rsidRPr="006721BF"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(713)</w:t>
            </w:r>
          </w:p>
        </w:tc>
        <w:tc>
          <w:tcPr>
            <w:tcW w:w="850" w:type="dxa"/>
            <w:tcBorders>
              <w:top w:val="single" w:sz="6" w:space="0" w:color="auto"/>
              <w:left w:val="nil"/>
              <w:bottom w:val="single" w:sz="6" w:space="0" w:color="auto"/>
              <w:right w:val="nil"/>
            </w:tcBorders>
          </w:tcPr>
          <w:p w:rsidR="00B32D50" w:rsidRPr="006721BF"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b/>
                <w:bCs/>
                <w:color w:val="000000"/>
                <w:szCs w:val="18"/>
                <w:lang w:eastAsia="en-AU"/>
              </w:rPr>
              <w:t>(460)</w:t>
            </w:r>
          </w:p>
        </w:tc>
      </w:tr>
      <w:tr w:rsidR="00B32D50" w:rsidRPr="006721BF"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nil"/>
              <w:right w:val="nil"/>
            </w:tcBorders>
          </w:tcPr>
          <w:p w:rsidR="00B32D50" w:rsidRPr="006721BF" w:rsidRDefault="00B32D50" w:rsidP="00F17BCD">
            <w:pPr>
              <w:keepLines w:val="0"/>
              <w:autoSpaceDE w:val="0"/>
              <w:autoSpaceDN w:val="0"/>
              <w:adjustRightInd w:val="0"/>
              <w:rPr>
                <w:rFonts w:eastAsiaTheme="minorEastAsia" w:cstheme="majorHAnsi"/>
                <w:color w:val="000000"/>
                <w:szCs w:val="18"/>
                <w:lang w:eastAsia="en-AU"/>
              </w:rPr>
            </w:pPr>
            <w:r w:rsidRPr="006721BF">
              <w:rPr>
                <w:rFonts w:eastAsiaTheme="minorEastAsia" w:cstheme="majorHAnsi"/>
                <w:color w:val="000000"/>
                <w:szCs w:val="18"/>
                <w:lang w:eastAsia="en-AU"/>
              </w:rPr>
              <w:t xml:space="preserve">Finance leases </w:t>
            </w:r>
            <w:r w:rsidRPr="006721BF">
              <w:rPr>
                <w:rFonts w:eastAsiaTheme="minorEastAsia" w:cstheme="majorHAnsi"/>
                <w:color w:val="000000"/>
                <w:szCs w:val="18"/>
                <w:vertAlign w:val="superscript"/>
                <w:lang w:eastAsia="en-AU"/>
              </w:rPr>
              <w:t>(d)</w:t>
            </w:r>
          </w:p>
        </w:tc>
        <w:tc>
          <w:tcPr>
            <w:tcW w:w="850" w:type="dxa"/>
            <w:tcBorders>
              <w:top w:val="single" w:sz="6" w:space="0" w:color="auto"/>
              <w:left w:val="nil"/>
              <w:bottom w:val="nil"/>
              <w:right w:val="nil"/>
            </w:tcBorders>
          </w:tcPr>
          <w:p w:rsidR="00B32D50" w:rsidRPr="006721BF"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451</w:t>
            </w:r>
          </w:p>
        </w:tc>
        <w:tc>
          <w:tcPr>
            <w:tcW w:w="850" w:type="dxa"/>
            <w:tcBorders>
              <w:top w:val="single" w:sz="6" w:space="0" w:color="auto"/>
              <w:left w:val="nil"/>
              <w:bottom w:val="nil"/>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1 034</w:t>
            </w:r>
          </w:p>
        </w:tc>
        <w:tc>
          <w:tcPr>
            <w:tcW w:w="850" w:type="dxa"/>
            <w:tcBorders>
              <w:top w:val="single" w:sz="6" w:space="0" w:color="auto"/>
              <w:left w:val="nil"/>
              <w:bottom w:val="nil"/>
              <w:right w:val="nil"/>
            </w:tcBorders>
          </w:tcPr>
          <w:p w:rsidR="00B32D50" w:rsidRPr="006721BF"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526</w:t>
            </w:r>
          </w:p>
        </w:tc>
        <w:tc>
          <w:tcPr>
            <w:tcW w:w="850" w:type="dxa"/>
            <w:tcBorders>
              <w:top w:val="single" w:sz="6" w:space="0" w:color="auto"/>
              <w:left w:val="nil"/>
              <w:bottom w:val="nil"/>
              <w:right w:val="nil"/>
            </w:tcBorders>
          </w:tcPr>
          <w:p w:rsidR="00B32D50" w:rsidRPr="006721BF"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448</w:t>
            </w:r>
          </w:p>
        </w:tc>
      </w:tr>
      <w:tr w:rsidR="00B32D50" w:rsidRPr="006721BF"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single" w:sz="6" w:space="0" w:color="auto"/>
              <w:right w:val="nil"/>
            </w:tcBorders>
          </w:tcPr>
          <w:p w:rsidR="00B32D50" w:rsidRPr="006721BF" w:rsidRDefault="00B32D50" w:rsidP="00F17BCD">
            <w:pPr>
              <w:keepLines w:val="0"/>
              <w:autoSpaceDE w:val="0"/>
              <w:autoSpaceDN w:val="0"/>
              <w:adjustRightInd w:val="0"/>
              <w:rPr>
                <w:rFonts w:eastAsiaTheme="minorEastAsia" w:cstheme="majorHAnsi"/>
                <w:color w:val="000000"/>
                <w:szCs w:val="18"/>
                <w:lang w:eastAsia="en-AU"/>
              </w:rPr>
            </w:pPr>
            <w:r w:rsidRPr="006721BF">
              <w:rPr>
                <w:rFonts w:eastAsiaTheme="minorEastAsia" w:cstheme="majorHAnsi"/>
                <w:color w:val="000000"/>
                <w:szCs w:val="18"/>
                <w:lang w:eastAsia="en-AU"/>
              </w:rPr>
              <w:t>Other movements</w:t>
            </w:r>
          </w:p>
        </w:tc>
        <w:tc>
          <w:tcPr>
            <w:tcW w:w="850" w:type="dxa"/>
            <w:tcBorders>
              <w:top w:val="nil"/>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1 481</w:t>
            </w:r>
          </w:p>
        </w:tc>
        <w:tc>
          <w:tcPr>
            <w:tcW w:w="850" w:type="dxa"/>
            <w:tcBorders>
              <w:top w:val="nil"/>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1 831</w:t>
            </w:r>
          </w:p>
        </w:tc>
        <w:tc>
          <w:tcPr>
            <w:tcW w:w="850" w:type="dxa"/>
            <w:tcBorders>
              <w:top w:val="nil"/>
              <w:left w:val="nil"/>
              <w:bottom w:val="single" w:sz="6" w:space="0" w:color="auto"/>
              <w:right w:val="nil"/>
            </w:tcBorders>
          </w:tcPr>
          <w:p w:rsidR="00B32D50" w:rsidRPr="006721BF"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color w:val="000000"/>
                <w:szCs w:val="18"/>
                <w:lang w:eastAsia="en-AU"/>
              </w:rPr>
            </w:pPr>
            <w:r w:rsidRPr="006721BF">
              <w:rPr>
                <w:rFonts w:eastAsiaTheme="minorEastAsia" w:cstheme="majorHAnsi"/>
                <w:color w:val="000000"/>
                <w:szCs w:val="18"/>
                <w:lang w:eastAsia="en-AU"/>
              </w:rPr>
              <w:t>1 269</w:t>
            </w:r>
          </w:p>
        </w:tc>
        <w:tc>
          <w:tcPr>
            <w:tcW w:w="850" w:type="dxa"/>
            <w:tcBorders>
              <w:top w:val="nil"/>
              <w:left w:val="nil"/>
              <w:bottom w:val="single" w:sz="6" w:space="0" w:color="auto"/>
              <w:right w:val="nil"/>
            </w:tcBorders>
          </w:tcPr>
          <w:p w:rsidR="00B32D50" w:rsidRPr="006721BF" w:rsidRDefault="00CF507D"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eastAsiaTheme="minorEastAsia" w:cstheme="majorHAnsi"/>
                <w:color w:val="000000"/>
                <w:szCs w:val="18"/>
                <w:lang w:eastAsia="en-AU"/>
              </w:rPr>
              <w:t>537</w:t>
            </w:r>
          </w:p>
        </w:tc>
      </w:tr>
      <w:tr w:rsidR="00B32D50" w:rsidRPr="006721BF"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B32D50" w:rsidRPr="006721BF" w:rsidRDefault="00B32D50" w:rsidP="00F17BCD">
            <w:pPr>
              <w:keepLines w:val="0"/>
              <w:autoSpaceDE w:val="0"/>
              <w:autoSpaceDN w:val="0"/>
              <w:adjustRightInd w:val="0"/>
              <w:rPr>
                <w:rFonts w:eastAsiaTheme="minorEastAsia" w:cstheme="majorHAnsi"/>
                <w:bCs/>
                <w:color w:val="000000"/>
                <w:szCs w:val="18"/>
                <w:lang w:eastAsia="en-AU"/>
              </w:rPr>
            </w:pPr>
            <w:r w:rsidRPr="006721BF">
              <w:rPr>
                <w:rFonts w:eastAsiaTheme="minorEastAsia" w:cstheme="majorHAnsi"/>
                <w:bCs/>
                <w:color w:val="000000"/>
                <w:szCs w:val="18"/>
                <w:lang w:eastAsia="en-AU"/>
              </w:rPr>
              <w:t>Decrease/(increase) in net debt</w:t>
            </w:r>
          </w:p>
        </w:tc>
        <w:tc>
          <w:tcPr>
            <w:tcW w:w="850" w:type="dxa"/>
            <w:tcBorders>
              <w:top w:val="single" w:sz="6" w:space="0" w:color="auto"/>
              <w:bottom w:val="single" w:sz="12" w:space="0" w:color="auto"/>
            </w:tcBorders>
          </w:tcPr>
          <w:p w:rsidR="00B32D50" w:rsidRPr="006721BF" w:rsidRDefault="00CF507D"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8"/>
                <w:lang w:eastAsia="en-AU"/>
              </w:rPr>
              <w:t>(2 510)</w:t>
            </w:r>
          </w:p>
        </w:tc>
        <w:tc>
          <w:tcPr>
            <w:tcW w:w="850" w:type="dxa"/>
            <w:tcBorders>
              <w:top w:val="single" w:sz="6" w:space="0" w:color="auto"/>
              <w:bottom w:val="single" w:sz="12" w:space="0" w:color="auto"/>
            </w:tcBorders>
          </w:tcPr>
          <w:p w:rsidR="00B32D50" w:rsidRPr="006721BF" w:rsidRDefault="00CF507D"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8"/>
                <w:lang w:eastAsia="en-AU"/>
              </w:rPr>
              <w:t>(5 301)</w:t>
            </w:r>
          </w:p>
        </w:tc>
        <w:tc>
          <w:tcPr>
            <w:tcW w:w="850" w:type="dxa"/>
            <w:tcBorders>
              <w:top w:val="single" w:sz="6" w:space="0" w:color="auto"/>
              <w:bottom w:val="single" w:sz="12" w:space="0" w:color="auto"/>
            </w:tcBorders>
          </w:tcPr>
          <w:p w:rsidR="00B32D50" w:rsidRPr="006721BF" w:rsidRDefault="00CF507D"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8"/>
                <w:lang w:eastAsia="en-AU"/>
              </w:rPr>
              <w:t>(2 509)</w:t>
            </w:r>
          </w:p>
        </w:tc>
        <w:tc>
          <w:tcPr>
            <w:tcW w:w="850" w:type="dxa"/>
            <w:tcBorders>
              <w:top w:val="single" w:sz="6" w:space="0" w:color="auto"/>
              <w:bottom w:val="single" w:sz="12" w:space="0" w:color="auto"/>
            </w:tcBorders>
          </w:tcPr>
          <w:p w:rsidR="00B32D50" w:rsidRPr="006721BF" w:rsidRDefault="00CF507D"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pPr>
            <w:r>
              <w:rPr>
                <w:rFonts w:eastAsiaTheme="minorEastAsia" w:cstheme="majorHAnsi"/>
                <w:bCs/>
                <w:color w:val="000000"/>
                <w:szCs w:val="18"/>
                <w:lang w:eastAsia="en-AU"/>
              </w:rPr>
              <w:t>(1 445)</w:t>
            </w:r>
          </w:p>
        </w:tc>
      </w:tr>
    </w:tbl>
    <w:p w:rsidR="00B32D50" w:rsidRPr="00C203E5" w:rsidRDefault="00B32D50" w:rsidP="00F17BCD">
      <w:pPr>
        <w:pStyle w:val="Source"/>
      </w:pPr>
      <w:r w:rsidRPr="00C203E5">
        <w:t>Source: Department of Treasury and Finance</w:t>
      </w:r>
    </w:p>
    <w:p w:rsidR="00B32D50" w:rsidRPr="00C203E5" w:rsidRDefault="00B32D50" w:rsidP="00F17BCD">
      <w:pPr>
        <w:pStyle w:val="Note"/>
      </w:pPr>
      <w:r w:rsidRPr="00C203E5">
        <w:t>Notes:</w:t>
      </w:r>
    </w:p>
    <w:p w:rsidR="00B32D50" w:rsidRPr="00C203E5" w:rsidRDefault="00B32D50" w:rsidP="00F17BCD">
      <w:pPr>
        <w:pStyle w:val="Note"/>
      </w:pPr>
      <w:r w:rsidRPr="00C203E5">
        <w:t xml:space="preserve">(a) </w:t>
      </w:r>
      <w:r w:rsidRPr="00C203E5">
        <w:tab/>
        <w:t>Figures in this table are subject to rounding to the nearest</w:t>
      </w:r>
      <w:r>
        <w:t> million</w:t>
      </w:r>
      <w:r w:rsidRPr="00C203E5">
        <w:t xml:space="preserve"> and may not add up to totals.</w:t>
      </w:r>
    </w:p>
    <w:p w:rsidR="00B32D50" w:rsidRPr="00C203E5" w:rsidRDefault="00B32D50" w:rsidP="00F17BCD">
      <w:pPr>
        <w:pStyle w:val="Note"/>
      </w:pPr>
      <w:r w:rsidRPr="00C203E5">
        <w:t xml:space="preserve">(b) </w:t>
      </w:r>
      <w:r w:rsidRPr="00C203E5">
        <w:tab/>
        <w:t xml:space="preserve">Includes depreciation, </w:t>
      </w:r>
      <w:r>
        <w:t xml:space="preserve">prepayments and </w:t>
      </w:r>
      <w:r w:rsidRPr="00C203E5">
        <w:t xml:space="preserve">movements in the unfunded superannuation liability and </w:t>
      </w:r>
      <w:r>
        <w:t xml:space="preserve">liability for employee benefits, </w:t>
      </w:r>
      <w:r>
        <w:br/>
        <w:t>as well as operating cash flows not required to be recognised in the operating statement for the respective year.</w:t>
      </w:r>
    </w:p>
    <w:p w:rsidR="00B32D50" w:rsidRPr="00C203E5" w:rsidRDefault="00B32D50" w:rsidP="00F17BCD">
      <w:pPr>
        <w:pStyle w:val="Note"/>
      </w:pPr>
      <w:r w:rsidRPr="00C203E5">
        <w:t xml:space="preserve">(c) </w:t>
      </w:r>
      <w:r w:rsidRPr="00C203E5">
        <w:tab/>
        <w:t>Includes total purchases of plant, property and equipment, and net capital contributions to other sectors of government net of proceeds from asset recycling</w:t>
      </w:r>
      <w:r w:rsidRPr="00C203E5">
        <w:fldChar w:fldCharType="begin"/>
      </w:r>
      <w:r w:rsidRPr="00C203E5">
        <w:instrText xml:space="preserve"> "Asset recycling" </w:instrText>
      </w:r>
      <w:r w:rsidRPr="00C203E5">
        <w:fldChar w:fldCharType="end"/>
      </w:r>
      <w:r w:rsidRPr="00C203E5">
        <w:t>.</w:t>
      </w:r>
    </w:p>
    <w:p w:rsidR="00B32D50" w:rsidRPr="00C203E5" w:rsidRDefault="00B32D50" w:rsidP="00F17BCD">
      <w:pPr>
        <w:pStyle w:val="Note"/>
      </w:pPr>
      <w:r w:rsidRPr="00C203E5">
        <w:t>(d)</w:t>
      </w:r>
      <w:r w:rsidRPr="00C203E5">
        <w:tab/>
        <w:t>The finance lease acquisition</w:t>
      </w:r>
      <w:r>
        <w:t>s relate</w:t>
      </w:r>
      <w:r w:rsidRPr="00C203E5">
        <w:t xml:space="preserve"> to </w:t>
      </w:r>
      <w:r>
        <w:t xml:space="preserve">Bendigo Hospital – Stage 2, </w:t>
      </w:r>
      <w:r w:rsidRPr="00C203E5">
        <w:t>the</w:t>
      </w:r>
      <w:r>
        <w:t xml:space="preserve"> High Capacity Metro Trains</w:t>
      </w:r>
      <w:r w:rsidRPr="00C203E5">
        <w:t xml:space="preserve"> Project, the </w:t>
      </w:r>
      <w:r>
        <w:t>Western Roads Upgrade,</w:t>
      </w:r>
      <w:r w:rsidRPr="00C203E5">
        <w:t xml:space="preserve"> </w:t>
      </w:r>
      <w:r>
        <w:t>the</w:t>
      </w:r>
      <w:r w:rsidRPr="00C203E5">
        <w:t xml:space="preserve"> </w:t>
      </w:r>
      <w:r>
        <w:t>Casey Hospital E</w:t>
      </w:r>
      <w:r w:rsidRPr="00C203E5">
        <w:t>xpansion</w:t>
      </w:r>
      <w:r>
        <w:t>, the Northern Roads Upgrade and the</w:t>
      </w:r>
      <w:r w:rsidRPr="00C203E5">
        <w:t xml:space="preserve"> South Eastern Roads Upgrade.</w:t>
      </w:r>
    </w:p>
    <w:p w:rsidR="00B32D50" w:rsidRPr="00C203E5" w:rsidRDefault="00B32D50" w:rsidP="00F17BCD">
      <w:pPr>
        <w:pStyle w:val="Heading20"/>
        <w:rPr>
          <w:rFonts w:eastAsiaTheme="minorHAnsi"/>
        </w:rPr>
      </w:pPr>
      <w:r w:rsidRPr="00C203E5">
        <w:rPr>
          <w:rFonts w:eastAsiaTheme="minorHAnsi"/>
        </w:rPr>
        <w:t>Unfunded superannuation liability</w:t>
      </w:r>
    </w:p>
    <w:p w:rsidR="00B32D50" w:rsidRPr="00C203E5" w:rsidRDefault="00B32D50" w:rsidP="00F17BCD">
      <w:r w:rsidRPr="00C203E5">
        <w:t xml:space="preserve">The State’s unfunded superannuation liability </w:t>
      </w:r>
      <w:r>
        <w:t xml:space="preserve">is on track to be fully funded </w:t>
      </w:r>
      <w:r w:rsidRPr="00C203E5">
        <w:t xml:space="preserve">by 2035. </w:t>
      </w:r>
      <w:r>
        <w:t>Note 3.6.3</w:t>
      </w:r>
      <w:r w:rsidRPr="00165693">
        <w:t xml:space="preserve"> of </w:t>
      </w:r>
      <w:r>
        <w:t>Chapter 3</w:t>
      </w:r>
      <w:r w:rsidRPr="00916A19">
        <w:t xml:space="preserve"> </w:t>
      </w:r>
      <w:r w:rsidRPr="00916A19">
        <w:rPr>
          <w:i/>
        </w:rPr>
        <w:t>Estimated financial statements and notes</w:t>
      </w:r>
      <w:r>
        <w:rPr>
          <w:i/>
        </w:rPr>
        <w:t xml:space="preserve"> </w:t>
      </w:r>
      <w:r w:rsidRPr="00C203E5">
        <w:t>shows information on the reported superannuation liability</w:t>
      </w:r>
      <w:r w:rsidRPr="00C203E5">
        <w:rPr>
          <w:i/>
        </w:rPr>
        <w:t>.</w:t>
      </w:r>
    </w:p>
    <w:p w:rsidR="00B32D50" w:rsidRDefault="00B32D50" w:rsidP="00F17BCD">
      <w:pPr>
        <w:keepLines w:val="0"/>
        <w:rPr>
          <w:rFonts w:asciiTheme="majorHAnsi" w:hAnsiTheme="majorHAnsi" w:cstheme="majorBidi"/>
          <w:b/>
          <w:bCs/>
          <w:caps/>
          <w:spacing w:val="-2"/>
          <w:sz w:val="26"/>
          <w:szCs w:val="28"/>
        </w:rPr>
      </w:pPr>
      <w:bookmarkStart w:id="17" w:name="_Toc449123068"/>
      <w:bookmarkStart w:id="18" w:name="_Toc481160574"/>
      <w:bookmarkStart w:id="19" w:name="_Toc481246482"/>
      <w:bookmarkStart w:id="20" w:name="_Toc512629768"/>
      <w:r>
        <w:br w:type="page"/>
      </w:r>
    </w:p>
    <w:p w:rsidR="00B32D50" w:rsidRPr="00C203E5" w:rsidRDefault="00B32D50" w:rsidP="00F17BCD">
      <w:pPr>
        <w:pStyle w:val="Heading10"/>
        <w:rPr>
          <w:rFonts w:eastAsiaTheme="minorHAnsi"/>
        </w:rPr>
      </w:pPr>
      <w:bookmarkStart w:id="21" w:name="_Toc528864762"/>
      <w:r w:rsidRPr="00C203E5">
        <w:rPr>
          <w:rFonts w:eastAsiaTheme="minorHAnsi"/>
        </w:rPr>
        <w:lastRenderedPageBreak/>
        <w:t>Fiscal risks</w:t>
      </w:r>
      <w:bookmarkEnd w:id="17"/>
      <w:bookmarkEnd w:id="18"/>
      <w:bookmarkEnd w:id="19"/>
      <w:bookmarkEnd w:id="20"/>
      <w:bookmarkEnd w:id="21"/>
    </w:p>
    <w:p w:rsidR="00B32D50" w:rsidRPr="00C203E5" w:rsidRDefault="00B32D50" w:rsidP="00F17BCD">
      <w:r w:rsidRPr="00C203E5">
        <w:t xml:space="preserve">This section discusses a number of risks which, if realised, are likely to impact on the State’s financial position and budget outcomes. </w:t>
      </w:r>
    </w:p>
    <w:p w:rsidR="00B32D50" w:rsidRPr="00C203E5" w:rsidRDefault="00B32D50" w:rsidP="00F17BCD">
      <w:r w:rsidRPr="00C203E5">
        <w:t>Details of specific contingent assets and liabilities, defined as possible assets or liabilities that arise from past events, whose existence will be confirmed only by the occurrence or non</w:t>
      </w:r>
      <w:r w:rsidRPr="00C203E5">
        <w:noBreakHyphen/>
        <w:t xml:space="preserve">occurrence of one or more uncertain future events not wholly within the control of the entity, are contained within </w:t>
      </w:r>
      <w:r>
        <w:t>Chapter 4</w:t>
      </w:r>
      <w:r w:rsidRPr="007E4E2E">
        <w:t xml:space="preserve"> </w:t>
      </w:r>
      <w:r w:rsidRPr="007E4E2E">
        <w:rPr>
          <w:i/>
        </w:rPr>
        <w:t>Contingent assets and contingent liabilities</w:t>
      </w:r>
      <w:r w:rsidRPr="00C203E5">
        <w:rPr>
          <w:i/>
        </w:rPr>
        <w:t>.</w:t>
      </w:r>
    </w:p>
    <w:p w:rsidR="00B32D50" w:rsidRPr="00C203E5" w:rsidRDefault="00B32D50" w:rsidP="00F17BCD">
      <w:pPr>
        <w:pStyle w:val="Heading20"/>
        <w:rPr>
          <w:rFonts w:eastAsiaTheme="minorHAnsi"/>
        </w:rPr>
      </w:pPr>
      <w:r w:rsidRPr="00C203E5">
        <w:rPr>
          <w:rFonts w:eastAsiaTheme="minorHAnsi"/>
        </w:rPr>
        <w:t>General fiscal risks</w:t>
      </w:r>
    </w:p>
    <w:p w:rsidR="00B32D50" w:rsidRPr="00C203E5" w:rsidRDefault="00B32D50" w:rsidP="00F17BCD">
      <w:pPr>
        <w:pStyle w:val="Heading30"/>
      </w:pPr>
      <w:r w:rsidRPr="00C203E5">
        <w:rPr>
          <w:rFonts w:eastAsiaTheme="minorHAnsi"/>
        </w:rPr>
        <w:t>State taxes</w:t>
      </w:r>
    </w:p>
    <w:p w:rsidR="00B32D50" w:rsidRPr="0010547C" w:rsidRDefault="00B32D50" w:rsidP="00F17BCD">
      <w:pPr>
        <w:autoSpaceDE w:val="0"/>
        <w:autoSpaceDN w:val="0"/>
        <w:adjustRightInd w:val="0"/>
        <w:spacing w:after="120"/>
        <w:rPr>
          <w:rFonts w:cstheme="minorHAnsi"/>
          <w:color w:val="000000"/>
        </w:rPr>
      </w:pPr>
      <w:r w:rsidRPr="0010547C">
        <w:rPr>
          <w:rFonts w:cstheme="minorHAnsi"/>
          <w:color w:val="000000"/>
        </w:rPr>
        <w:t xml:space="preserve">State tax forecasts are primarily modelled on the relationships between taxation revenue and projected economic variables. As a result, the main source of uncertainty to the taxation estimates are unforeseen changes in the economic outlook. </w:t>
      </w:r>
    </w:p>
    <w:p w:rsidR="00B32D50" w:rsidRDefault="00B32D50" w:rsidP="00F17BCD">
      <w:pPr>
        <w:autoSpaceDE w:val="0"/>
        <w:autoSpaceDN w:val="0"/>
        <w:adjustRightInd w:val="0"/>
        <w:spacing w:after="120"/>
        <w:rPr>
          <w:rFonts w:cstheme="minorHAnsi"/>
          <w:color w:val="000000"/>
        </w:rPr>
      </w:pPr>
      <w:r w:rsidRPr="0010547C">
        <w:rPr>
          <w:rFonts w:cstheme="minorHAnsi"/>
          <w:color w:val="000000"/>
        </w:rPr>
        <w:t>Revenue from property</w:t>
      </w:r>
      <w:r>
        <w:rPr>
          <w:rFonts w:cstheme="minorHAnsi"/>
          <w:color w:val="000000"/>
        </w:rPr>
        <w:t>-</w:t>
      </w:r>
      <w:r w:rsidRPr="0010547C">
        <w:rPr>
          <w:rFonts w:cstheme="minorHAnsi"/>
          <w:color w:val="000000"/>
        </w:rPr>
        <w:t>based taxes, such as land tax and land transfer duty, are subject to unique risks and historically have been volatile. Property markets can exhibit large cycles typically related to changes in official interest rates, changes in sentiment, and/or household income.</w:t>
      </w:r>
      <w:r>
        <w:rPr>
          <w:rFonts w:cstheme="minorHAnsi"/>
          <w:color w:val="000000"/>
        </w:rPr>
        <w:t xml:space="preserve"> </w:t>
      </w:r>
      <w:r w:rsidRPr="0010547C">
        <w:rPr>
          <w:rFonts w:cstheme="minorHAnsi"/>
          <w:color w:val="000000"/>
        </w:rPr>
        <w:t xml:space="preserve">If property market sentiment were to </w:t>
      </w:r>
      <w:r>
        <w:rPr>
          <w:rFonts w:cstheme="minorHAnsi"/>
          <w:color w:val="000000"/>
        </w:rPr>
        <w:t>weaken</w:t>
      </w:r>
      <w:r w:rsidRPr="0010547C">
        <w:rPr>
          <w:rFonts w:cstheme="minorHAnsi"/>
          <w:color w:val="000000"/>
        </w:rPr>
        <w:t xml:space="preserve"> faster than anticipated</w:t>
      </w:r>
      <w:r>
        <w:rPr>
          <w:rFonts w:cstheme="minorHAnsi"/>
          <w:color w:val="000000"/>
        </w:rPr>
        <w:t xml:space="preserve"> or is more prolonged</w:t>
      </w:r>
      <w:r w:rsidRPr="0010547C">
        <w:rPr>
          <w:rFonts w:cstheme="minorHAnsi"/>
          <w:color w:val="000000"/>
        </w:rPr>
        <w:t xml:space="preserve">, or </w:t>
      </w:r>
      <w:r>
        <w:rPr>
          <w:rFonts w:cstheme="minorHAnsi"/>
          <w:color w:val="000000"/>
        </w:rPr>
        <w:t xml:space="preserve">mortgage </w:t>
      </w:r>
      <w:r w:rsidRPr="0010547C">
        <w:rPr>
          <w:rFonts w:cstheme="minorHAnsi"/>
          <w:color w:val="000000"/>
        </w:rPr>
        <w:t xml:space="preserve">interest rates rose more quickly than currently expected, </w:t>
      </w:r>
      <w:r>
        <w:rPr>
          <w:rFonts w:cstheme="minorHAnsi"/>
          <w:color w:val="000000"/>
        </w:rPr>
        <w:t>revenue from property-</w:t>
      </w:r>
      <w:r w:rsidRPr="0010547C">
        <w:rPr>
          <w:rFonts w:cstheme="minorHAnsi"/>
          <w:color w:val="000000"/>
        </w:rPr>
        <w:t xml:space="preserve">based taxes </w:t>
      </w:r>
      <w:r>
        <w:rPr>
          <w:rFonts w:cstheme="minorHAnsi"/>
          <w:color w:val="000000"/>
        </w:rPr>
        <w:t>may</w:t>
      </w:r>
      <w:r w:rsidRPr="0010547C">
        <w:rPr>
          <w:rFonts w:cstheme="minorHAnsi"/>
          <w:color w:val="000000"/>
        </w:rPr>
        <w:t xml:space="preserve"> </w:t>
      </w:r>
      <w:r>
        <w:rPr>
          <w:rFonts w:cstheme="minorHAnsi"/>
          <w:color w:val="000000"/>
        </w:rPr>
        <w:t>be weaker than forecast</w:t>
      </w:r>
      <w:r w:rsidRPr="0010547C">
        <w:rPr>
          <w:rFonts w:cstheme="minorHAnsi"/>
          <w:color w:val="000000"/>
        </w:rPr>
        <w:t>.</w:t>
      </w:r>
    </w:p>
    <w:p w:rsidR="00B32D50" w:rsidRDefault="00B32D50" w:rsidP="00F17BCD">
      <w:pPr>
        <w:autoSpaceDE w:val="0"/>
        <w:autoSpaceDN w:val="0"/>
        <w:adjustRightInd w:val="0"/>
        <w:spacing w:after="120"/>
        <w:rPr>
          <w:rFonts w:cstheme="minorHAnsi"/>
          <w:color w:val="000000"/>
        </w:rPr>
      </w:pPr>
      <w:r>
        <w:rPr>
          <w:rFonts w:cstheme="minorHAnsi"/>
          <w:color w:val="000000"/>
        </w:rPr>
        <w:t xml:space="preserve">The translation between developments in the property market into property-based taxes is an additional source of uncertainty. </w:t>
      </w:r>
    </w:p>
    <w:p w:rsidR="00B32D50" w:rsidRPr="00C203E5" w:rsidRDefault="00B32D50" w:rsidP="00F17BCD">
      <w:pPr>
        <w:pStyle w:val="Heading30"/>
        <w:rPr>
          <w:rFonts w:eastAsiaTheme="minorHAnsi"/>
        </w:rPr>
      </w:pPr>
      <w:r w:rsidRPr="00C203E5">
        <w:rPr>
          <w:rFonts w:eastAsiaTheme="minorHAnsi"/>
        </w:rPr>
        <w:t>Employee expenses</w:t>
      </w:r>
    </w:p>
    <w:p w:rsidR="00B32D50" w:rsidRPr="00C203E5" w:rsidRDefault="00B32D50" w:rsidP="00F17BCD">
      <w:r w:rsidRPr="00C203E5">
        <w:t xml:space="preserve">Employee expenses are the State’s largest expense. Two important determinants of employee expenses are wages growth and the number of employees. </w:t>
      </w:r>
    </w:p>
    <w:p w:rsidR="00B32D50" w:rsidRPr="00C203E5" w:rsidRDefault="00B32D50" w:rsidP="00F17BCD">
      <w:r w:rsidRPr="00C203E5">
        <w:t>Other factors contributing to projected employee expenses include the composition and profile of the workforce as well as rostering arrangements.</w:t>
      </w:r>
    </w:p>
    <w:p w:rsidR="00B32D50" w:rsidRPr="00C203E5" w:rsidRDefault="00B32D50" w:rsidP="00F17BCD">
      <w:pPr>
        <w:pStyle w:val="Heading30"/>
        <w:rPr>
          <w:rFonts w:eastAsiaTheme="minorHAnsi"/>
        </w:rPr>
      </w:pPr>
      <w:r w:rsidRPr="00C203E5">
        <w:rPr>
          <w:rFonts w:eastAsiaTheme="minorHAnsi"/>
        </w:rPr>
        <w:t>Demand growth</w:t>
      </w:r>
    </w:p>
    <w:p w:rsidR="00B32D50" w:rsidRPr="00C203E5" w:rsidRDefault="00B32D50" w:rsidP="00F17BCD">
      <w:r w:rsidRPr="00C203E5">
        <w:t xml:space="preserve">Another key uncertainty is growth in demand for government services exceeding or being below current projections. This can occur, for example, as a result of higher than forecast population growth or expenditure in response to unforeseen events such as natural disasters, including bushfires and floods. </w:t>
      </w:r>
    </w:p>
    <w:p w:rsidR="00B32D50" w:rsidRPr="00C203E5" w:rsidRDefault="00B32D50" w:rsidP="00F17BCD">
      <w:r w:rsidRPr="00C203E5">
        <w:t>The estimates incorporate contingency provisions to mitigate the impact of expenditure risks, which may be realised during the next four years. The contingency provisions are sized to allow for the likely growth in Victoria’s population and consequent derived increased demand for government services.</w:t>
      </w:r>
    </w:p>
    <w:p w:rsidR="00B32D50" w:rsidRPr="00C203E5" w:rsidRDefault="00B32D50" w:rsidP="00F17BCD">
      <w:r>
        <w:t>Note 3.3.5 and Note 3.3.6</w:t>
      </w:r>
      <w:r w:rsidRPr="00D521E9">
        <w:t xml:space="preserve"> of Chapter </w:t>
      </w:r>
      <w:r>
        <w:t>3</w:t>
      </w:r>
      <w:r w:rsidRPr="00D521E9">
        <w:t xml:space="preserve"> </w:t>
      </w:r>
      <w:r w:rsidRPr="00D521E9">
        <w:rPr>
          <w:i/>
        </w:rPr>
        <w:t>Estimated</w:t>
      </w:r>
      <w:r>
        <w:rPr>
          <w:i/>
        </w:rPr>
        <w:t xml:space="preserve"> financial statements and notes </w:t>
      </w:r>
      <w:r w:rsidRPr="00C203E5">
        <w:t>discloses general government output and asset contingencies not allocated to departments</w:t>
      </w:r>
      <w:r w:rsidRPr="00C203E5">
        <w:rPr>
          <w:i/>
        </w:rPr>
        <w:t>.</w:t>
      </w:r>
    </w:p>
    <w:p w:rsidR="00B32D50" w:rsidRPr="00C203E5" w:rsidRDefault="00B32D50" w:rsidP="00735AAB">
      <w:pPr>
        <w:pStyle w:val="Heading20"/>
      </w:pPr>
      <w:r w:rsidRPr="00C203E5">
        <w:rPr>
          <w:rFonts w:eastAsiaTheme="minorHAnsi"/>
        </w:rPr>
        <w:lastRenderedPageBreak/>
        <w:t>Specific fiscal risks</w:t>
      </w:r>
    </w:p>
    <w:p w:rsidR="00B32D50" w:rsidRPr="00157D27" w:rsidRDefault="00B32D50" w:rsidP="00735AAB">
      <w:pPr>
        <w:pStyle w:val="Heading30"/>
      </w:pPr>
      <w:r w:rsidRPr="00157D27">
        <w:t>National Disability Insurance Scheme</w:t>
      </w:r>
    </w:p>
    <w:p w:rsidR="00B32D50" w:rsidRDefault="00B32D50" w:rsidP="00F17BCD">
      <w:r w:rsidRPr="00EF10F4">
        <w:t>Victoria commenced transition to the NDIS on 1 July 2016 and is working towards reaching full roll-out by 1 July 2019. The current transition agreement between Victoria and the Commonwealth ends on 30 June 2019. Negotiations on a full scheme agreement to take effect from 1 July 2019 were not finalised prior to the issue of the election writs on 30 October 2018. However, the current agreement states that Victoria’s contribution to the NDIS will be an estimated $2.5 billion a year, with the Commonwealth estimated to provide $2.6 billion a year for Victorians in the Scheme.</w:t>
      </w:r>
    </w:p>
    <w:p w:rsidR="00B32D50" w:rsidRDefault="00B32D50" w:rsidP="00F17BCD">
      <w:r w:rsidRPr="0004412C">
        <w:t>In August 2018</w:t>
      </w:r>
      <w:r>
        <w:t>,</w:t>
      </w:r>
      <w:r w:rsidRPr="0004412C">
        <w:t xml:space="preserve"> the Government announced five not-for-profit providers chosen to deliver disability accommodation and respite services as part of the transition to the NDIS. Funding for these pro</w:t>
      </w:r>
      <w:r>
        <w:t xml:space="preserve">viders was included in the </w:t>
      </w:r>
      <w:r w:rsidRPr="0004412C">
        <w:rPr>
          <w:i/>
        </w:rPr>
        <w:t>2018-19 Budget</w:t>
      </w:r>
      <w:r w:rsidRPr="0004412C">
        <w:t>.</w:t>
      </w:r>
    </w:p>
    <w:p w:rsidR="00B32D50" w:rsidRPr="00157D27" w:rsidRDefault="00B32D50" w:rsidP="00735AAB">
      <w:pPr>
        <w:pStyle w:val="Heading30"/>
      </w:pPr>
      <w:r w:rsidRPr="00157D27">
        <w:t>Commonwealth schools funding</w:t>
      </w:r>
    </w:p>
    <w:p w:rsidR="00B32D50" w:rsidRDefault="00B32D50" w:rsidP="00F17BCD">
      <w:r>
        <w:t xml:space="preserve">In June 2017, the Commonwealth Government passed amendments to the </w:t>
      </w:r>
      <w:r w:rsidRPr="00083BE5">
        <w:rPr>
          <w:i/>
        </w:rPr>
        <w:t>Australian Education Act 2013</w:t>
      </w:r>
      <w:r>
        <w:t xml:space="preserve"> to implement new national school funding arrangements for 2018 onwards. The Victorian Government signed a one-year interim agreement with the Commonwealth to ensure funding was not at risk for schools for 2018.</w:t>
      </w:r>
    </w:p>
    <w:p w:rsidR="00B32D50" w:rsidRDefault="00B32D50" w:rsidP="00F17BCD">
      <w:r w:rsidRPr="00733B9A">
        <w:t xml:space="preserve">Negotiations on a multi-year agreement from 2019 </w:t>
      </w:r>
      <w:r>
        <w:t>were not finalised prior to the issue of the election writs on 30 October 2018</w:t>
      </w:r>
      <w:r w:rsidRPr="00733B9A">
        <w:t>.</w:t>
      </w:r>
      <w:r>
        <w:t xml:space="preserve"> The quantum and conditions of funding are dependent on formal negotiations being finalised between the Commonwealth, the states and territories, and the non</w:t>
      </w:r>
      <w:r>
        <w:noBreakHyphen/>
        <w:t>government schools sector.</w:t>
      </w:r>
    </w:p>
    <w:p w:rsidR="00B32D50" w:rsidRPr="00157D27" w:rsidRDefault="00B32D50" w:rsidP="00735AAB">
      <w:pPr>
        <w:pStyle w:val="Heading30"/>
      </w:pPr>
      <w:r w:rsidRPr="00157D27">
        <w:t>Universal Access to Early Childhood Education</w:t>
      </w:r>
    </w:p>
    <w:p w:rsidR="00B32D50" w:rsidRDefault="00B32D50" w:rsidP="00F17BCD">
      <w:r>
        <w:t>The Commonwealth’s financial contribution to assist the states and territories in providing 15 hours per week of preschool support per student is supplied under the National Partnership Agreement on Universal Access to Early Childhood Education. Funding under this agreement was extended for the 2019 calendar year, but ongoing Commonwealth funding arrangements are uncertain.</w:t>
      </w:r>
    </w:p>
    <w:p w:rsidR="00B32D50" w:rsidRDefault="00B32D50">
      <w:pPr>
        <w:keepLines w:val="0"/>
        <w:rPr>
          <w:rFonts w:asciiTheme="majorHAnsi" w:eastAsiaTheme="majorEastAsia" w:hAnsiTheme="majorHAnsi" w:cstheme="majorBidi"/>
          <w:i/>
          <w:iCs/>
          <w:szCs w:val="26"/>
        </w:rPr>
      </w:pPr>
      <w:r>
        <w:br w:type="page"/>
      </w:r>
    </w:p>
    <w:p w:rsidR="00B32D50" w:rsidRPr="00157D27" w:rsidRDefault="00B32D50" w:rsidP="00735AAB">
      <w:pPr>
        <w:pStyle w:val="Heading30"/>
      </w:pPr>
      <w:r w:rsidRPr="00157D27">
        <w:lastRenderedPageBreak/>
        <w:t>National health reform</w:t>
      </w:r>
    </w:p>
    <w:p w:rsidR="00B32D50" w:rsidRPr="00C203E5" w:rsidRDefault="00B32D50" w:rsidP="00F17BCD">
      <w:r w:rsidRPr="00C203E5">
        <w:t>Under the National Health Reform Agreement (NHRA), Commonwealth growth funding is derived from a complex model based on the number of procedures performed (activity) and an efficient price determined by an independent administrator.</w:t>
      </w:r>
    </w:p>
    <w:p w:rsidR="00B32D50" w:rsidRPr="00C203E5" w:rsidRDefault="00B32D50" w:rsidP="00F17BCD">
      <w:r w:rsidRPr="00C203E5">
        <w:t>These arrangements were sche</w:t>
      </w:r>
      <w:r>
        <w:t>duled to cease from 1 July 2017. H</w:t>
      </w:r>
      <w:r w:rsidRPr="00C203E5">
        <w:t>owever, in April 2016</w:t>
      </w:r>
      <w:r>
        <w:t>,</w:t>
      </w:r>
      <w:r w:rsidRPr="00C203E5">
        <w:t xml:space="preserve"> the Commonwealth agreed to continue the NHRA from 1 July 2017 until 30 June 2020. Conditions attached to the agreement may increase fiscal exposure for the State and include:</w:t>
      </w:r>
    </w:p>
    <w:p w:rsidR="00B32D50" w:rsidRPr="00C203E5" w:rsidRDefault="00B32D50" w:rsidP="00F17BCD">
      <w:pPr>
        <w:pStyle w:val="ListBullet"/>
      </w:pPr>
      <w:r w:rsidRPr="00C203E5">
        <w:t xml:space="preserve">a national cap on Commonwealth annual expenditure growth of 6.5 per cent </w:t>
      </w:r>
      <w:r>
        <w:br/>
      </w:r>
      <w:r w:rsidRPr="00C203E5">
        <w:t>(above which the State will be required to fund all hospital activity);</w:t>
      </w:r>
    </w:p>
    <w:p w:rsidR="00B32D50" w:rsidRPr="00C203E5" w:rsidRDefault="00B32D50" w:rsidP="00F17BCD">
      <w:pPr>
        <w:pStyle w:val="ListBullet"/>
      </w:pPr>
      <w:r w:rsidRPr="00C203E5">
        <w:t>reduced funding to the State for avoidable hospital admissions or unsafe care; and</w:t>
      </w:r>
    </w:p>
    <w:p w:rsidR="00B32D50" w:rsidRPr="00C203E5" w:rsidRDefault="00B32D50" w:rsidP="00F17BCD">
      <w:pPr>
        <w:pStyle w:val="ListBullet"/>
      </w:pPr>
      <w:r w:rsidRPr="00C203E5">
        <w:t>the Commonwealth withholding funds until hospital activity data is provided.</w:t>
      </w:r>
    </w:p>
    <w:p w:rsidR="00B32D50" w:rsidRPr="00C203E5" w:rsidRDefault="00B32D50" w:rsidP="00F17BCD">
      <w:r w:rsidRPr="00C203E5">
        <w:t>A Heads of Agreement for a new agreement was proposed by the Commonwealth at the Cou</w:t>
      </w:r>
      <w:r>
        <w:t>ncil of Australian Governments</w:t>
      </w:r>
      <w:r w:rsidRPr="00C203E5">
        <w:t xml:space="preserve"> on 9 February 2018, and negotiations are ongoing.</w:t>
      </w:r>
    </w:p>
    <w:p w:rsidR="00B32D50" w:rsidRPr="00C203E5" w:rsidRDefault="00B32D50" w:rsidP="00735AAB">
      <w:pPr>
        <w:pStyle w:val="Heading30"/>
        <w:rPr>
          <w:rFonts w:eastAsiaTheme="minorHAnsi"/>
        </w:rPr>
      </w:pPr>
      <w:r w:rsidRPr="00C203E5">
        <w:rPr>
          <w:rFonts w:eastAsiaTheme="minorHAnsi"/>
        </w:rPr>
        <w:t>Victoria’s GST revenue</w:t>
      </w:r>
    </w:p>
    <w:p w:rsidR="00B32D50" w:rsidRPr="00C6705F" w:rsidRDefault="00B32D50" w:rsidP="00F17BCD">
      <w:pPr>
        <w:autoSpaceDE w:val="0"/>
        <w:autoSpaceDN w:val="0"/>
        <w:adjustRightInd w:val="0"/>
        <w:spacing w:after="120"/>
        <w:rPr>
          <w:rFonts w:cstheme="minorHAnsi"/>
          <w:color w:val="000000"/>
        </w:rPr>
      </w:pPr>
      <w:r w:rsidRPr="00C6705F">
        <w:rPr>
          <w:rFonts w:cstheme="minorHAnsi"/>
          <w:color w:val="000000"/>
        </w:rPr>
        <w:t>The distribution of GST grants between states and territories is determined by the size of the national GST pool and each jurisdiction’s population share weighted by its GST relativity. Revenue sharing relativities are determined by</w:t>
      </w:r>
      <w:r>
        <w:rPr>
          <w:rFonts w:cstheme="minorHAnsi"/>
          <w:color w:val="000000"/>
        </w:rPr>
        <w:t xml:space="preserve"> the Commonwealth Treasurer, as </w:t>
      </w:r>
      <w:r w:rsidRPr="00C6705F">
        <w:rPr>
          <w:rFonts w:cstheme="minorHAnsi"/>
          <w:color w:val="000000"/>
        </w:rPr>
        <w:t xml:space="preserve">informed by the recommendations of the </w:t>
      </w:r>
      <w:r>
        <w:rPr>
          <w:rFonts w:cstheme="minorHAnsi"/>
          <w:color w:val="000000"/>
        </w:rPr>
        <w:t>Commonwealth Grants Commission</w:t>
      </w:r>
      <w:r w:rsidRPr="00C6705F">
        <w:rPr>
          <w:rFonts w:cstheme="minorHAnsi"/>
          <w:color w:val="000000"/>
        </w:rPr>
        <w:t xml:space="preserve">. </w:t>
      </w:r>
    </w:p>
    <w:p w:rsidR="00B32D50" w:rsidRPr="00C6705F" w:rsidRDefault="00B32D50" w:rsidP="00F17BCD">
      <w:pPr>
        <w:autoSpaceDE w:val="0"/>
        <w:autoSpaceDN w:val="0"/>
        <w:adjustRightInd w:val="0"/>
        <w:spacing w:after="120"/>
        <w:rPr>
          <w:rFonts w:cstheme="minorHAnsi"/>
          <w:color w:val="000000"/>
        </w:rPr>
      </w:pPr>
      <w:r>
        <w:rPr>
          <w:rFonts w:cstheme="minorHAnsi"/>
          <w:color w:val="000000"/>
        </w:rPr>
        <w:t xml:space="preserve">Over the forward estimates, there are downside risks to </w:t>
      </w:r>
      <w:r w:rsidRPr="00C6705F">
        <w:rPr>
          <w:rFonts w:cstheme="minorHAnsi"/>
          <w:color w:val="000000"/>
        </w:rPr>
        <w:t>growth in the GST pool</w:t>
      </w:r>
      <w:r>
        <w:rPr>
          <w:rFonts w:cstheme="minorHAnsi"/>
          <w:color w:val="000000"/>
        </w:rPr>
        <w:t xml:space="preserve"> i</w:t>
      </w:r>
      <w:r w:rsidRPr="00C6705F">
        <w:rPr>
          <w:rFonts w:cstheme="minorHAnsi"/>
          <w:color w:val="000000"/>
        </w:rPr>
        <w:t>f consumer prices and wages growth do not pick up as forecast, or if growth in dwelling investme</w:t>
      </w:r>
      <w:r>
        <w:rPr>
          <w:rFonts w:cstheme="minorHAnsi"/>
          <w:color w:val="000000"/>
        </w:rPr>
        <w:t>nt is slower than expected</w:t>
      </w:r>
      <w:r w:rsidRPr="00C6705F">
        <w:rPr>
          <w:rFonts w:cstheme="minorHAnsi"/>
          <w:color w:val="000000"/>
        </w:rPr>
        <w:t>. Movements in the household savings ratio</w:t>
      </w:r>
      <w:r>
        <w:rPr>
          <w:rFonts w:cstheme="minorHAnsi"/>
          <w:color w:val="000000"/>
        </w:rPr>
        <w:t xml:space="preserve">, particularly in the context of current property market conditions, are a </w:t>
      </w:r>
      <w:r w:rsidRPr="00C6705F">
        <w:rPr>
          <w:rFonts w:cstheme="minorHAnsi"/>
          <w:color w:val="000000"/>
        </w:rPr>
        <w:t>source of uncertainty for consumer spending and the GST pool outlook.</w:t>
      </w:r>
    </w:p>
    <w:p w:rsidR="00B32D50" w:rsidRDefault="00B32D50" w:rsidP="00F17BCD">
      <w:pPr>
        <w:autoSpaceDE w:val="0"/>
        <w:autoSpaceDN w:val="0"/>
        <w:adjustRightInd w:val="0"/>
        <w:spacing w:after="120"/>
        <w:rPr>
          <w:rFonts w:cstheme="minorHAnsi"/>
          <w:color w:val="000000"/>
        </w:rPr>
      </w:pPr>
      <w:r w:rsidRPr="00C6705F">
        <w:rPr>
          <w:rFonts w:cstheme="minorHAnsi"/>
          <w:color w:val="000000"/>
        </w:rPr>
        <w:t>If Victoria’s population growth is higher than forecast compared with other states, Victoria’s share of GST revenue could increase. Conversely, should other states have higher population growth than expected compared with Victoria this would negatively affect Victoria’s GST revenue. Victoria’s share of Commonwealth grants payments can affect its GST revenue. Unforeseen movements in the property market also impact Victoria’s share of the national GST pool. Variations in commodity prices relative to current forecasts, particularly in iron ore and coal which affect royalty revenue in resource states, also pose uncertainties for Victoria’s GST revenue.</w:t>
      </w:r>
    </w:p>
    <w:p w:rsidR="00B32D50" w:rsidRDefault="00B32D50" w:rsidP="00B32D50"/>
    <w:p w:rsidR="00CF507D" w:rsidRDefault="00CF507D">
      <w:pPr>
        <w:keepLines w:val="0"/>
      </w:pPr>
      <w:r>
        <w:br w:type="page"/>
      </w:r>
    </w:p>
    <w:p w:rsidR="00CF507D" w:rsidRDefault="00CF507D" w:rsidP="00B32D50"/>
    <w:p w:rsidR="00CF507D" w:rsidRDefault="00CF507D" w:rsidP="00B32D50">
      <w:pPr>
        <w:sectPr w:rsidR="00CF507D" w:rsidSect="006D735A">
          <w:headerReference w:type="even" r:id="rId30"/>
          <w:headerReference w:type="default" r:id="rId31"/>
          <w:footerReference w:type="even" r:id="rId32"/>
          <w:footerReference w:type="default" r:id="rId33"/>
          <w:headerReference w:type="first" r:id="rId34"/>
          <w:footerReference w:type="first" r:id="rId35"/>
          <w:type w:val="continuous"/>
          <w:pgSz w:w="9979" w:h="14175" w:code="9"/>
          <w:pgMar w:top="851" w:right="1134" w:bottom="851" w:left="1134" w:header="624" w:footer="567" w:gutter="0"/>
          <w:cols w:sep="1" w:space="567"/>
          <w:docGrid w:linePitch="360"/>
        </w:sectPr>
      </w:pPr>
    </w:p>
    <w:p w:rsidR="00B32D50" w:rsidRDefault="00B32D50" w:rsidP="000C43CD">
      <w:pPr>
        <w:pStyle w:val="Chapterheading"/>
      </w:pPr>
      <w:bookmarkStart w:id="22" w:name="_Toc528864763"/>
      <w:r>
        <w:lastRenderedPageBreak/>
        <w:t>C</w:t>
      </w:r>
      <w:r w:rsidRPr="004E4D8E">
        <w:t xml:space="preserve">hapter </w:t>
      </w:r>
      <w:r>
        <w:t>3</w:t>
      </w:r>
      <w:r w:rsidRPr="004E4D8E">
        <w:t xml:space="preserve"> – Estimated financial statements and notes</w:t>
      </w:r>
      <w:bookmarkEnd w:id="22"/>
    </w:p>
    <w:p w:rsidR="00B32D50" w:rsidRDefault="00B32D50" w:rsidP="00F17BCD">
      <w:pPr>
        <w:pStyle w:val="Heading10"/>
      </w:pPr>
      <w:bookmarkStart w:id="23" w:name="_Toc517171541"/>
      <w:bookmarkStart w:id="24" w:name="_Toc528864764"/>
      <w:r>
        <w:t>Estimated general government sector</w:t>
      </w:r>
      <w:r>
        <w:br/>
        <w:t>comprehensive operating statement</w:t>
      </w:r>
      <w:bookmarkEnd w:id="23"/>
      <w:bookmarkEnd w:id="24"/>
    </w:p>
    <w:p w:rsidR="00B32D50" w:rsidRPr="00BC4D8D" w:rsidRDefault="00B32D50" w:rsidP="00F17BCD">
      <w:pPr>
        <w:pStyle w:val="TableHeading"/>
        <w:rPr>
          <w:bCs/>
          <w:lang w:val="en-US"/>
        </w:rPr>
      </w:pPr>
      <w:r w:rsidRPr="00504EB3">
        <w:t>For the financial year ended 30 June</w:t>
      </w:r>
      <w:r w:rsidRPr="00504EB3">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2778"/>
        <w:gridCol w:w="8"/>
        <w:gridCol w:w="729"/>
        <w:gridCol w:w="850"/>
        <w:gridCol w:w="850"/>
        <w:gridCol w:w="850"/>
        <w:gridCol w:w="850"/>
        <w:gridCol w:w="850"/>
      </w:tblGrid>
      <w:tr w:rsidR="001A24FA" w:rsidRPr="00BC4D8D" w:rsidTr="00642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8" w:type="dxa"/>
            <w:tcBorders>
              <w:top w:val="nil"/>
              <w:left w:val="nil"/>
              <w:right w:val="nil"/>
            </w:tcBorders>
            <w:shd w:val="solid" w:color="000000" w:fill="auto"/>
          </w:tcPr>
          <w:p w:rsidR="001A24FA" w:rsidRPr="00BC4D8D" w:rsidRDefault="001A24FA" w:rsidP="001A24FA">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737" w:type="dxa"/>
            <w:gridSpan w:val="2"/>
            <w:tcBorders>
              <w:top w:val="nil"/>
              <w:left w:val="nil"/>
              <w:right w:val="nil"/>
            </w:tcBorders>
            <w:shd w:val="solid" w:color="000000" w:fill="auto"/>
          </w:tcPr>
          <w:p w:rsidR="001A24FA" w:rsidRPr="00BC4D8D" w:rsidRDefault="001A24FA" w:rsidP="001A24FA">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BC4D8D">
              <w:rPr>
                <w:rFonts w:eastAsiaTheme="minorEastAsia" w:cs="Calibri"/>
                <w:iCs/>
                <w:color w:val="FFFFFF"/>
                <w:szCs w:val="16"/>
                <w:lang w:eastAsia="en-AU"/>
              </w:rPr>
              <w:t>Notes</w:t>
            </w:r>
          </w:p>
        </w:tc>
        <w:tc>
          <w:tcPr>
            <w:tcW w:w="850" w:type="dxa"/>
            <w:tcBorders>
              <w:top w:val="nil"/>
              <w:left w:val="nil"/>
              <w:right w:val="nil"/>
            </w:tcBorders>
            <w:shd w:val="solid" w:color="000000" w:fill="auto"/>
          </w:tcPr>
          <w:p w:rsidR="001A24FA" w:rsidRPr="00BC4D8D" w:rsidRDefault="001A24FA" w:rsidP="001A24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1A24FA" w:rsidRPr="00BC4D8D" w:rsidRDefault="001A24FA" w:rsidP="001A24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1A24FA" w:rsidRPr="00BC4D8D" w:rsidRDefault="001A24FA" w:rsidP="001A24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1A24FA" w:rsidRPr="00BC4D8D" w:rsidRDefault="001A24FA" w:rsidP="001A24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1A24FA" w:rsidRPr="00BC4D8D" w:rsidRDefault="001A24FA" w:rsidP="001A24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Revenue from transactions</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Taxation revenue</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24 081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24 092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25 050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25 836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27 116</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Interest revenue</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752</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Dividends, income tax equivalent and rate equivalent revenue</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1 103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567</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Sales of goods and services</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3.2.3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7 541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7 594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8 417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8 685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8 726</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Grant revenue</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33 458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33 515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33 697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34 686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35 942</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revenue</w:t>
            </w:r>
          </w:p>
        </w:tc>
        <w:tc>
          <w:tcPr>
            <w:tcW w:w="737" w:type="dxa"/>
            <w:gridSpan w:val="2"/>
            <w:tcBorders>
              <w:top w:val="nil"/>
              <w:left w:val="nil"/>
              <w:bottom w:val="single" w:sz="6"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3.2.5</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2 622</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2 636</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2 594</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2 656</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2 714</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revenue from transactions</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69 487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69 757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71 128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73 221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75 817</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Expenses from transactions</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Employee expenses</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25 562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24 986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26 446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27 495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28 565</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Net superannuation interest expense</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580</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superannuation</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2 676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2 750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2 802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2 873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2 992</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Depreciation</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2 876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2 884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3 050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3 352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3 521</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Interest expense</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2 167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2 090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2 133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2 211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2 260</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Grant expense</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3.3.3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12 901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12 785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14 045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14 007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14 411</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operating expenses</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21 264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21 296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20 305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20 016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20 498</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expenses from transactions</w:t>
            </w:r>
          </w:p>
        </w:tc>
        <w:tc>
          <w:tcPr>
            <w:tcW w:w="737" w:type="dxa"/>
            <w:gridSpan w:val="2"/>
            <w:tcBorders>
              <w:top w:val="single" w:sz="6" w:space="0" w:color="000000"/>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3.3.5</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68 108</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67 480</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69 420</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70 565</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72 827</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 xml:space="preserve">Net result from transactions – </w:t>
            </w:r>
            <w:r>
              <w:rPr>
                <w:rFonts w:eastAsiaTheme="minorEastAsia" w:cs="Calibri"/>
                <w:b/>
                <w:bCs/>
                <w:color w:val="000000"/>
                <w:szCs w:val="16"/>
                <w:lang w:eastAsia="en-AU"/>
              </w:rPr>
              <w:br/>
            </w:r>
            <w:r w:rsidRPr="00BC4D8D">
              <w:rPr>
                <w:rFonts w:eastAsiaTheme="minorEastAsia" w:cs="Calibri"/>
                <w:b/>
                <w:bCs/>
                <w:color w:val="000000"/>
                <w:szCs w:val="16"/>
                <w:lang w:eastAsia="en-AU"/>
              </w:rPr>
              <w:t>net operating balance</w:t>
            </w:r>
          </w:p>
        </w:tc>
        <w:tc>
          <w:tcPr>
            <w:tcW w:w="737" w:type="dxa"/>
            <w:gridSpan w:val="2"/>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1 380</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2 277</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1 708</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2 656</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2 990</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86" w:type="dxa"/>
            <w:gridSpan w:val="2"/>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 xml:space="preserve">Other economic flows included in </w:t>
            </w:r>
            <w:r w:rsidR="00C550EB">
              <w:rPr>
                <w:rFonts w:eastAsiaTheme="minorEastAsia" w:cs="Calibri"/>
                <w:b/>
                <w:bCs/>
                <w:color w:val="000000"/>
                <w:szCs w:val="16"/>
                <w:lang w:eastAsia="en-AU"/>
              </w:rPr>
              <w:br/>
            </w:r>
            <w:r w:rsidRPr="00BC4D8D">
              <w:rPr>
                <w:rFonts w:eastAsiaTheme="minorEastAsia" w:cs="Calibri"/>
                <w:b/>
                <w:bCs/>
                <w:color w:val="000000"/>
                <w:szCs w:val="16"/>
                <w:lang w:eastAsia="en-AU"/>
              </w:rPr>
              <w:t>net result</w:t>
            </w:r>
          </w:p>
        </w:tc>
        <w:tc>
          <w:tcPr>
            <w:tcW w:w="729"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Net gain/(loss) on disposal of </w:t>
            </w:r>
            <w:r w:rsidR="001A24FA">
              <w:rPr>
                <w:rFonts w:eastAsiaTheme="minorEastAsia" w:cs="Calibri"/>
                <w:color w:val="000000"/>
                <w:szCs w:val="16"/>
                <w:lang w:eastAsia="en-AU"/>
              </w:rPr>
              <w:br/>
            </w:r>
            <w:r w:rsidRPr="00BC4D8D">
              <w:rPr>
                <w:rFonts w:eastAsiaTheme="minorEastAsia" w:cs="Calibri"/>
                <w:color w:val="000000"/>
                <w:szCs w:val="16"/>
                <w:lang w:eastAsia="en-AU"/>
              </w:rPr>
              <w:t>non-financial assets</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51</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Net gain/(loss) on financial assets or liabilities at fair value</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gains/(losses) from other economic flows</w:t>
            </w:r>
          </w:p>
        </w:tc>
        <w:tc>
          <w:tcPr>
            <w:tcW w:w="737" w:type="dxa"/>
            <w:gridSpan w:val="2"/>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(362)</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other economic flows included in net result</w:t>
            </w:r>
          </w:p>
        </w:tc>
        <w:tc>
          <w:tcPr>
            <w:tcW w:w="737" w:type="dxa"/>
            <w:gridSpan w:val="2"/>
            <w:tcBorders>
              <w:top w:val="single" w:sz="6" w:space="0" w:color="000000"/>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(242)</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(233)</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(251)</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(265)</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(284)</w:t>
            </w:r>
          </w:p>
        </w:tc>
      </w:tr>
      <w:tr w:rsidR="00B32D50" w:rsidRPr="00BC4D8D" w:rsidTr="0064222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Net result</w:t>
            </w:r>
          </w:p>
        </w:tc>
        <w:tc>
          <w:tcPr>
            <w:tcW w:w="737" w:type="dxa"/>
            <w:gridSpan w:val="2"/>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1 137</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2 044</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1 456</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2 392</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2 706</w:t>
            </w:r>
          </w:p>
        </w:tc>
      </w:tr>
    </w:tbl>
    <w:p w:rsidR="0064222D" w:rsidRDefault="0064222D" w:rsidP="0064222D">
      <w:pPr>
        <w:pStyle w:val="Heading10"/>
      </w:pPr>
      <w:r>
        <w:lastRenderedPageBreak/>
        <w:t>Estimated general government sector</w:t>
      </w:r>
      <w:r>
        <w:br/>
        <w:t xml:space="preserve">comprehensive operating statement </w:t>
      </w:r>
      <w:r w:rsidRPr="0064222D">
        <w:rPr>
          <w:i/>
          <w:caps w:val="0"/>
        </w:rPr>
        <w:t>(continued)</w:t>
      </w:r>
    </w:p>
    <w:p w:rsidR="0064222D" w:rsidRDefault="0064222D" w:rsidP="0064222D">
      <w:pPr>
        <w:pStyle w:val="TableHeading"/>
      </w:pPr>
      <w:r w:rsidRPr="00504EB3">
        <w:t>For the financial year ended 30 June</w:t>
      </w:r>
      <w:r w:rsidRPr="00504EB3">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2778"/>
        <w:gridCol w:w="737"/>
        <w:gridCol w:w="850"/>
        <w:gridCol w:w="850"/>
        <w:gridCol w:w="850"/>
        <w:gridCol w:w="850"/>
        <w:gridCol w:w="850"/>
      </w:tblGrid>
      <w:tr w:rsidR="0064222D" w:rsidRPr="00BC4D8D" w:rsidTr="00274F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8" w:type="dxa"/>
            <w:tcBorders>
              <w:top w:val="nil"/>
              <w:left w:val="nil"/>
              <w:right w:val="nil"/>
            </w:tcBorders>
            <w:shd w:val="solid" w:color="000000" w:fill="auto"/>
          </w:tcPr>
          <w:p w:rsidR="0064222D" w:rsidRPr="00BC4D8D" w:rsidRDefault="0064222D" w:rsidP="00274FFA">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737" w:type="dxa"/>
            <w:tcBorders>
              <w:top w:val="nil"/>
              <w:left w:val="nil"/>
              <w:right w:val="nil"/>
            </w:tcBorders>
            <w:shd w:val="solid" w:color="000000" w:fill="auto"/>
          </w:tcPr>
          <w:p w:rsidR="0064222D" w:rsidRPr="00BC4D8D" w:rsidRDefault="0064222D" w:rsidP="00274FFA">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BC4D8D">
              <w:rPr>
                <w:rFonts w:eastAsiaTheme="minorEastAsia" w:cs="Calibri"/>
                <w:iCs/>
                <w:color w:val="FFFFFF"/>
                <w:szCs w:val="16"/>
                <w:lang w:eastAsia="en-AU"/>
              </w:rPr>
              <w:t>Notes</w:t>
            </w:r>
          </w:p>
        </w:tc>
        <w:tc>
          <w:tcPr>
            <w:tcW w:w="850" w:type="dxa"/>
            <w:tcBorders>
              <w:top w:val="nil"/>
              <w:left w:val="nil"/>
              <w:right w:val="nil"/>
            </w:tcBorders>
            <w:shd w:val="solid" w:color="000000" w:fill="auto"/>
          </w:tcPr>
          <w:p w:rsidR="0064222D" w:rsidRPr="00BC4D8D" w:rsidRDefault="0064222D"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64222D" w:rsidRPr="00BC4D8D" w:rsidRDefault="0064222D"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64222D" w:rsidRPr="00BC4D8D" w:rsidRDefault="0064222D"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64222D" w:rsidRPr="00BC4D8D" w:rsidRDefault="0064222D"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64222D" w:rsidRPr="00BC4D8D" w:rsidRDefault="0064222D"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64222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 xml:space="preserve">Other economic flows – </w:t>
            </w:r>
            <w:r>
              <w:rPr>
                <w:rFonts w:eastAsiaTheme="minorEastAsia" w:cs="Calibri"/>
                <w:b/>
                <w:bCs/>
                <w:color w:val="000000"/>
                <w:szCs w:val="16"/>
                <w:lang w:eastAsia="en-AU"/>
              </w:rPr>
              <w:br/>
            </w:r>
            <w:r w:rsidRPr="00BC4D8D">
              <w:rPr>
                <w:rFonts w:eastAsiaTheme="minorEastAsia" w:cs="Calibri"/>
                <w:b/>
                <w:bCs/>
                <w:color w:val="000000"/>
                <w:szCs w:val="16"/>
                <w:lang w:eastAsia="en-AU"/>
              </w:rPr>
              <w:t>other comprehensive income</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Items that will not be reclassified to net result</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Changes in non-financial assets revaluation surplus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6 859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1 441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3 797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Remeasurement of superannuation defined benefit plans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1 014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1 996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1 053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1 074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1 094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movements in equity</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Items that may be reclassified subsequently to net result</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Net gain/(loss) on financial assets at fair value</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Net gain/(loss) on equity investments in other sector entities at proportional share of the carrying amount of net assets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3.6.1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 xml:space="preserve">Total other economic flows – </w:t>
            </w:r>
            <w:r>
              <w:rPr>
                <w:rFonts w:eastAsiaTheme="minorEastAsia" w:cs="Calibri"/>
                <w:b/>
                <w:bCs/>
                <w:color w:val="000000"/>
                <w:szCs w:val="16"/>
                <w:lang w:eastAsia="en-AU"/>
              </w:rPr>
              <w:br/>
            </w:r>
            <w:r w:rsidRPr="00BC4D8D">
              <w:rPr>
                <w:rFonts w:eastAsiaTheme="minorEastAsia" w:cs="Calibri"/>
                <w:b/>
                <w:bCs/>
                <w:color w:val="000000"/>
                <w:szCs w:val="16"/>
                <w:lang w:eastAsia="en-AU"/>
              </w:rPr>
              <w:t>other comprehensive income</w:t>
            </w:r>
          </w:p>
        </w:tc>
        <w:tc>
          <w:tcPr>
            <w:tcW w:w="737"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1 741</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2 718</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8 836</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2 807</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4 472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 xml:space="preserve">Comprehensive result – </w:t>
            </w:r>
            <w:r>
              <w:rPr>
                <w:rFonts w:eastAsiaTheme="minorEastAsia" w:cs="Calibri"/>
                <w:b/>
                <w:bCs/>
                <w:color w:val="000000"/>
                <w:szCs w:val="16"/>
                <w:lang w:eastAsia="en-AU"/>
              </w:rPr>
              <w:br/>
            </w:r>
            <w:r w:rsidRPr="00BC4D8D">
              <w:rPr>
                <w:rFonts w:eastAsiaTheme="minorEastAsia" w:cs="Calibri"/>
                <w:b/>
                <w:bCs/>
                <w:color w:val="000000"/>
                <w:szCs w:val="16"/>
                <w:lang w:eastAsia="en-AU"/>
              </w:rPr>
              <w:t>total change in net worth</w:t>
            </w:r>
          </w:p>
        </w:tc>
        <w:tc>
          <w:tcPr>
            <w:tcW w:w="737"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2 878</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4 763</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10 292</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5 199</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7 177</w:t>
            </w:r>
          </w:p>
        </w:tc>
      </w:tr>
      <w:tr w:rsidR="00B32D50" w:rsidRPr="00BC4D8D" w:rsidTr="00F17BCD">
        <w:trPr>
          <w:trHeight w:hRule="exact" w:val="120"/>
        </w:trPr>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lang w:eastAsia="en-AU"/>
              </w:rPr>
            </w:pPr>
            <w:r w:rsidRPr="00BC4D8D">
              <w:rPr>
                <w:rFonts w:eastAsiaTheme="minorEastAsia" w:cs="Calibri"/>
                <w:color w:val="000000"/>
                <w:lang w:eastAsia="en-AU"/>
              </w:rPr>
              <w:t xml:space="preserve"> </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KEY FISCAL AGGREGATES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Net operating balance</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1 380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2 277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1 708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2 656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2 990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Less: Net acquisition of non-financial assets from transactions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3.3.7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1 921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2 063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3 062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2 324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1 920</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Net lending/(borrowing)</w:t>
            </w:r>
          </w:p>
        </w:tc>
        <w:tc>
          <w:tcPr>
            <w:tcW w:w="737"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 w:val="0"/>
                <w:bCs/>
                <w:color w:val="000000"/>
                <w:lang w:eastAsia="en-AU"/>
              </w:rPr>
            </w:pPr>
            <w:r w:rsidRPr="00BC4D8D">
              <w:rPr>
                <w:rFonts w:eastAsiaTheme="minorEastAsia" w:cs="Calibri"/>
                <w:b w:val="0"/>
                <w:bCs/>
                <w:color w:val="000000"/>
                <w:lang w:eastAsia="en-AU"/>
              </w:rPr>
              <w:t xml:space="preserve"> </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(541)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214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(1 355)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332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1 070</w:t>
            </w:r>
          </w:p>
        </w:tc>
      </w:tr>
    </w:tbl>
    <w:p w:rsidR="00B32D50" w:rsidRDefault="00B32D50" w:rsidP="00F17BCD">
      <w:pPr>
        <w:pStyle w:val="Source"/>
      </w:pPr>
      <w:r w:rsidRPr="00D87D22">
        <w:t>Source: Dep</w:t>
      </w:r>
      <w:r>
        <w:t>artment of Treasury and Finance</w:t>
      </w:r>
      <w:r w:rsidRPr="00352C54">
        <w:t xml:space="preserve"> </w:t>
      </w:r>
    </w:p>
    <w:p w:rsidR="00B32D50" w:rsidRDefault="00B32D50" w:rsidP="00F17BCD">
      <w:pPr>
        <w:pStyle w:val="Source"/>
      </w:pPr>
      <w:r>
        <w:t>The accompanying notes form part of these Estimated Financial Statements.</w:t>
      </w:r>
    </w:p>
    <w:p w:rsidR="00B32D50" w:rsidRDefault="00B32D50" w:rsidP="00F17BCD"/>
    <w:p w:rsidR="00B32D50" w:rsidRDefault="00B32D50" w:rsidP="00F17BCD">
      <w:pPr>
        <w:keepLines w:val="0"/>
      </w:pPr>
      <w:r>
        <w:br w:type="page"/>
      </w:r>
    </w:p>
    <w:p w:rsidR="00B32D50" w:rsidRDefault="00B32D50" w:rsidP="00F17BCD">
      <w:pPr>
        <w:pStyle w:val="Heading10"/>
      </w:pPr>
      <w:bookmarkStart w:id="25" w:name="_Toc517171543"/>
      <w:bookmarkStart w:id="26" w:name="_Toc528864765"/>
      <w:r>
        <w:lastRenderedPageBreak/>
        <w:t>Estimated general government sector</w:t>
      </w:r>
      <w:r>
        <w:br/>
        <w:t>balance sheet</w:t>
      </w:r>
      <w:bookmarkEnd w:id="25"/>
      <w:bookmarkEnd w:id="26"/>
      <w:r>
        <w:t xml:space="preserve"> </w:t>
      </w:r>
    </w:p>
    <w:p w:rsidR="00B32D50" w:rsidRPr="00BC4D8D" w:rsidRDefault="00B32D50" w:rsidP="00F17BCD">
      <w:pPr>
        <w:pStyle w:val="TableHeading"/>
        <w:rPr>
          <w:bCs/>
          <w:lang w:val="en-US"/>
        </w:rPr>
      </w:pPr>
      <w:r>
        <w:t>As at 30 June</w:t>
      </w:r>
      <w:r>
        <w:tab/>
      </w:r>
      <w:r>
        <w:tab/>
        <w:t>($ million)</w:t>
      </w:r>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2778"/>
        <w:gridCol w:w="737"/>
        <w:gridCol w:w="850"/>
        <w:gridCol w:w="850"/>
        <w:gridCol w:w="850"/>
        <w:gridCol w:w="850"/>
        <w:gridCol w:w="850"/>
      </w:tblGrid>
      <w:tr w:rsidR="00C550EB" w:rsidRPr="00BC4D8D" w:rsidTr="00642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8" w:type="dxa"/>
            <w:tcBorders>
              <w:top w:val="nil"/>
              <w:left w:val="nil"/>
              <w:right w:val="nil"/>
            </w:tcBorders>
            <w:shd w:val="solid" w:color="000000" w:fill="auto"/>
          </w:tcPr>
          <w:p w:rsidR="00C550EB" w:rsidRPr="00BC4D8D" w:rsidRDefault="00C550EB" w:rsidP="00C550EB">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737" w:type="dxa"/>
            <w:tcBorders>
              <w:top w:val="nil"/>
              <w:left w:val="nil"/>
              <w:right w:val="nil"/>
            </w:tcBorders>
            <w:shd w:val="solid" w:color="000000" w:fill="auto"/>
          </w:tcPr>
          <w:p w:rsidR="00C550EB" w:rsidRPr="00BC4D8D" w:rsidRDefault="00C550EB" w:rsidP="00C550EB">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lang w:eastAsia="en-AU"/>
              </w:rPr>
            </w:pPr>
            <w:r w:rsidRPr="00BC4D8D">
              <w:rPr>
                <w:rFonts w:eastAsiaTheme="minorEastAsia" w:cs="Calibri"/>
                <w:iCs/>
                <w:color w:val="FFFFFF"/>
                <w:szCs w:val="18"/>
                <w:lang w:eastAsia="en-AU"/>
              </w:rPr>
              <w:t>Notes</w:t>
            </w:r>
          </w:p>
        </w:tc>
        <w:tc>
          <w:tcPr>
            <w:tcW w:w="850" w:type="dxa"/>
            <w:tcBorders>
              <w:top w:val="nil"/>
              <w:left w:val="nil"/>
              <w:right w:val="nil"/>
            </w:tcBorders>
            <w:shd w:val="solid" w:color="000000" w:fill="auto"/>
          </w:tcPr>
          <w:p w:rsidR="00C550EB" w:rsidRPr="00BC4D8D"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 xml:space="preserve">budget </w:t>
            </w:r>
            <w:r w:rsidRPr="00BC4D8D">
              <w:rPr>
                <w:rFonts w:eastAsiaTheme="minorEastAsia" w:cs="Calibri"/>
                <w:iCs/>
                <w:color w:val="FFFFFF"/>
                <w:szCs w:val="18"/>
                <w:vertAlign w:val="superscript"/>
                <w:lang w:eastAsia="en-AU"/>
              </w:rPr>
              <w:t>(a)</w:t>
            </w:r>
          </w:p>
        </w:tc>
        <w:tc>
          <w:tcPr>
            <w:tcW w:w="850" w:type="dxa"/>
            <w:tcBorders>
              <w:top w:val="nil"/>
              <w:left w:val="nil"/>
              <w:right w:val="nil"/>
            </w:tcBorders>
            <w:shd w:val="solid" w:color="000000" w:fill="auto"/>
          </w:tcPr>
          <w:p w:rsidR="00C550EB" w:rsidRPr="00BC4D8D"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C550EB" w:rsidRPr="00BC4D8D"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2020</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550EB" w:rsidRPr="00BC4D8D"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2021</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C550EB" w:rsidRPr="00BC4D8D"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2022</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Assets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Financial assets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Cash and deposits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6 325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4 180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4 282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4 285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4 265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Advances paid</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8 289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8 524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6 641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5 342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4 796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Receivables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6 465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6 400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6 567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6 935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7 319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Investments, loans and placements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4 197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4 204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4 707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4 962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5 253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Investments accounted for using equity method</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Investments in other sector entities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3.6.1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107 036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106 418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110 858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113 355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114 755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financial assets</w:t>
            </w:r>
          </w:p>
        </w:tc>
        <w:tc>
          <w:tcPr>
            <w:tcW w:w="737"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132 364</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129 779</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133 109</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134 931</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136 440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Non-financial assets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Inventories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Non-financial assets held for sale</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Land, buildings, infrastructure, plant and equipment</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136 801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136 758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145 696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148 058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152 620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Other non-financial assets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1 978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2 130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3 157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4 574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5 271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non-financial assets</w:t>
            </w:r>
          </w:p>
        </w:tc>
        <w:tc>
          <w:tcPr>
            <w:tcW w:w="737"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139 349</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139 465</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149 439</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153 223</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158 489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assets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3.4.5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271 712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269 244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282 548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288 154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294 929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Liabilities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Deposits held and advances received</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4 669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4 900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3 287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2 042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1 461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Payables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8 638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9 438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9 157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8 864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7 972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Borrowings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38 859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34 522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40 158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42 870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44 621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Employee benefits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3.3.1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7 372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7 319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7 631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7 926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8 227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Superannuation</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3.6.3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24 164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23 268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22 220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21 139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20 127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Other provisions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1 016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liabilities</w:t>
            </w:r>
          </w:p>
        </w:tc>
        <w:tc>
          <w:tcPr>
            <w:tcW w:w="737"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84 718</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80 365</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83 377</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83 784</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83 382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Net assets</w:t>
            </w:r>
          </w:p>
        </w:tc>
        <w:tc>
          <w:tcPr>
            <w:tcW w:w="737"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186 995</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188 879</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199 171</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204 370</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211 547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Accumulated surplus/(deficit)</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54 730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56 614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59 134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62 601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66 425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Reserves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132 265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132 265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140 037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141 769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145 122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Net worth</w:t>
            </w:r>
          </w:p>
        </w:tc>
        <w:tc>
          <w:tcPr>
            <w:tcW w:w="737"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186 995</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188 879</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199 171</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204 370</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211 546</w:t>
            </w:r>
          </w:p>
        </w:tc>
      </w:tr>
      <w:tr w:rsidR="00B32D50" w:rsidRPr="00BC4D8D" w:rsidTr="00F17BCD">
        <w:trPr>
          <w:trHeight w:hRule="exact" w:val="120"/>
        </w:trPr>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lang w:eastAsia="en-AU"/>
              </w:rPr>
            </w:pPr>
            <w:r w:rsidRPr="00BC4D8D">
              <w:rPr>
                <w:rFonts w:eastAsiaTheme="minorEastAsia" w:cs="Calibri"/>
                <w:color w:val="000000"/>
                <w:lang w:eastAsia="en-AU"/>
              </w:rPr>
              <w:t xml:space="preserve"> </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 xml:space="preserve">FISCAL AGGREGATES </w:t>
            </w:r>
            <w:r w:rsidRPr="00BC4D8D">
              <w:rPr>
                <w:rFonts w:eastAsiaTheme="minorEastAsia" w:cs="Calibri"/>
                <w:b/>
                <w:bCs/>
                <w:color w:val="000000"/>
                <w:szCs w:val="18"/>
                <w:vertAlign w:val="superscript"/>
                <w:lang w:eastAsia="en-AU"/>
              </w:rPr>
              <w:t>(b)</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lang w:eastAsia="en-AU"/>
              </w:rPr>
            </w:pPr>
            <w:r w:rsidRPr="00BC4D8D">
              <w:rPr>
                <w:rFonts w:eastAsiaTheme="minorEastAsia" w:cs="Calibri"/>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Net financial worth</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47 646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49 414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49 732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51 147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53 059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Net financial liabilities</w:t>
            </w:r>
          </w:p>
        </w:tc>
        <w:tc>
          <w:tcPr>
            <w:tcW w:w="737" w:type="dxa"/>
            <w:tcBorders>
              <w:top w:val="nil"/>
              <w:left w:val="nil"/>
              <w:bottom w:val="nil"/>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59 390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57 004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61 127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62 207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61 696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Net debt</w:t>
            </w:r>
          </w:p>
        </w:tc>
        <w:tc>
          <w:tcPr>
            <w:tcW w:w="737"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lang w:eastAsia="en-AU"/>
              </w:rPr>
            </w:pPr>
            <w:r w:rsidRPr="00BC4D8D">
              <w:rPr>
                <w:rFonts w:eastAsiaTheme="minorEastAsia" w:cs="Calibri"/>
                <w:b/>
                <w:color w:val="000000"/>
                <w:lang w:eastAsia="en-AU"/>
              </w:rPr>
              <w:t xml:space="preserve"> </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24 717</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22 513</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27 815</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30 324</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31 768</w:t>
            </w:r>
          </w:p>
        </w:tc>
      </w:tr>
    </w:tbl>
    <w:p w:rsidR="00B32D50" w:rsidRDefault="00B32D50" w:rsidP="00F17BCD">
      <w:pPr>
        <w:pStyle w:val="Source"/>
      </w:pPr>
      <w:r w:rsidRPr="00D87D22">
        <w:t>Source: Dep</w:t>
      </w:r>
      <w:r>
        <w:t>artment of Treasury and Finance</w:t>
      </w:r>
    </w:p>
    <w:p w:rsidR="00B32D50" w:rsidRDefault="00B32D50" w:rsidP="00F17BCD">
      <w:pPr>
        <w:pStyle w:val="Source"/>
      </w:pPr>
      <w:r>
        <w:t>The accompanying notes form part of these Estimated Financial Statements.</w:t>
      </w:r>
    </w:p>
    <w:p w:rsidR="00B32D50" w:rsidRDefault="00B32D50" w:rsidP="00F17BCD">
      <w:pPr>
        <w:pStyle w:val="Note"/>
      </w:pPr>
      <w:r>
        <w:t>Notes:</w:t>
      </w:r>
    </w:p>
    <w:p w:rsidR="00B32D50" w:rsidRPr="00926603" w:rsidRDefault="00B32D50" w:rsidP="00F17BCD">
      <w:pPr>
        <w:pStyle w:val="Note"/>
      </w:pPr>
      <w:r w:rsidRPr="00926603">
        <w:t>(a)</w:t>
      </w:r>
      <w:r w:rsidRPr="00926603">
        <w:tab/>
        <w:t>Balances represent actual</w:t>
      </w:r>
      <w:r>
        <w:t xml:space="preserve"> opening balances at 1 July 2018 plus 2018-19</w:t>
      </w:r>
      <w:r w:rsidRPr="00926603">
        <w:t xml:space="preserve"> budgeted movements.</w:t>
      </w:r>
    </w:p>
    <w:p w:rsidR="00B32D50" w:rsidRPr="00926603" w:rsidRDefault="00B32D50" w:rsidP="00F17BCD">
      <w:pPr>
        <w:pStyle w:val="Note"/>
      </w:pPr>
      <w:r>
        <w:t>(b</w:t>
      </w:r>
      <w:r w:rsidRPr="00926603">
        <w:t>)</w:t>
      </w:r>
      <w:r w:rsidRPr="00926603">
        <w:tab/>
      </w:r>
      <w:r>
        <w:t xml:space="preserve">The fiscal aggregates are defined in Note 9.9 of the </w:t>
      </w:r>
      <w:r w:rsidRPr="00EA7F4C">
        <w:rPr>
          <w:i w:val="0"/>
        </w:rPr>
        <w:t>2017-18 Financial Report.</w:t>
      </w:r>
    </w:p>
    <w:p w:rsidR="00B32D50" w:rsidRPr="008F6DA7" w:rsidRDefault="00B32D50" w:rsidP="00F17BCD"/>
    <w:p w:rsidR="00B32D50" w:rsidRDefault="00B32D50" w:rsidP="00F17BCD">
      <w:pPr>
        <w:pStyle w:val="Heading10"/>
      </w:pPr>
      <w:bookmarkStart w:id="27" w:name="_Toc517171544"/>
      <w:bookmarkStart w:id="28" w:name="_Toc528864766"/>
      <w:r>
        <w:lastRenderedPageBreak/>
        <w:t>Estimated general government sector</w:t>
      </w:r>
      <w:r>
        <w:br/>
        <w:t>cash flow statement</w:t>
      </w:r>
      <w:bookmarkEnd w:id="27"/>
      <w:bookmarkEnd w:id="28"/>
    </w:p>
    <w:p w:rsidR="00B32D50" w:rsidRPr="00BC4D8D" w:rsidRDefault="00B32D50" w:rsidP="00F17BCD">
      <w:pPr>
        <w:pStyle w:val="TableHeading"/>
        <w:rPr>
          <w:bCs/>
          <w:lang w:val="en-US"/>
        </w:rPr>
      </w:pPr>
      <w:r>
        <w:t>For the financial year ended 30 June</w:t>
      </w:r>
      <w:r>
        <w:tab/>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2778"/>
        <w:gridCol w:w="199"/>
        <w:gridCol w:w="142"/>
        <w:gridCol w:w="396"/>
        <w:gridCol w:w="850"/>
        <w:gridCol w:w="850"/>
        <w:gridCol w:w="850"/>
        <w:gridCol w:w="850"/>
        <w:gridCol w:w="850"/>
      </w:tblGrid>
      <w:tr w:rsidR="00C550EB" w:rsidRPr="00E90363" w:rsidTr="00642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8" w:type="dxa"/>
            <w:tcBorders>
              <w:top w:val="nil"/>
              <w:left w:val="nil"/>
              <w:right w:val="nil"/>
            </w:tcBorders>
            <w:shd w:val="solid" w:color="000000" w:fill="auto"/>
          </w:tcPr>
          <w:p w:rsidR="00C550EB" w:rsidRPr="00E90363" w:rsidRDefault="00C550EB" w:rsidP="00C550EB">
            <w:pPr>
              <w:autoSpaceDE w:val="0"/>
              <w:autoSpaceDN w:val="0"/>
              <w:adjustRightInd w:val="0"/>
              <w:rPr>
                <w:rFonts w:eastAsiaTheme="minorEastAsia" w:cs="Calibri"/>
                <w:iCs/>
                <w:color w:val="FFFFFF"/>
                <w:sz w:val="16"/>
                <w:szCs w:val="16"/>
                <w:lang w:eastAsia="en-AU"/>
              </w:rPr>
            </w:pPr>
          </w:p>
        </w:tc>
        <w:tc>
          <w:tcPr>
            <w:tcW w:w="737" w:type="dxa"/>
            <w:gridSpan w:val="3"/>
            <w:tcBorders>
              <w:top w:val="nil"/>
              <w:left w:val="nil"/>
              <w:right w:val="nil"/>
            </w:tcBorders>
            <w:shd w:val="solid" w:color="000000" w:fill="auto"/>
          </w:tcPr>
          <w:p w:rsidR="00C550EB" w:rsidRPr="00E90363" w:rsidRDefault="00C550EB" w:rsidP="00C550EB">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Notes</w:t>
            </w:r>
          </w:p>
        </w:tc>
        <w:tc>
          <w:tcPr>
            <w:tcW w:w="850" w:type="dxa"/>
            <w:tcBorders>
              <w:top w:val="nil"/>
              <w:left w:val="nil"/>
              <w:right w:val="nil"/>
            </w:tcBorders>
            <w:shd w:val="solid" w:color="000000" w:fill="auto"/>
          </w:tcPr>
          <w:p w:rsidR="00C550EB" w:rsidRPr="00E90363"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2018-19</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budget</w:t>
            </w:r>
          </w:p>
        </w:tc>
        <w:tc>
          <w:tcPr>
            <w:tcW w:w="850" w:type="dxa"/>
            <w:tcBorders>
              <w:top w:val="nil"/>
              <w:left w:val="nil"/>
              <w:right w:val="nil"/>
            </w:tcBorders>
            <w:shd w:val="solid" w:color="000000" w:fill="auto"/>
          </w:tcPr>
          <w:p w:rsidR="00C550EB" w:rsidRPr="00E90363"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2018-19</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revised</w:t>
            </w:r>
          </w:p>
        </w:tc>
        <w:tc>
          <w:tcPr>
            <w:tcW w:w="850" w:type="dxa"/>
            <w:tcBorders>
              <w:top w:val="nil"/>
              <w:left w:val="nil"/>
              <w:right w:val="nil"/>
            </w:tcBorders>
            <w:shd w:val="solid" w:color="000000" w:fill="auto"/>
          </w:tcPr>
          <w:p w:rsidR="00C550EB" w:rsidRPr="00E90363"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2019-20</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C550EB" w:rsidRPr="00E90363"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2020-21</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C550EB" w:rsidRPr="00E90363" w:rsidRDefault="00C550EB" w:rsidP="00C550EB">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2021-22</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estimate</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Cash flows from operating activities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Receipts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Taxes received</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23 907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23 919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24 836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25 452</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26 707</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Grants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33 458</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33 515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33 697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34 686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35 942</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Sales of goods and services </w:t>
            </w:r>
            <w:r w:rsidRPr="00E90363">
              <w:rPr>
                <w:rFonts w:eastAsiaTheme="minorEastAsia" w:cs="Calibri"/>
                <w:color w:val="000000"/>
                <w:sz w:val="16"/>
                <w:szCs w:val="16"/>
                <w:vertAlign w:val="superscript"/>
                <w:lang w:eastAsia="en-AU"/>
              </w:rPr>
              <w:t>(a)</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10 086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11 095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9 094</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9 389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9 438</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Interest received</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864</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818</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787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761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751</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Dividends, income tax equivalent and rate equivalent receipts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861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1 041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576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591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562</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Other receipts</w:t>
            </w:r>
          </w:p>
        </w:tc>
        <w:tc>
          <w:tcPr>
            <w:tcW w:w="737" w:type="dxa"/>
            <w:gridSpan w:val="3"/>
            <w:tcBorders>
              <w:top w:val="nil"/>
              <w:left w:val="nil"/>
              <w:bottom w:val="single" w:sz="6" w:space="0" w:color="000000"/>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2 168</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2 164</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2 110</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2 168</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2 212</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Total receipts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71 343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72 552</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71 101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73 046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75 612</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Payments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Payments for employees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(25 213)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(24 690)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(26 136)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(27 203)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(28 266)</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Superannuation</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(3 364)</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(3 379)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(3 436)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(3 489)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(3 491)</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Interest paid</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(2 130)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(2 053)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(2 096)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(2 174)</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(2 223)</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Grants and subsidies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(13 158)</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(13 246)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(15 187)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(15 572)</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(15 236)</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Goods and services </w:t>
            </w:r>
            <w:r w:rsidRPr="00E90363">
              <w:rPr>
                <w:rFonts w:eastAsiaTheme="minorEastAsia" w:cs="Calibri"/>
                <w:color w:val="000000"/>
                <w:sz w:val="16"/>
                <w:szCs w:val="16"/>
                <w:vertAlign w:val="superscript"/>
                <w:lang w:eastAsia="en-AU"/>
              </w:rPr>
              <w:t>(a)</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(21 141)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(21 256)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(20 280)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(19 989)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(20 632)</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Other payments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(787)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(775)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(804)</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(840)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(801)</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Total payments</w:t>
            </w:r>
          </w:p>
        </w:tc>
        <w:tc>
          <w:tcPr>
            <w:tcW w:w="737" w:type="dxa"/>
            <w:gridSpan w:val="3"/>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(65 792)</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(65 398)</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(67 941)</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(69 267)</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(70 650)</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977" w:type="dxa"/>
            <w:gridSpan w:val="2"/>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Net cash flows from operating activities</w:t>
            </w:r>
          </w:p>
        </w:tc>
        <w:tc>
          <w:tcPr>
            <w:tcW w:w="538" w:type="dxa"/>
            <w:gridSpan w:val="2"/>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5 551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7 155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3 160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3 779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4 962</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Cash flows from investing activities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Cash flows from investments in </w:t>
            </w:r>
            <w:r w:rsidRPr="00E90363">
              <w:rPr>
                <w:rFonts w:eastAsiaTheme="minorEastAsia" w:cs="Calibri"/>
                <w:b/>
                <w:bCs/>
                <w:color w:val="000000"/>
                <w:sz w:val="16"/>
                <w:szCs w:val="16"/>
                <w:lang w:eastAsia="en-AU"/>
              </w:rPr>
              <w:br/>
              <w:t>non-financial assets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Purchases of non-financial assets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3.3.6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(10 091)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(9 361)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(8 896)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(7 333)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(6 598)</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Sales of non-financial assets</w:t>
            </w:r>
          </w:p>
        </w:tc>
        <w:tc>
          <w:tcPr>
            <w:tcW w:w="737" w:type="dxa"/>
            <w:gridSpan w:val="3"/>
            <w:tcBorders>
              <w:top w:val="nil"/>
              <w:left w:val="nil"/>
              <w:bottom w:val="single" w:sz="6" w:space="0" w:color="000000"/>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368</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365</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416</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390</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346</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Net cash flows from investments in </w:t>
            </w:r>
            <w:r w:rsidR="00C550EB">
              <w:rPr>
                <w:rFonts w:eastAsiaTheme="minorEastAsia" w:cs="Calibri"/>
                <w:b/>
                <w:bCs/>
                <w:color w:val="000000"/>
                <w:sz w:val="16"/>
                <w:szCs w:val="16"/>
                <w:lang w:eastAsia="en-AU"/>
              </w:rPr>
              <w:br/>
            </w:r>
            <w:r w:rsidRPr="00E90363">
              <w:rPr>
                <w:rFonts w:eastAsiaTheme="minorEastAsia" w:cs="Calibri"/>
                <w:b/>
                <w:bCs/>
                <w:color w:val="000000"/>
                <w:sz w:val="16"/>
                <w:szCs w:val="16"/>
                <w:lang w:eastAsia="en-AU"/>
              </w:rPr>
              <w:t>non-financial assets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(9 723)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(8 996)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(8 480)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(6 943)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(6 252)</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977" w:type="dxa"/>
            <w:gridSpan w:val="2"/>
            <w:tcBorders>
              <w:top w:val="nil"/>
              <w:left w:val="nil"/>
              <w:bottom w:val="single" w:sz="6" w:space="0" w:color="000000"/>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Net cash flows from investments in financial assets for policy purposes </w:t>
            </w:r>
            <w:r w:rsidRPr="00E90363">
              <w:rPr>
                <w:rFonts w:eastAsiaTheme="minorEastAsia" w:cs="Calibri"/>
                <w:color w:val="000000"/>
                <w:sz w:val="16"/>
                <w:szCs w:val="16"/>
                <w:vertAlign w:val="superscript"/>
                <w:lang w:eastAsia="en-AU"/>
              </w:rPr>
              <w:t>(b)</w:t>
            </w:r>
          </w:p>
        </w:tc>
        <w:tc>
          <w:tcPr>
            <w:tcW w:w="538" w:type="dxa"/>
            <w:gridSpan w:val="2"/>
            <w:tcBorders>
              <w:top w:val="nil"/>
              <w:left w:val="nil"/>
              <w:bottom w:val="single" w:sz="6" w:space="0" w:color="000000"/>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1 624</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1 263</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2 883</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2 450</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830</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Subtotal</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(8 099)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(7 733)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(5 597)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(4 493)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(5 422)</w:t>
            </w:r>
          </w:p>
        </w:tc>
      </w:tr>
      <w:tr w:rsidR="00B32D50" w:rsidRPr="00E90363" w:rsidTr="00C550EB">
        <w:tc>
          <w:tcPr>
            <w:cnfStyle w:val="001000000000" w:firstRow="0" w:lastRow="0" w:firstColumn="1" w:lastColumn="0" w:oddVBand="0" w:evenVBand="0" w:oddHBand="0" w:evenHBand="0" w:firstRowFirstColumn="0" w:firstRowLastColumn="0" w:lastRowFirstColumn="0" w:lastRowLastColumn="0"/>
            <w:tcW w:w="3119" w:type="dxa"/>
            <w:gridSpan w:val="3"/>
            <w:tcBorders>
              <w:top w:val="nil"/>
              <w:left w:val="nil"/>
              <w:bottom w:val="single" w:sz="6" w:space="0" w:color="000000"/>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Net cash flows from investment in financial assets for liquidity management purposes</w:t>
            </w:r>
          </w:p>
        </w:tc>
        <w:tc>
          <w:tcPr>
            <w:tcW w:w="396"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(248)</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(257)</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(411)</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(199)</w:t>
            </w:r>
          </w:p>
        </w:tc>
        <w:tc>
          <w:tcPr>
            <w:tcW w:w="850" w:type="dxa"/>
            <w:tcBorders>
              <w:top w:val="nil"/>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(263)</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977" w:type="dxa"/>
            <w:gridSpan w:val="2"/>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Net cash flows from investing activities</w:t>
            </w:r>
          </w:p>
        </w:tc>
        <w:tc>
          <w:tcPr>
            <w:tcW w:w="538" w:type="dxa"/>
            <w:gridSpan w:val="2"/>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(8 347)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(7 990)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(6 008)</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(4 692)</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(5 685)</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Cash flows from financing activities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Advances received (net)</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(2 031)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(1 795)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(1 612)</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(1 245)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(581)</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Net borrowings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4 895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559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4 563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2 161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1 283</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Deposits received (net)</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Net cash flows from financing activities</w:t>
            </w:r>
          </w:p>
        </w:tc>
        <w:tc>
          <w:tcPr>
            <w:tcW w:w="538" w:type="dxa"/>
            <w:gridSpan w:val="2"/>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2 864</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(1 242)</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2 950</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915</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703</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Net increase/(decrease) in cash and cash equivalents</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68</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(2 077)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102</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(20)</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Cash and cash equivalents at beginning of reporting period </w:t>
            </w:r>
            <w:r w:rsidRPr="00E90363">
              <w:rPr>
                <w:rFonts w:eastAsiaTheme="minorEastAsia" w:cs="Calibri"/>
                <w:color w:val="000000"/>
                <w:sz w:val="16"/>
                <w:szCs w:val="16"/>
                <w:vertAlign w:val="superscript"/>
                <w:lang w:eastAsia="en-AU"/>
              </w:rPr>
              <w:t>(c)</w:t>
            </w:r>
          </w:p>
        </w:tc>
        <w:tc>
          <w:tcPr>
            <w:tcW w:w="737" w:type="dxa"/>
            <w:gridSpan w:val="3"/>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6 257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6 257</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4 180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4 282</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4 285</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Cash and cash equivalents at end of reporting period </w:t>
            </w:r>
            <w:r w:rsidRPr="00E90363">
              <w:rPr>
                <w:rFonts w:eastAsiaTheme="minorEastAsia" w:cs="Calibri"/>
                <w:b/>
                <w:bCs/>
                <w:color w:val="000000"/>
                <w:sz w:val="16"/>
                <w:szCs w:val="16"/>
                <w:vertAlign w:val="superscript"/>
                <w:lang w:eastAsia="en-AU"/>
              </w:rPr>
              <w:t>(c)</w:t>
            </w:r>
          </w:p>
        </w:tc>
        <w:tc>
          <w:tcPr>
            <w:tcW w:w="737" w:type="dxa"/>
            <w:gridSpan w:val="3"/>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Pr>
                <w:rFonts w:eastAsiaTheme="minorEastAsia" w:cs="Calibri"/>
                <w:b/>
                <w:bCs/>
                <w:color w:val="000000"/>
                <w:sz w:val="16"/>
                <w:szCs w:val="16"/>
                <w:lang w:eastAsia="en-AU"/>
              </w:rPr>
              <w:t>6 325</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4 180</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4 282</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4 285</w:t>
            </w:r>
          </w:p>
        </w:tc>
        <w:tc>
          <w:tcPr>
            <w:tcW w:w="850" w:type="dxa"/>
            <w:tcBorders>
              <w:top w:val="single" w:sz="6" w:space="0" w:color="000000"/>
              <w:left w:val="nil"/>
              <w:bottom w:val="single" w:sz="6" w:space="0" w:color="000000"/>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4 265</w:t>
            </w:r>
          </w:p>
        </w:tc>
      </w:tr>
      <w:tr w:rsidR="00B32D50" w:rsidRPr="00E90363" w:rsidTr="00F17BCD">
        <w:trPr>
          <w:cnfStyle w:val="010000000000" w:firstRow="0" w:lastRow="1" w:firstColumn="0" w:lastColumn="0" w:oddVBand="0" w:evenVBand="0" w:oddHBand="0"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778" w:type="dxa"/>
            <w:tcBorders>
              <w:top w:val="nil"/>
              <w:bottom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737" w:type="dxa"/>
            <w:gridSpan w:val="3"/>
            <w:tcBorders>
              <w:top w:val="nil"/>
              <w:bottom w:val="nil"/>
            </w:tcBorders>
          </w:tcPr>
          <w:p w:rsidR="00B32D50" w:rsidRPr="00E90363" w:rsidRDefault="00B32D50" w:rsidP="00F17BCD">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bottom w:val="nil"/>
            </w:tcBorders>
          </w:tcPr>
          <w:p w:rsidR="00B32D50" w:rsidRPr="00E90363" w:rsidRDefault="00B32D50" w:rsidP="00F17BCD">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bottom w:val="nil"/>
            </w:tcBorders>
          </w:tcPr>
          <w:p w:rsidR="00B32D50" w:rsidRPr="00E90363" w:rsidRDefault="00B32D50" w:rsidP="00F17BCD">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bottom w:val="nil"/>
            </w:tcBorders>
          </w:tcPr>
          <w:p w:rsidR="00B32D50" w:rsidRPr="00E90363" w:rsidRDefault="00B32D50" w:rsidP="00F17BCD">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bottom w:val="nil"/>
            </w:tcBorders>
          </w:tcPr>
          <w:p w:rsidR="00B32D50" w:rsidRPr="00E90363" w:rsidRDefault="00B32D50" w:rsidP="00F17BCD">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bottom w:val="nil"/>
            </w:tcBorders>
          </w:tcPr>
          <w:p w:rsidR="00B32D50" w:rsidRPr="00E90363" w:rsidRDefault="00B32D50" w:rsidP="00F17BCD">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r>
    </w:tbl>
    <w:p w:rsidR="0064222D" w:rsidRDefault="0064222D"/>
    <w:p w:rsidR="0064222D" w:rsidRDefault="0064222D" w:rsidP="0064222D">
      <w:pPr>
        <w:pStyle w:val="Heading10"/>
      </w:pPr>
      <w:r>
        <w:lastRenderedPageBreak/>
        <w:t>Estimated general government sector</w:t>
      </w:r>
      <w:r>
        <w:br/>
        <w:t xml:space="preserve">cash flow statement </w:t>
      </w:r>
      <w:r w:rsidR="00B607B3" w:rsidRPr="00B607B3">
        <w:rPr>
          <w:i/>
          <w:caps w:val="0"/>
        </w:rPr>
        <w:t>(continued)</w:t>
      </w:r>
    </w:p>
    <w:p w:rsidR="0064222D" w:rsidRDefault="0064222D" w:rsidP="0064222D">
      <w:pPr>
        <w:pStyle w:val="TableHeading"/>
      </w:pPr>
      <w:r>
        <w:t>For the financial year ended 30 June</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2778"/>
        <w:gridCol w:w="737"/>
        <w:gridCol w:w="850"/>
        <w:gridCol w:w="850"/>
        <w:gridCol w:w="850"/>
        <w:gridCol w:w="850"/>
        <w:gridCol w:w="850"/>
      </w:tblGrid>
      <w:tr w:rsidR="00B607B3" w:rsidRPr="00E90363" w:rsidTr="00274F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8" w:type="dxa"/>
            <w:tcBorders>
              <w:top w:val="nil"/>
              <w:left w:val="nil"/>
              <w:right w:val="nil"/>
            </w:tcBorders>
            <w:shd w:val="solid" w:color="000000" w:fill="auto"/>
          </w:tcPr>
          <w:p w:rsidR="00B607B3" w:rsidRPr="00E90363" w:rsidRDefault="00B607B3" w:rsidP="00274FFA">
            <w:pPr>
              <w:autoSpaceDE w:val="0"/>
              <w:autoSpaceDN w:val="0"/>
              <w:adjustRightInd w:val="0"/>
              <w:rPr>
                <w:rFonts w:eastAsiaTheme="minorEastAsia" w:cs="Calibri"/>
                <w:iCs/>
                <w:color w:val="FFFFFF"/>
                <w:sz w:val="16"/>
                <w:szCs w:val="16"/>
                <w:lang w:eastAsia="en-AU"/>
              </w:rPr>
            </w:pPr>
          </w:p>
        </w:tc>
        <w:tc>
          <w:tcPr>
            <w:tcW w:w="737" w:type="dxa"/>
            <w:tcBorders>
              <w:top w:val="nil"/>
              <w:left w:val="nil"/>
              <w:right w:val="nil"/>
            </w:tcBorders>
            <w:shd w:val="solid" w:color="000000" w:fill="auto"/>
          </w:tcPr>
          <w:p w:rsidR="00B607B3" w:rsidRPr="00E90363" w:rsidRDefault="00B607B3" w:rsidP="00274FFA">
            <w:pPr>
              <w:keepLines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Notes</w:t>
            </w:r>
          </w:p>
        </w:tc>
        <w:tc>
          <w:tcPr>
            <w:tcW w:w="850" w:type="dxa"/>
            <w:tcBorders>
              <w:top w:val="nil"/>
              <w:left w:val="nil"/>
              <w:right w:val="nil"/>
            </w:tcBorders>
            <w:shd w:val="solid" w:color="000000" w:fill="auto"/>
          </w:tcPr>
          <w:p w:rsidR="00B607B3" w:rsidRPr="00E90363" w:rsidRDefault="00B607B3"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2018-19</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budget</w:t>
            </w:r>
          </w:p>
        </w:tc>
        <w:tc>
          <w:tcPr>
            <w:tcW w:w="850" w:type="dxa"/>
            <w:tcBorders>
              <w:top w:val="nil"/>
              <w:left w:val="nil"/>
              <w:right w:val="nil"/>
            </w:tcBorders>
            <w:shd w:val="solid" w:color="000000" w:fill="auto"/>
          </w:tcPr>
          <w:p w:rsidR="00B607B3" w:rsidRPr="00E90363" w:rsidRDefault="00B607B3"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2018-19</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revised</w:t>
            </w:r>
          </w:p>
        </w:tc>
        <w:tc>
          <w:tcPr>
            <w:tcW w:w="850" w:type="dxa"/>
            <w:tcBorders>
              <w:top w:val="nil"/>
              <w:left w:val="nil"/>
              <w:right w:val="nil"/>
            </w:tcBorders>
            <w:shd w:val="solid" w:color="000000" w:fill="auto"/>
          </w:tcPr>
          <w:p w:rsidR="00B607B3" w:rsidRPr="00E90363" w:rsidRDefault="00B607B3"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2019-20</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B607B3" w:rsidRPr="00E90363" w:rsidRDefault="00B607B3"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2020-21</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B607B3" w:rsidRPr="00E90363" w:rsidRDefault="00B607B3" w:rsidP="00274FFA">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E90363">
              <w:rPr>
                <w:rFonts w:eastAsiaTheme="minorEastAsia" w:cs="Calibri"/>
                <w:iCs/>
                <w:color w:val="FFFFFF"/>
                <w:sz w:val="16"/>
                <w:szCs w:val="16"/>
                <w:lang w:eastAsia="en-AU"/>
              </w:rPr>
              <w:t>2021-22</w:t>
            </w:r>
            <w:r>
              <w:rPr>
                <w:rFonts w:eastAsiaTheme="minorEastAsia" w:cs="Calibri"/>
                <w:iCs/>
                <w:color w:val="FFFFFF"/>
                <w:sz w:val="16"/>
                <w:szCs w:val="16"/>
                <w:lang w:eastAsia="en-AU"/>
              </w:rPr>
              <w:t xml:space="preserve"> </w:t>
            </w:r>
            <w:r w:rsidRPr="00E90363">
              <w:rPr>
                <w:rFonts w:eastAsiaTheme="minorEastAsia" w:cs="Calibri"/>
                <w:iCs/>
                <w:color w:val="FFFFFF"/>
                <w:sz w:val="16"/>
                <w:szCs w:val="16"/>
                <w:lang w:eastAsia="en-AU"/>
              </w:rPr>
              <w:t>estimate</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64222D">
            <w:pPr>
              <w:keepLines w:val="0"/>
              <w:autoSpaceDE w:val="0"/>
              <w:autoSpaceDN w:val="0"/>
              <w:adjustRightInd w:val="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FISCAL AGGREGATES</w:t>
            </w:r>
          </w:p>
        </w:tc>
        <w:tc>
          <w:tcPr>
            <w:tcW w:w="737" w:type="dxa"/>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E90363">
              <w:rPr>
                <w:rFonts w:eastAsiaTheme="minorEastAsia" w:cs="Calibri"/>
                <w:b/>
                <w:bCs/>
                <w:color w:val="000000"/>
                <w:sz w:val="16"/>
                <w:szCs w:val="16"/>
                <w:lang w:eastAsia="en-AU"/>
              </w:rPr>
              <w:t xml:space="preserve"> </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Net cash flows from operating activities</w:t>
            </w:r>
          </w:p>
        </w:tc>
        <w:tc>
          <w:tcPr>
            <w:tcW w:w="737" w:type="dxa"/>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5 551</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7 155</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3 160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3 779</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4 962</w:t>
            </w:r>
          </w:p>
        </w:tc>
      </w:tr>
      <w:tr w:rsidR="00B32D50" w:rsidRPr="00E90363" w:rsidTr="00F17BCD">
        <w:tc>
          <w:tcPr>
            <w:cnfStyle w:val="001000000000" w:firstRow="0" w:lastRow="0" w:firstColumn="1" w:lastColumn="0" w:oddVBand="0" w:evenVBand="0" w:oddHBand="0" w:evenHBand="0" w:firstRowFirstColumn="0" w:firstRowLastColumn="0" w:lastRowFirstColumn="0" w:lastRowLastColumn="0"/>
            <w:tcW w:w="2778" w:type="dxa"/>
            <w:tcBorders>
              <w:top w:val="nil"/>
              <w:left w:val="nil"/>
              <w:bottom w:val="nil"/>
              <w:right w:val="nil"/>
            </w:tcBorders>
          </w:tcPr>
          <w:p w:rsidR="00B32D50" w:rsidRPr="00E90363" w:rsidRDefault="00B32D50" w:rsidP="00F17BCD">
            <w:pPr>
              <w:keepLines w:val="0"/>
              <w:autoSpaceDE w:val="0"/>
              <w:autoSpaceDN w:val="0"/>
              <w:adjustRightInd w:val="0"/>
              <w:rPr>
                <w:rFonts w:eastAsiaTheme="minorEastAsia" w:cs="Calibri"/>
                <w:color w:val="000000"/>
                <w:sz w:val="16"/>
                <w:szCs w:val="16"/>
                <w:lang w:eastAsia="en-AU"/>
              </w:rPr>
            </w:pPr>
            <w:r w:rsidRPr="00E90363">
              <w:rPr>
                <w:rFonts w:eastAsiaTheme="minorEastAsia" w:cs="Calibri"/>
                <w:color w:val="000000"/>
                <w:sz w:val="16"/>
                <w:szCs w:val="16"/>
                <w:lang w:eastAsia="en-AU"/>
              </w:rPr>
              <w:t>Net cash flows from investments in non-financial assets</w:t>
            </w:r>
          </w:p>
        </w:tc>
        <w:tc>
          <w:tcPr>
            <w:tcW w:w="737" w:type="dxa"/>
            <w:tcBorders>
              <w:top w:val="nil"/>
              <w:left w:val="nil"/>
              <w:bottom w:val="nil"/>
              <w:right w:val="nil"/>
            </w:tcBorders>
          </w:tcPr>
          <w:p w:rsidR="00B32D50" w:rsidRPr="00E90363" w:rsidRDefault="00B32D50" w:rsidP="00F17BCD">
            <w:pPr>
              <w:keepLines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 xml:space="preserve"> </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(9 723)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(8 996)</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(8 480)</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(6 943)</w:t>
            </w:r>
          </w:p>
        </w:tc>
        <w:tc>
          <w:tcPr>
            <w:tcW w:w="850" w:type="dxa"/>
            <w:tcBorders>
              <w:top w:val="nil"/>
              <w:left w:val="nil"/>
              <w:bottom w:val="nil"/>
              <w:right w:val="nil"/>
            </w:tcBorders>
          </w:tcPr>
          <w:p w:rsidR="00B32D50" w:rsidRPr="00E90363"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16"/>
                <w:lang w:eastAsia="en-AU"/>
              </w:rPr>
            </w:pPr>
            <w:r w:rsidRPr="00E90363">
              <w:rPr>
                <w:rFonts w:eastAsiaTheme="minorEastAsia" w:cs="Calibri"/>
                <w:color w:val="000000"/>
                <w:sz w:val="16"/>
                <w:szCs w:val="16"/>
                <w:lang w:eastAsia="en-AU"/>
              </w:rPr>
              <w:t>(6 252)</w:t>
            </w:r>
          </w:p>
        </w:tc>
      </w:tr>
      <w:tr w:rsidR="00B32D50" w:rsidRPr="00E90363"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top w:val="single" w:sz="6" w:space="0" w:color="000000"/>
              <w:bottom w:val="single" w:sz="12" w:space="0" w:color="000000"/>
            </w:tcBorders>
          </w:tcPr>
          <w:p w:rsidR="00B32D50" w:rsidRPr="00E90363" w:rsidRDefault="00B32D50" w:rsidP="00F17BCD">
            <w:pPr>
              <w:keepLines w:val="0"/>
              <w:autoSpaceDE w:val="0"/>
              <w:autoSpaceDN w:val="0"/>
              <w:adjustRightInd w:val="0"/>
              <w:rPr>
                <w:rFonts w:eastAsiaTheme="minorEastAsia" w:cs="Calibri"/>
                <w:bCs/>
                <w:color w:val="000000"/>
                <w:sz w:val="16"/>
                <w:szCs w:val="16"/>
                <w:lang w:eastAsia="en-AU"/>
              </w:rPr>
            </w:pPr>
            <w:r w:rsidRPr="00E90363">
              <w:rPr>
                <w:rFonts w:eastAsiaTheme="minorEastAsia" w:cs="Calibri"/>
                <w:bCs/>
                <w:color w:val="000000"/>
                <w:sz w:val="16"/>
                <w:szCs w:val="16"/>
                <w:lang w:eastAsia="en-AU"/>
              </w:rPr>
              <w:t>Cash surplus/(deficit)</w:t>
            </w:r>
          </w:p>
        </w:tc>
        <w:tc>
          <w:tcPr>
            <w:tcW w:w="737" w:type="dxa"/>
            <w:tcBorders>
              <w:top w:val="single" w:sz="6" w:space="0" w:color="000000"/>
              <w:bottom w:val="single" w:sz="12" w:space="0" w:color="000000"/>
            </w:tcBorders>
          </w:tcPr>
          <w:p w:rsidR="00B32D50" w:rsidRPr="00E90363" w:rsidRDefault="00B32D50" w:rsidP="00F17BCD">
            <w:pPr>
              <w:keepLines w:val="0"/>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 w:val="0"/>
                <w:bCs/>
                <w:color w:val="000000"/>
                <w:sz w:val="16"/>
                <w:szCs w:val="16"/>
                <w:lang w:eastAsia="en-AU"/>
              </w:rPr>
            </w:pPr>
            <w:r w:rsidRPr="00E90363">
              <w:rPr>
                <w:rFonts w:eastAsiaTheme="minorEastAsia" w:cs="Calibri"/>
                <w:b w:val="0"/>
                <w:bCs/>
                <w:color w:val="000000"/>
                <w:sz w:val="16"/>
                <w:szCs w:val="16"/>
                <w:lang w:eastAsia="en-AU"/>
              </w:rPr>
              <w:t xml:space="preserve"> </w:t>
            </w:r>
          </w:p>
        </w:tc>
        <w:tc>
          <w:tcPr>
            <w:tcW w:w="850" w:type="dxa"/>
            <w:tcBorders>
              <w:top w:val="single" w:sz="6" w:space="0" w:color="000000"/>
              <w:bottom w:val="single" w:sz="12" w:space="0" w:color="000000"/>
            </w:tcBorders>
          </w:tcPr>
          <w:p w:rsidR="00B32D50" w:rsidRPr="00E90363"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(4 172)</w:t>
            </w:r>
          </w:p>
        </w:tc>
        <w:tc>
          <w:tcPr>
            <w:tcW w:w="850" w:type="dxa"/>
            <w:tcBorders>
              <w:top w:val="single" w:sz="6" w:space="0" w:color="000000"/>
              <w:bottom w:val="single" w:sz="12" w:space="0" w:color="000000"/>
            </w:tcBorders>
          </w:tcPr>
          <w:p w:rsidR="00B32D50" w:rsidRPr="00E90363"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(1 841)</w:t>
            </w:r>
          </w:p>
        </w:tc>
        <w:tc>
          <w:tcPr>
            <w:tcW w:w="850" w:type="dxa"/>
            <w:tcBorders>
              <w:top w:val="single" w:sz="6" w:space="0" w:color="000000"/>
              <w:bottom w:val="single" w:sz="12" w:space="0" w:color="000000"/>
            </w:tcBorders>
          </w:tcPr>
          <w:p w:rsidR="00B32D50" w:rsidRPr="00E90363"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(5 320)</w:t>
            </w:r>
          </w:p>
        </w:tc>
        <w:tc>
          <w:tcPr>
            <w:tcW w:w="850" w:type="dxa"/>
            <w:tcBorders>
              <w:top w:val="single" w:sz="6" w:space="0" w:color="000000"/>
              <w:bottom w:val="single" w:sz="12" w:space="0" w:color="000000"/>
            </w:tcBorders>
          </w:tcPr>
          <w:p w:rsidR="00B32D50" w:rsidRPr="00E90363"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(3 164)</w:t>
            </w:r>
          </w:p>
        </w:tc>
        <w:tc>
          <w:tcPr>
            <w:tcW w:w="850" w:type="dxa"/>
            <w:tcBorders>
              <w:top w:val="single" w:sz="6" w:space="0" w:color="000000"/>
              <w:bottom w:val="single" w:sz="12" w:space="0" w:color="000000"/>
            </w:tcBorders>
          </w:tcPr>
          <w:p w:rsidR="00B32D50" w:rsidRPr="00E90363"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 w:val="16"/>
                <w:szCs w:val="16"/>
                <w:lang w:eastAsia="en-AU"/>
              </w:rPr>
            </w:pPr>
            <w:r w:rsidRPr="00E90363">
              <w:rPr>
                <w:rFonts w:eastAsiaTheme="minorEastAsia" w:cs="Calibri"/>
                <w:bCs/>
                <w:color w:val="000000"/>
                <w:sz w:val="16"/>
                <w:szCs w:val="16"/>
                <w:lang w:eastAsia="en-AU"/>
              </w:rPr>
              <w:t>(1 289)</w:t>
            </w:r>
          </w:p>
        </w:tc>
      </w:tr>
    </w:tbl>
    <w:p w:rsidR="00B32D50" w:rsidRPr="00D87D22" w:rsidRDefault="00B32D50" w:rsidP="00F17BCD">
      <w:pPr>
        <w:pStyle w:val="Source"/>
      </w:pPr>
      <w:r w:rsidRPr="00D87D22">
        <w:t>Source: Department of Treasury and Finance</w:t>
      </w:r>
    </w:p>
    <w:p w:rsidR="00B32D50" w:rsidRDefault="00B32D50" w:rsidP="00F17BCD">
      <w:pPr>
        <w:pStyle w:val="Source"/>
      </w:pPr>
      <w:r>
        <w:t>The accompanying notes form part of these Estimated Financial Statements.</w:t>
      </w:r>
    </w:p>
    <w:p w:rsidR="00B32D50" w:rsidRDefault="00B32D50" w:rsidP="00F17BCD">
      <w:pPr>
        <w:pStyle w:val="Note"/>
      </w:pPr>
      <w:r>
        <w:t>Notes:</w:t>
      </w:r>
    </w:p>
    <w:p w:rsidR="00B32D50" w:rsidRDefault="00B32D50" w:rsidP="00F17BCD">
      <w:pPr>
        <w:pStyle w:val="Note"/>
      </w:pPr>
      <w:r>
        <w:t>(a)</w:t>
      </w:r>
      <w:r>
        <w:tab/>
        <w:t>Inclusive of goods and services tax.</w:t>
      </w:r>
    </w:p>
    <w:p w:rsidR="00B32D50" w:rsidRPr="00BE2377" w:rsidRDefault="00B32D50" w:rsidP="00F17BCD">
      <w:pPr>
        <w:pStyle w:val="Note"/>
      </w:pPr>
      <w:r w:rsidRPr="006C016E">
        <w:t>(</w:t>
      </w:r>
      <w:r>
        <w:t>b)</w:t>
      </w:r>
      <w:r>
        <w:tab/>
        <w:t>Includes net advances to public non-financial corporations for policy purposes of $1 551</w:t>
      </w:r>
      <w:r w:rsidRPr="006C016E">
        <w:t xml:space="preserve"> million in 2018-19</w:t>
      </w:r>
      <w:r>
        <w:t>, $1 662 million in 2019-20, $1 240 million in 2020-21 and $549</w:t>
      </w:r>
      <w:r w:rsidRPr="006C016E">
        <w:t xml:space="preserve"> million in 2021-22.</w:t>
      </w:r>
    </w:p>
    <w:p w:rsidR="00B32D50" w:rsidRDefault="00B32D50" w:rsidP="00F17BCD">
      <w:pPr>
        <w:pStyle w:val="Note"/>
      </w:pPr>
      <w:r>
        <w:t>(c)</w:t>
      </w:r>
      <w:r>
        <w:tab/>
      </w:r>
      <w:r w:rsidRPr="0001568B">
        <w:rPr>
          <w:i w:val="0"/>
        </w:rPr>
        <w:t>2018-19 Budget</w:t>
      </w:r>
      <w:r w:rsidRPr="00F46CFC">
        <w:t xml:space="preserve"> figures</w:t>
      </w:r>
      <w:r>
        <w:t xml:space="preserve"> have been restated to represent actual opening balances at 1 July 2018.</w:t>
      </w:r>
    </w:p>
    <w:p w:rsidR="00B32D50" w:rsidRDefault="00B32D50" w:rsidP="00F17BCD">
      <w:pPr>
        <w:keepLines w:val="0"/>
      </w:pPr>
      <w:r>
        <w:br w:type="page"/>
      </w:r>
    </w:p>
    <w:p w:rsidR="00B32D50" w:rsidRDefault="00B32D50" w:rsidP="00F17BCD">
      <w:pPr>
        <w:pStyle w:val="Heading10"/>
      </w:pPr>
      <w:bookmarkStart w:id="29" w:name="_Toc517171546"/>
      <w:bookmarkStart w:id="30" w:name="_Toc528864767"/>
      <w:r>
        <w:lastRenderedPageBreak/>
        <w:t>Estimated general government secto</w:t>
      </w:r>
      <w:r w:rsidR="00615D12">
        <w:t>r</w:t>
      </w:r>
      <w:r>
        <w:br/>
        <w:t>statement of changes in equity</w:t>
      </w:r>
      <w:bookmarkEnd w:id="29"/>
      <w:bookmarkEnd w:id="30"/>
    </w:p>
    <w:p w:rsidR="00B32D50" w:rsidRPr="00BC4D8D" w:rsidRDefault="00B32D50" w:rsidP="00F17BCD">
      <w:pPr>
        <w:pStyle w:val="TableHeading"/>
        <w:rPr>
          <w:bCs/>
          <w:lang w:val="en-US"/>
        </w:rPr>
      </w:pPr>
      <w:r>
        <w:t>For the financial year ended 30 June</w:t>
      </w:r>
      <w:r>
        <w:tab/>
        <w:t xml:space="preserve">($ million) </w:t>
      </w:r>
    </w:p>
    <w:tbl>
      <w:tblPr>
        <w:tblStyle w:val="DTFTable"/>
        <w:tblW w:w="7761" w:type="dxa"/>
        <w:tblInd w:w="45" w:type="dxa"/>
        <w:tblLayout w:type="fixed"/>
        <w:tblCellMar>
          <w:left w:w="45" w:type="dxa"/>
          <w:right w:w="45" w:type="dxa"/>
        </w:tblCellMar>
        <w:tblLook w:val="06E0" w:firstRow="1" w:lastRow="1" w:firstColumn="1" w:lastColumn="0" w:noHBand="1" w:noVBand="1"/>
      </w:tblPr>
      <w:tblGrid>
        <w:gridCol w:w="4535"/>
        <w:gridCol w:w="1429"/>
        <w:gridCol w:w="1797"/>
      </w:tblGrid>
      <w:tr w:rsidR="00B32D50" w:rsidRPr="00BC4D8D"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shd w:val="solid" w:color="000000" w:fill="auto"/>
          </w:tcPr>
          <w:p w:rsidR="00B32D50" w:rsidRPr="00BC4D8D" w:rsidRDefault="00B32D50"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1429" w:type="dxa"/>
            <w:tcBorders>
              <w:top w:val="nil"/>
              <w:left w:val="nil"/>
              <w:bottom w:val="nil"/>
              <w:right w:val="nil"/>
            </w:tcBorders>
            <w:shd w:val="solid" w:color="000000" w:fill="auto"/>
          </w:tcPr>
          <w:p w:rsidR="00B32D50" w:rsidRPr="00BC4D8D" w:rsidRDefault="00B32D50" w:rsidP="00F17BC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BC4D8D">
              <w:rPr>
                <w:rFonts w:eastAsiaTheme="minorEastAsia" w:cs="Calibri"/>
                <w:iCs/>
                <w:color w:val="FFFFFF"/>
                <w:szCs w:val="21"/>
                <w:lang w:eastAsia="en-AU"/>
              </w:rPr>
              <w:t>Accumulated surplus/(deficit)</w:t>
            </w:r>
          </w:p>
        </w:tc>
        <w:tc>
          <w:tcPr>
            <w:tcW w:w="1797" w:type="dxa"/>
            <w:tcBorders>
              <w:top w:val="nil"/>
              <w:left w:val="nil"/>
              <w:bottom w:val="nil"/>
              <w:right w:val="nil"/>
            </w:tcBorders>
            <w:shd w:val="solid" w:color="000000" w:fill="auto"/>
          </w:tcPr>
          <w:p w:rsidR="00B32D50" w:rsidRPr="00BC4D8D" w:rsidRDefault="00B32D50" w:rsidP="00F17BC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BC4D8D">
              <w:rPr>
                <w:rFonts w:eastAsiaTheme="minorEastAsia" w:cs="Calibri"/>
                <w:iCs/>
                <w:color w:val="FFFFFF"/>
                <w:szCs w:val="21"/>
                <w:lang w:eastAsia="en-AU"/>
              </w:rPr>
              <w:t>Non-financial assets revaluation surplus</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 xml:space="preserve">2018-19 budget </w:t>
            </w:r>
            <w:r w:rsidRPr="00BC4D8D">
              <w:rPr>
                <w:rFonts w:eastAsiaTheme="minorEastAsia" w:cs="Calibri"/>
                <w:b/>
                <w:bCs/>
                <w:color w:val="000000"/>
                <w:szCs w:val="20"/>
                <w:vertAlign w:val="superscript"/>
                <w:lang w:eastAsia="en-AU"/>
              </w:rPr>
              <w:t>(a)</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Balance at 1 July 2018</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52 574</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64 084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1"/>
                <w:lang w:eastAsia="en-AU"/>
              </w:rPr>
              <w:t xml:space="preserve">Net result for </w:t>
            </w:r>
            <w:r w:rsidRPr="00BC4D8D">
              <w:rPr>
                <w:rFonts w:eastAsiaTheme="minorEastAsia" w:cs="Calibri"/>
                <w:color w:val="000000"/>
                <w:szCs w:val="20"/>
                <w:lang w:eastAsia="en-AU"/>
              </w:rPr>
              <w:t>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1 137</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Other comprehensive income for 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1 019</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BC4D8D">
              <w:rPr>
                <w:rFonts w:eastAsiaTheme="minorEastAsia" w:cs="Calibri"/>
                <w:color w:val="000000"/>
                <w:szCs w:val="21"/>
                <w:lang w:eastAsia="en-AU"/>
              </w:rPr>
              <w:t>699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21"/>
                <w:lang w:eastAsia="en-AU"/>
              </w:rPr>
            </w:pPr>
            <w:r w:rsidRPr="00BC4D8D">
              <w:rPr>
                <w:rFonts w:eastAsiaTheme="minorEastAsia" w:cs="Calibri"/>
                <w:b/>
                <w:bCs/>
                <w:color w:val="000000"/>
                <w:szCs w:val="21"/>
                <w:lang w:eastAsia="en-AU"/>
              </w:rPr>
              <w:t>Total equity as at 30 June 2019</w:t>
            </w:r>
          </w:p>
        </w:tc>
        <w:tc>
          <w:tcPr>
            <w:tcW w:w="1429"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54 730</w:t>
            </w:r>
          </w:p>
        </w:tc>
        <w:tc>
          <w:tcPr>
            <w:tcW w:w="1797"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64 783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2018-19 revised</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Balance at 1 July 2018</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52 574</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64 084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1"/>
                <w:lang w:eastAsia="en-AU"/>
              </w:rPr>
              <w:t xml:space="preserve">Net result for </w:t>
            </w:r>
            <w:r w:rsidRPr="00BC4D8D">
              <w:rPr>
                <w:rFonts w:eastAsiaTheme="minorEastAsia" w:cs="Calibri"/>
                <w:color w:val="000000"/>
                <w:szCs w:val="20"/>
                <w:lang w:eastAsia="en-AU"/>
              </w:rPr>
              <w:t>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2 044</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Other comprehensive income for 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1 996</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sidRPr="00BC4D8D">
              <w:rPr>
                <w:rFonts w:eastAsiaTheme="minorEastAsia" w:cs="Calibri"/>
                <w:color w:val="000000"/>
                <w:szCs w:val="21"/>
                <w:lang w:eastAsia="en-AU"/>
              </w:rPr>
              <w:t>699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21"/>
                <w:lang w:eastAsia="en-AU"/>
              </w:rPr>
            </w:pPr>
            <w:r w:rsidRPr="00BC4D8D">
              <w:rPr>
                <w:rFonts w:eastAsiaTheme="minorEastAsia" w:cs="Calibri"/>
                <w:b/>
                <w:bCs/>
                <w:color w:val="000000"/>
                <w:szCs w:val="21"/>
                <w:lang w:eastAsia="en-AU"/>
              </w:rPr>
              <w:t>Total equity as at 30 June 2019</w:t>
            </w:r>
          </w:p>
        </w:tc>
        <w:tc>
          <w:tcPr>
            <w:tcW w:w="1429"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56 614</w:t>
            </w:r>
          </w:p>
        </w:tc>
        <w:tc>
          <w:tcPr>
            <w:tcW w:w="1797"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64 783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2019-20 estimate</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Balance at 1 July 2019</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56 614</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64 783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1"/>
                <w:lang w:eastAsia="en-AU"/>
              </w:rPr>
              <w:t xml:space="preserve">Net result for </w:t>
            </w:r>
            <w:r w:rsidRPr="00BC4D8D">
              <w:rPr>
                <w:rFonts w:eastAsiaTheme="minorEastAsia" w:cs="Calibri"/>
                <w:color w:val="000000"/>
                <w:szCs w:val="20"/>
                <w:lang w:eastAsia="en-AU"/>
              </w:rPr>
              <w:t>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1 456</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Other comprehensive income for 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1 063</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6 859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21"/>
                <w:lang w:eastAsia="en-AU"/>
              </w:rPr>
            </w:pPr>
            <w:r w:rsidRPr="00BC4D8D">
              <w:rPr>
                <w:rFonts w:eastAsiaTheme="minorEastAsia" w:cs="Calibri"/>
                <w:b/>
                <w:bCs/>
                <w:color w:val="000000"/>
                <w:szCs w:val="21"/>
                <w:lang w:eastAsia="en-AU"/>
              </w:rPr>
              <w:t>Total equity as at 30 June 2020</w:t>
            </w:r>
          </w:p>
        </w:tc>
        <w:tc>
          <w:tcPr>
            <w:tcW w:w="1429"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59 134</w:t>
            </w:r>
          </w:p>
        </w:tc>
        <w:tc>
          <w:tcPr>
            <w:tcW w:w="1797"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71 642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2020-21 estimate</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Balance at 1 July 2020</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59 134</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71 642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1"/>
                <w:lang w:eastAsia="en-AU"/>
              </w:rPr>
              <w:t xml:space="preserve">Net result for </w:t>
            </w:r>
            <w:r w:rsidRPr="00BC4D8D">
              <w:rPr>
                <w:rFonts w:eastAsiaTheme="minorEastAsia" w:cs="Calibri"/>
                <w:color w:val="000000"/>
                <w:szCs w:val="20"/>
                <w:lang w:eastAsia="en-AU"/>
              </w:rPr>
              <w:t>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2 392</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Other comprehensive income for 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1 076</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1 441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21"/>
                <w:lang w:eastAsia="en-AU"/>
              </w:rPr>
            </w:pPr>
            <w:r w:rsidRPr="00BC4D8D">
              <w:rPr>
                <w:rFonts w:eastAsiaTheme="minorEastAsia" w:cs="Calibri"/>
                <w:b/>
                <w:bCs/>
                <w:color w:val="000000"/>
                <w:szCs w:val="21"/>
                <w:lang w:eastAsia="en-AU"/>
              </w:rPr>
              <w:t>Total equity as at 30 June 2021</w:t>
            </w:r>
          </w:p>
        </w:tc>
        <w:tc>
          <w:tcPr>
            <w:tcW w:w="1429"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62 601</w:t>
            </w:r>
          </w:p>
        </w:tc>
        <w:tc>
          <w:tcPr>
            <w:tcW w:w="1797"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73 083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2021-22 estimate</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Balance at 1 July 2021</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62 600</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73 083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1"/>
                <w:lang w:eastAsia="en-AU"/>
              </w:rPr>
              <w:t xml:space="preserve">Net result for </w:t>
            </w:r>
            <w:r w:rsidRPr="00BC4D8D">
              <w:rPr>
                <w:rFonts w:eastAsiaTheme="minorEastAsia" w:cs="Calibri"/>
                <w:color w:val="000000"/>
                <w:szCs w:val="20"/>
                <w:lang w:eastAsia="en-AU"/>
              </w:rPr>
              <w:t>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2 706</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453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1"/>
                <w:lang w:eastAsia="en-AU"/>
              </w:rPr>
            </w:pPr>
            <w:r w:rsidRPr="00BC4D8D">
              <w:rPr>
                <w:rFonts w:eastAsiaTheme="minorEastAsia" w:cs="Calibri"/>
                <w:color w:val="000000"/>
                <w:szCs w:val="21"/>
                <w:lang w:eastAsia="en-AU"/>
              </w:rPr>
              <w:t>Other comprehensive income for the year</w:t>
            </w:r>
          </w:p>
        </w:tc>
        <w:tc>
          <w:tcPr>
            <w:tcW w:w="142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1 119</w:t>
            </w:r>
          </w:p>
        </w:tc>
        <w:tc>
          <w:tcPr>
            <w:tcW w:w="179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3 797</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21"/>
                <w:lang w:eastAsia="en-AU"/>
              </w:rPr>
            </w:pPr>
            <w:r w:rsidRPr="00BC4D8D">
              <w:rPr>
                <w:rFonts w:eastAsiaTheme="minorEastAsia" w:cs="Calibri"/>
                <w:bCs/>
                <w:color w:val="000000"/>
                <w:szCs w:val="21"/>
                <w:lang w:eastAsia="en-AU"/>
              </w:rPr>
              <w:t>Total equity as at 30 June 2022</w:t>
            </w:r>
          </w:p>
        </w:tc>
        <w:tc>
          <w:tcPr>
            <w:tcW w:w="1429"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66 425</w:t>
            </w:r>
          </w:p>
        </w:tc>
        <w:tc>
          <w:tcPr>
            <w:tcW w:w="1797"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76 880</w:t>
            </w:r>
          </w:p>
        </w:tc>
      </w:tr>
    </w:tbl>
    <w:p w:rsidR="00B32D50" w:rsidRDefault="00B32D50" w:rsidP="00F17BCD">
      <w:pPr>
        <w:pStyle w:val="Source"/>
      </w:pPr>
      <w:r w:rsidRPr="00D87D22">
        <w:t>Source: Dep</w:t>
      </w:r>
      <w:r>
        <w:t>artment of Treasury and Finance</w:t>
      </w:r>
      <w:r w:rsidRPr="009D4AF9">
        <w:t xml:space="preserve"> </w:t>
      </w:r>
    </w:p>
    <w:p w:rsidR="00B32D50" w:rsidRDefault="00B32D50" w:rsidP="00F17BCD">
      <w:pPr>
        <w:pStyle w:val="Source"/>
      </w:pPr>
      <w:r>
        <w:t>The accompanying notes form part of these Estimated Financial Statements.</w:t>
      </w:r>
    </w:p>
    <w:p w:rsidR="00B32D50" w:rsidRDefault="00B32D50" w:rsidP="00F17BCD">
      <w:pPr>
        <w:pStyle w:val="Note"/>
      </w:pPr>
      <w:r>
        <w:t>Note:</w:t>
      </w:r>
    </w:p>
    <w:p w:rsidR="00B32D50" w:rsidRDefault="00B32D50" w:rsidP="00F17BCD">
      <w:pPr>
        <w:pStyle w:val="Note"/>
      </w:pPr>
      <w:r w:rsidRPr="00926603">
        <w:t>(a)</w:t>
      </w:r>
      <w:r w:rsidRPr="00926603">
        <w:tab/>
        <w:t>Balances represent actual</w:t>
      </w:r>
      <w:r>
        <w:t xml:space="preserve"> opening balances at 1 July 2018 plus 2018-19</w:t>
      </w:r>
      <w:r w:rsidRPr="00926603">
        <w:t xml:space="preserve"> budgeted movements.</w:t>
      </w:r>
    </w:p>
    <w:p w:rsidR="00B32D50" w:rsidRDefault="00B32D50" w:rsidP="00F17BCD">
      <w:pPr>
        <w:keepLines w:val="0"/>
      </w:pPr>
      <w:r>
        <w:br w:type="page"/>
      </w:r>
    </w:p>
    <w:p w:rsidR="00B32D50" w:rsidRDefault="00B32D50" w:rsidP="00F17BCD">
      <w:pPr>
        <w:pStyle w:val="Heading10"/>
      </w:pPr>
      <w:r>
        <w:lastRenderedPageBreak/>
        <w:br/>
      </w:r>
    </w:p>
    <w:p w:rsidR="00B32D50" w:rsidRPr="00284C6C" w:rsidRDefault="00B32D50" w:rsidP="00F17BCD">
      <w:pPr>
        <w:pStyle w:val="TableHeading"/>
      </w:pP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591"/>
        <w:gridCol w:w="2591"/>
        <w:gridCol w:w="2591"/>
      </w:tblGrid>
      <w:tr w:rsidR="00B32D50" w:rsidRPr="00BC4D8D"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shd w:val="solid" w:color="000000" w:fill="auto"/>
          </w:tcPr>
          <w:p w:rsidR="00B32D50" w:rsidRPr="00BC4D8D" w:rsidRDefault="00B32D50" w:rsidP="00F17BCD">
            <w:pPr>
              <w:keepLines w:val="0"/>
              <w:autoSpaceDE w:val="0"/>
              <w:autoSpaceDN w:val="0"/>
              <w:adjustRightInd w:val="0"/>
              <w:jc w:val="right"/>
              <w:rPr>
                <w:rFonts w:eastAsiaTheme="minorEastAsia" w:cs="Calibri"/>
                <w:iCs/>
                <w:color w:val="FFFFFF"/>
                <w:szCs w:val="21"/>
                <w:lang w:eastAsia="en-AU"/>
              </w:rPr>
            </w:pPr>
            <w:r w:rsidRPr="00BC4D8D">
              <w:rPr>
                <w:rFonts w:eastAsiaTheme="minorEastAsia" w:cs="Calibri"/>
                <w:iCs/>
                <w:color w:val="FFFFFF"/>
                <w:szCs w:val="21"/>
                <w:lang w:eastAsia="en-AU"/>
              </w:rPr>
              <w:t xml:space="preserve">Investment in other sector </w:t>
            </w:r>
            <w:r>
              <w:rPr>
                <w:rFonts w:eastAsiaTheme="minorEastAsia" w:cs="Calibri"/>
                <w:iCs/>
                <w:color w:val="FFFFFF"/>
                <w:szCs w:val="21"/>
                <w:lang w:eastAsia="en-AU"/>
              </w:rPr>
              <w:br/>
            </w:r>
            <w:r w:rsidRPr="00BC4D8D">
              <w:rPr>
                <w:rFonts w:eastAsiaTheme="minorEastAsia" w:cs="Calibri"/>
                <w:iCs/>
                <w:color w:val="FFFFFF"/>
                <w:szCs w:val="21"/>
                <w:lang w:eastAsia="en-AU"/>
              </w:rPr>
              <w:t>entities revaluation surplus</w:t>
            </w:r>
          </w:p>
        </w:tc>
        <w:tc>
          <w:tcPr>
            <w:tcW w:w="2591" w:type="dxa"/>
            <w:tcBorders>
              <w:top w:val="nil"/>
              <w:left w:val="nil"/>
              <w:bottom w:val="nil"/>
              <w:right w:val="nil"/>
            </w:tcBorders>
            <w:shd w:val="solid" w:color="000000" w:fill="auto"/>
          </w:tcPr>
          <w:p w:rsidR="00B32D50" w:rsidRPr="00BC4D8D" w:rsidRDefault="00B32D50" w:rsidP="00F17BC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BC4D8D">
              <w:rPr>
                <w:rFonts w:eastAsiaTheme="minorEastAsia" w:cs="Calibri"/>
                <w:iCs/>
                <w:color w:val="FFFFFF"/>
                <w:szCs w:val="21"/>
                <w:lang w:eastAsia="en-AU"/>
              </w:rPr>
              <w:t>Other reserves</w:t>
            </w:r>
          </w:p>
        </w:tc>
        <w:tc>
          <w:tcPr>
            <w:tcW w:w="2591" w:type="dxa"/>
            <w:tcBorders>
              <w:top w:val="nil"/>
              <w:left w:val="nil"/>
              <w:bottom w:val="nil"/>
              <w:right w:val="nil"/>
            </w:tcBorders>
            <w:shd w:val="solid" w:color="000000" w:fill="auto"/>
          </w:tcPr>
          <w:p w:rsidR="00B32D50" w:rsidRPr="00BC4D8D" w:rsidRDefault="00B32D50" w:rsidP="00F17BC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1"/>
                <w:lang w:eastAsia="en-AU"/>
              </w:rPr>
            </w:pPr>
            <w:r w:rsidRPr="00BC4D8D">
              <w:rPr>
                <w:rFonts w:eastAsiaTheme="minorEastAsia" w:cs="Calibri"/>
                <w:iCs/>
                <w:color w:val="FFFFFF"/>
                <w:szCs w:val="21"/>
                <w:lang w:eastAsia="en-AU"/>
              </w:rPr>
              <w:t>Total</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66 351</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1 108</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184 116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1 137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sidRPr="00BC4D8D">
              <w:rPr>
                <w:rFonts w:eastAsiaTheme="minorEastAsia" w:cs="Calibri"/>
                <w:color w:val="000000"/>
                <w:szCs w:val="21"/>
                <w:lang w:eastAsia="en-AU"/>
              </w:rPr>
              <w:t>34</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(12)</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1 741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66 385</w:t>
            </w:r>
          </w:p>
        </w:tc>
        <w:tc>
          <w:tcPr>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1 096</w:t>
            </w:r>
          </w:p>
        </w:tc>
        <w:tc>
          <w:tcPr>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186 995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66 351</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1 108</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184 116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2 044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sidRPr="00BC4D8D">
              <w:rPr>
                <w:rFonts w:eastAsiaTheme="minorEastAsia" w:cs="Calibri"/>
                <w:color w:val="000000"/>
                <w:szCs w:val="21"/>
                <w:lang w:eastAsia="en-AU"/>
              </w:rPr>
              <w:t>34</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(12)</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2 718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66 385</w:t>
            </w:r>
          </w:p>
        </w:tc>
        <w:tc>
          <w:tcPr>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1 096</w:t>
            </w:r>
          </w:p>
        </w:tc>
        <w:tc>
          <w:tcPr>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188 879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66 385</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1 096</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188 879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1 456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sidRPr="00BC4D8D">
              <w:rPr>
                <w:rFonts w:eastAsiaTheme="minorEastAsia" w:cs="Calibri"/>
                <w:color w:val="000000"/>
                <w:szCs w:val="21"/>
                <w:lang w:eastAsia="en-AU"/>
              </w:rPr>
              <w:t>913</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8 836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67 299</w:t>
            </w:r>
          </w:p>
        </w:tc>
        <w:tc>
          <w:tcPr>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1 096</w:t>
            </w:r>
          </w:p>
        </w:tc>
        <w:tc>
          <w:tcPr>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199 171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67 299</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1 096</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199 171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2 392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sidRPr="00BC4D8D">
              <w:rPr>
                <w:rFonts w:eastAsiaTheme="minorEastAsia" w:cs="Calibri"/>
                <w:color w:val="000000"/>
                <w:szCs w:val="21"/>
                <w:lang w:eastAsia="en-AU"/>
              </w:rPr>
              <w:t>291</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2 807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szCs w:val="21"/>
                <w:lang w:eastAsia="en-AU"/>
              </w:rPr>
            </w:pPr>
            <w:r>
              <w:rPr>
                <w:rFonts w:eastAsiaTheme="minorEastAsia" w:cs="Calibri"/>
                <w:b/>
                <w:bCs/>
                <w:color w:val="000000"/>
                <w:szCs w:val="21"/>
                <w:lang w:eastAsia="en-AU"/>
              </w:rPr>
              <w:t>67 590</w:t>
            </w:r>
          </w:p>
        </w:tc>
        <w:tc>
          <w:tcPr>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1 096</w:t>
            </w:r>
          </w:p>
        </w:tc>
        <w:tc>
          <w:tcPr>
            <w:tcW w:w="2591"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Pr>
                <w:rFonts w:eastAsiaTheme="minorEastAsia" w:cs="Calibri"/>
                <w:b/>
                <w:bCs/>
                <w:color w:val="000000"/>
                <w:szCs w:val="21"/>
                <w:lang w:eastAsia="en-AU"/>
              </w:rPr>
              <w:t>204 370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1"/>
                <w:lang w:eastAsia="en-AU"/>
              </w:rPr>
            </w:pPr>
            <w:r w:rsidRPr="00BC4D8D">
              <w:rPr>
                <w:rFonts w:eastAsiaTheme="minorEastAsia" w:cs="Calibri"/>
                <w:b/>
                <w:bCs/>
                <w:color w:val="000000"/>
                <w:szCs w:val="21"/>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67 590</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1 096</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204 369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2 706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2591" w:type="dxa"/>
            <w:tcBorders>
              <w:top w:val="nil"/>
              <w:left w:val="nil"/>
              <w:bottom w:val="nil"/>
              <w:right w:val="nil"/>
            </w:tcBorders>
          </w:tcPr>
          <w:p w:rsidR="00B32D50" w:rsidRPr="00BC4D8D" w:rsidRDefault="00B32D50" w:rsidP="00F17BCD">
            <w:pPr>
              <w:keepLines w:val="0"/>
              <w:autoSpaceDE w:val="0"/>
              <w:autoSpaceDN w:val="0"/>
              <w:adjustRightInd w:val="0"/>
              <w:jc w:val="right"/>
              <w:rPr>
                <w:rFonts w:eastAsiaTheme="minorEastAsia" w:cs="Calibri"/>
                <w:color w:val="000000"/>
                <w:szCs w:val="21"/>
                <w:lang w:eastAsia="en-AU"/>
              </w:rPr>
            </w:pPr>
            <w:r>
              <w:rPr>
                <w:rFonts w:eastAsiaTheme="minorEastAsia" w:cs="Calibri"/>
                <w:color w:val="000000"/>
                <w:szCs w:val="21"/>
                <w:lang w:eastAsia="en-AU"/>
              </w:rPr>
              <w:t>(446)</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2</w:t>
            </w:r>
          </w:p>
        </w:tc>
        <w:tc>
          <w:tcPr>
            <w:tcW w:w="2591"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1"/>
                <w:lang w:eastAsia="en-AU"/>
              </w:rPr>
            </w:pPr>
            <w:r>
              <w:rPr>
                <w:rFonts w:eastAsiaTheme="minorEastAsia" w:cs="Calibri"/>
                <w:color w:val="000000"/>
                <w:szCs w:val="21"/>
                <w:lang w:eastAsia="en-AU"/>
              </w:rPr>
              <w:t>4 472</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1"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jc w:val="right"/>
              <w:rPr>
                <w:rFonts w:eastAsiaTheme="minorEastAsia" w:cs="Calibri"/>
                <w:bCs/>
                <w:color w:val="000000"/>
                <w:szCs w:val="21"/>
                <w:lang w:eastAsia="en-AU"/>
              </w:rPr>
            </w:pPr>
            <w:r>
              <w:rPr>
                <w:rFonts w:eastAsiaTheme="minorEastAsia" w:cs="Calibri"/>
                <w:bCs/>
                <w:color w:val="000000"/>
                <w:szCs w:val="21"/>
                <w:lang w:eastAsia="en-AU"/>
              </w:rPr>
              <w:t>67 144</w:t>
            </w:r>
          </w:p>
        </w:tc>
        <w:tc>
          <w:tcPr>
            <w:tcW w:w="2591"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1 098</w:t>
            </w:r>
          </w:p>
        </w:tc>
        <w:tc>
          <w:tcPr>
            <w:tcW w:w="2591"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1"/>
                <w:lang w:eastAsia="en-AU"/>
              </w:rPr>
            </w:pPr>
            <w:r>
              <w:rPr>
                <w:rFonts w:eastAsiaTheme="minorEastAsia" w:cs="Calibri"/>
                <w:bCs/>
                <w:color w:val="000000"/>
                <w:szCs w:val="21"/>
                <w:lang w:eastAsia="en-AU"/>
              </w:rPr>
              <w:t>211 546</w:t>
            </w:r>
          </w:p>
        </w:tc>
      </w:tr>
    </w:tbl>
    <w:p w:rsidR="00B32D50" w:rsidRDefault="00B32D50" w:rsidP="00F17BCD">
      <w:r>
        <w:br w:type="page"/>
      </w:r>
    </w:p>
    <w:p w:rsidR="00B32D50" w:rsidRPr="004E4D8E" w:rsidRDefault="00B32D50" w:rsidP="00B32D50">
      <w:pPr>
        <w:pStyle w:val="Heading2"/>
        <w:numPr>
          <w:ilvl w:val="1"/>
          <w:numId w:val="21"/>
        </w:numPr>
      </w:pPr>
      <w:r w:rsidRPr="004E4D8E">
        <w:lastRenderedPageBreak/>
        <w:t>ABOUT THIS REPORT</w:t>
      </w:r>
    </w:p>
    <w:p w:rsidR="00B32D50" w:rsidRDefault="00B32D50" w:rsidP="00F17BCD">
      <w:pPr>
        <w:pStyle w:val="Heading20"/>
      </w:pPr>
      <w:r>
        <w:t>Basis of preparation</w:t>
      </w:r>
    </w:p>
    <w:p w:rsidR="00B32D50" w:rsidRDefault="00B32D50" w:rsidP="00F17BCD">
      <w:pPr>
        <w:spacing w:before="80"/>
      </w:pPr>
      <w:r>
        <w:t>This note summarises the basis applied in preparing and presenting these Estimated Financial Statements, which includes the budget year and the estimates for the three subsequent years</w:t>
      </w:r>
      <w:r w:rsidRPr="0060066D">
        <w:t>.</w:t>
      </w:r>
      <w:r>
        <w:t xml:space="preserve"> </w:t>
      </w:r>
    </w:p>
    <w:p w:rsidR="00B32D50" w:rsidRDefault="00B32D50" w:rsidP="00F17BCD">
      <w:pPr>
        <w:spacing w:before="80"/>
      </w:pPr>
      <w:r>
        <w:t xml:space="preserve">Unless otherwise stated, the detailed accounting policies applied in preparing the Estimated Financial Statements are consistent with those in the audited 2017-18 annual financial report published in the </w:t>
      </w:r>
      <w:r>
        <w:rPr>
          <w:i/>
        </w:rPr>
        <w:t>2017-18</w:t>
      </w:r>
      <w:r w:rsidRPr="005D4F59">
        <w:rPr>
          <w:i/>
        </w:rPr>
        <w:t xml:space="preserve"> Financial Report</w:t>
      </w:r>
      <w:r>
        <w:t xml:space="preserve"> for the State of Victoria as presented to Parliament. The audited 30 June 2018 asset and liability balances, as reported in the </w:t>
      </w:r>
      <w:r>
        <w:rPr>
          <w:i/>
        </w:rPr>
        <w:t>2017-18</w:t>
      </w:r>
      <w:r w:rsidRPr="005D4F59">
        <w:rPr>
          <w:i/>
        </w:rPr>
        <w:t xml:space="preserve"> Financial Report</w:t>
      </w:r>
      <w:r>
        <w:t>, form the basis on which asset and liability balances are projected over the next four years.</w:t>
      </w:r>
    </w:p>
    <w:p w:rsidR="00B32D50" w:rsidRDefault="00B32D50" w:rsidP="00F17BCD">
      <w:pPr>
        <w:spacing w:before="80"/>
      </w:pPr>
      <w:r>
        <w:t>The Estimated Financial Statements for the 2018-19 budget year have been prepared in accordance with accounting policies expected to be used in preparing historically oriented general purpose financial statements for that year, and the same accounting policies have been used for the subsequent three years.</w:t>
      </w:r>
    </w:p>
    <w:p w:rsidR="00B32D50" w:rsidRDefault="00B32D50" w:rsidP="00F17BCD">
      <w:pPr>
        <w:spacing w:before="80"/>
      </w:pPr>
      <w:r>
        <w:t>The accrual basis of accounting has been applied in preparing the Estimated Financial Statements whereby assets, liabilities, equity, income and expenses are recognised in the reporting period to which they relate, regardless of when cash is received or paid.</w:t>
      </w:r>
    </w:p>
    <w:p w:rsidR="00B32D50" w:rsidRDefault="00B32D50" w:rsidP="00F17BCD">
      <w:pPr>
        <w:spacing w:before="80"/>
      </w:pPr>
      <w:r>
        <w:t xml:space="preserve">The Estimated Financial Statements are presented in Australian dollars, which is also the functional currency of the Victorian general government sector. </w:t>
      </w:r>
    </w:p>
    <w:p w:rsidR="00B32D50" w:rsidRDefault="00B32D50" w:rsidP="00F17BCD">
      <w:pPr>
        <w:spacing w:before="80"/>
      </w:pPr>
      <w:r>
        <w:t>The Estimated Financial Statements have been prepared in accordance with the historical cost convention. Historical cost is based on the fair value of the consideration given in exchange for assets. Exceptions to the historical cost convention include:</w:t>
      </w:r>
    </w:p>
    <w:p w:rsidR="00B32D50" w:rsidRDefault="00B32D50" w:rsidP="00F17BCD">
      <w:pPr>
        <w:pStyle w:val="ListBullet"/>
        <w:spacing w:before="20"/>
      </w:pPr>
      <w:r>
        <w:t>general government sector investments in other sector entities, which are measured at net asset value;</w:t>
      </w:r>
    </w:p>
    <w:p w:rsidR="00B32D50" w:rsidRDefault="00B32D50" w:rsidP="00F17BCD">
      <w:pPr>
        <w:pStyle w:val="ListBullet"/>
        <w:spacing w:before="20"/>
      </w:pPr>
      <w:r>
        <w:t xml:space="preserve">non-financial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 </w:t>
      </w:r>
    </w:p>
    <w:p w:rsidR="00B32D50" w:rsidRDefault="00B32D50" w:rsidP="00F17BCD">
      <w:pPr>
        <w:pStyle w:val="ListBullet"/>
        <w:spacing w:before="20"/>
      </w:pPr>
      <w:r>
        <w:t>productive trees in commercial native forests, which are measured at their fair value less costs to sell;</w:t>
      </w:r>
    </w:p>
    <w:p w:rsidR="00B32D50" w:rsidRDefault="00B32D50" w:rsidP="00F17BCD">
      <w:pPr>
        <w:pStyle w:val="ListBullet"/>
        <w:spacing w:before="20"/>
      </w:pPr>
      <w:r>
        <w:t>financial assets and liabilities measured at fair value through the profit or loss;</w:t>
      </w:r>
    </w:p>
    <w:p w:rsidR="00B32D50" w:rsidRDefault="00B32D50" w:rsidP="00F17BCD">
      <w:pPr>
        <w:pStyle w:val="ListBullet"/>
        <w:spacing w:before="20"/>
      </w:pPr>
      <w:r>
        <w:t xml:space="preserve">derivative financial instruments, managed investment schemes, certain debt securities and investment properties after initial recognition, which are measured at fair value with changes reflected in the estimated comprehensive operating statement (fair value through profit or loss); </w:t>
      </w:r>
    </w:p>
    <w:p w:rsidR="00B32D50" w:rsidRDefault="00B32D50" w:rsidP="00F17BCD">
      <w:pPr>
        <w:pStyle w:val="ListBullet"/>
        <w:spacing w:before="20"/>
      </w:pPr>
      <w:r>
        <w:t>certain liabilities, most notably unfunded superannuation and insurance claim provisions, which are subject to an actuarial assessment; and</w:t>
      </w:r>
    </w:p>
    <w:p w:rsidR="00B32D50" w:rsidRDefault="00B32D50" w:rsidP="00F17BCD">
      <w:pPr>
        <w:pStyle w:val="ListBullet"/>
        <w:spacing w:before="20"/>
      </w:pPr>
      <w:r>
        <w:t>financial assets measured at fair value through other comprehensive income, which are measured at fair value with movements reflected in ‘Other economic flows – other comprehensive income’.</w:t>
      </w:r>
    </w:p>
    <w:p w:rsidR="00B32D50" w:rsidRDefault="00B32D50" w:rsidP="00F17BCD">
      <w:pPr>
        <w:ind w:right="198"/>
      </w:pPr>
      <w:r>
        <w:lastRenderedPageBreak/>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Given the prospective nature of the Estimated Financial Statements, actual results are likely to differ from these estimates. Revisions to accounting estimates are recognised in the period in which the estimate is revised and also in future periods that are affected. </w:t>
      </w:r>
    </w:p>
    <w:p w:rsidR="00B32D50" w:rsidRDefault="00B32D50" w:rsidP="00F17BCD">
      <w:r>
        <w:t xml:space="preserve">For assets and liabilities measured at fair value in the estimated balance sheet, the principles under AASB 13 </w:t>
      </w:r>
      <w:r w:rsidRPr="00CD5C7E">
        <w:rPr>
          <w:i/>
        </w:rPr>
        <w:t>Fair Value Measurement</w:t>
      </w:r>
      <w:r>
        <w:t xml:space="preserve"> have been applied. </w:t>
      </w:r>
    </w:p>
    <w:p w:rsidR="00B32D50" w:rsidRDefault="00B32D50" w:rsidP="00F17BCD">
      <w:r>
        <w:t xml:space="preserve">As required by AASB 1049 </w:t>
      </w:r>
      <w:r>
        <w:rPr>
          <w:i/>
        </w:rPr>
        <w:t xml:space="preserve">Whole of Government and General Government Sector Financial Reporting </w:t>
      </w:r>
      <w:r>
        <w:t>(AASB </w:t>
      </w:r>
      <w:r w:rsidRPr="00DA0F77">
        <w:t>1049)</w:t>
      </w:r>
      <w:r>
        <w:t xml:space="preserve">, the estimated comprehensive operating statement distinguishes between ‘Transactions’ and ‘Other economic flows’ based on the principles in the Government Finance Statistics (GFS) Manual. ‘Transactions’ are those economic flows that are considered to 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 agreed interactions between the government and the taxpayer. Transactions may be cash or settled in kind (e.g. assets provided/given free of charge or for nominal consideration). </w:t>
      </w:r>
    </w:p>
    <w:p w:rsidR="00B32D50" w:rsidRDefault="00B32D50" w:rsidP="00F17BCD">
      <w:r>
        <w:t>‘Other economic flows’ are changes arising from market remeasurements. They include:</w:t>
      </w:r>
    </w:p>
    <w:p w:rsidR="00B32D50" w:rsidRDefault="00B32D50" w:rsidP="00F17BCD">
      <w:pPr>
        <w:pStyle w:val="ListBullet"/>
      </w:pPr>
      <w:r>
        <w:t>gains and losses from disposals;</w:t>
      </w:r>
    </w:p>
    <w:p w:rsidR="00B32D50" w:rsidRDefault="00B32D50" w:rsidP="00F17BCD">
      <w:pPr>
        <w:pStyle w:val="ListBullet"/>
      </w:pPr>
      <w:r>
        <w:t>revaluations and impairments of non-financial physical and intangible assets;</w:t>
      </w:r>
    </w:p>
    <w:p w:rsidR="00B32D50" w:rsidRDefault="00B32D50" w:rsidP="00F17BCD">
      <w:pPr>
        <w:pStyle w:val="ListBullet"/>
      </w:pPr>
      <w:r>
        <w:t>remeasurement arising from defined benefit superannuation plans;</w:t>
      </w:r>
    </w:p>
    <w:p w:rsidR="00B32D50" w:rsidRDefault="00B32D50" w:rsidP="00F17BCD">
      <w:pPr>
        <w:pStyle w:val="ListBullet"/>
      </w:pPr>
      <w:r>
        <w:t>fair value changes of financial instruments and agricultural assets; and</w:t>
      </w:r>
    </w:p>
    <w:p w:rsidR="00B32D50" w:rsidRDefault="00B32D50" w:rsidP="00F17BCD">
      <w:pPr>
        <w:pStyle w:val="ListBullet"/>
      </w:pPr>
      <w:r>
        <w:t>depletion of natural assets (non-produced) from their use or removal.</w:t>
      </w:r>
    </w:p>
    <w:p w:rsidR="00B32D50" w:rsidRDefault="00B32D50" w:rsidP="00F17BCD">
      <w:r>
        <w:t>All amounts in the Estimated Financial Statements have been rounded to the nearest $1 million unless otherwise stated. The Estimated Financial Statements may not add due to rounding.</w:t>
      </w:r>
    </w:p>
    <w:p w:rsidR="00B32D50" w:rsidRDefault="00B32D50" w:rsidP="00F17BCD">
      <w:pPr>
        <w:pStyle w:val="Heading20"/>
      </w:pPr>
      <w:r>
        <w:t>Reporting entity</w:t>
      </w:r>
    </w:p>
    <w:p w:rsidR="00B32D50" w:rsidRDefault="00B32D50" w:rsidP="00F17BCD">
      <w:r>
        <w:t>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(outputs), which are mainly non-market in nature, for the collective consumption of the community. These services are primarily funded through transferring or redistributing revenue that is collected mainly through taxes and other compulsory levies.</w:t>
      </w:r>
    </w:p>
    <w:p w:rsidR="00B32D50" w:rsidRDefault="00B32D50" w:rsidP="00F17BCD">
      <w:r>
        <w:t>The general government sector is not a separate entity but represents a sector within the State of Victoria reporting entity. Unless otherwise noted, accounting policies applied by the State apply equally to the general government sector.</w:t>
      </w:r>
    </w:p>
    <w:p w:rsidR="00B32D50" w:rsidRDefault="00B32D50" w:rsidP="00F17BCD">
      <w:pPr>
        <w:pStyle w:val="Heading20"/>
      </w:pPr>
      <w:r>
        <w:lastRenderedPageBreak/>
        <w:t>Basis for consolidation</w:t>
      </w:r>
    </w:p>
    <w:p w:rsidR="00B32D50" w:rsidRDefault="00B32D50" w:rsidP="00F17BCD">
      <w:r>
        <w:t xml:space="preserve">The Estimated Financial Statements present the estimated consolidated results and position of all reporting entities in the general government sector that are controlled by the State, consistent with the principles of AASB 1049 and AASB 10 </w:t>
      </w:r>
      <w:r w:rsidRPr="00CD5C7E">
        <w:rPr>
          <w:i/>
        </w:rPr>
        <w:t>Consolidated Financial Statements</w:t>
      </w:r>
      <w:r>
        <w:t>.</w:t>
      </w:r>
    </w:p>
    <w:p w:rsidR="00B32D50" w:rsidRDefault="00B32D50" w:rsidP="00F17BCD">
      <w:r>
        <w:t xml:space="preserve">Entities in the public non-financial corporations (PNFC) and public financial corporations (PFC) sectors are not consolidated into the financial statements of the general government sector, but are accounted for as equity investments measured at the Government’s proportional share of the carrying amount of net assets of PNFC and PFC sector entities before consolidation eliminations. </w:t>
      </w:r>
    </w:p>
    <w:p w:rsidR="00B32D50" w:rsidRDefault="00B32D50" w:rsidP="00F17BCD">
      <w:r>
        <w:t xml:space="preserve">Where the carrying amount of a PNFC or PFC entity’s net assets before consolidation eliminations is less than zero, the carrying amount is not included in the general government sector. Any change in the carrying amount of the investment from period to period is accounted for as if the change in carrying amount is a change in fair value and accounted for consistent with AASB 9 </w:t>
      </w:r>
      <w:r>
        <w:rPr>
          <w:i/>
        </w:rPr>
        <w:t xml:space="preserve">Financial Instruments </w:t>
      </w:r>
      <w:r>
        <w:t>and AASB 1049.</w:t>
      </w:r>
    </w:p>
    <w:p w:rsidR="00B32D50" w:rsidRDefault="00B32D50" w:rsidP="00F17BCD">
      <w:r>
        <w:t>Where control of an entity is expected to be obtained during the reporting period, its results are included in the estimated comprehensive operating statement from the date on which control will commence.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rsidR="00B32D50" w:rsidRDefault="00B32D50" w:rsidP="00F17BCD">
      <w:r>
        <w:t>All material transactions and balances between entities within the general government sector are eliminated.</w:t>
      </w:r>
    </w:p>
    <w:p w:rsidR="00B32D50" w:rsidRDefault="00B32D50" w:rsidP="00F17BCD">
      <w:r>
        <w:t xml:space="preserve">Except as stated in Note 3.7.5 of the Estimated Financial Statements, the significant entities consolidated within the sector comprise those general government sector entities listed in Note 9.8 of Chapter 4 </w:t>
      </w:r>
      <w:r w:rsidRPr="00CD5C7E">
        <w:rPr>
          <w:i/>
        </w:rPr>
        <w:t>Annual Financial Report</w:t>
      </w:r>
      <w:r>
        <w:t xml:space="preserve"> of the </w:t>
      </w:r>
      <w:r>
        <w:rPr>
          <w:i/>
        </w:rPr>
        <w:t>2017</w:t>
      </w:r>
      <w:r>
        <w:rPr>
          <w:i/>
        </w:rPr>
        <w:noBreakHyphen/>
        <w:t>18 </w:t>
      </w:r>
      <w:r w:rsidRPr="00CD5C7E">
        <w:rPr>
          <w:i/>
        </w:rPr>
        <w:t>Financial Report</w:t>
      </w:r>
      <w:r>
        <w:t xml:space="preserve"> for the State of Victoria. </w:t>
      </w:r>
    </w:p>
    <w:p w:rsidR="00B32D50" w:rsidRDefault="00B32D50">
      <w:pPr>
        <w:keepLines w:val="0"/>
        <w:rPr>
          <w:rFonts w:asciiTheme="majorHAnsi" w:eastAsiaTheme="majorEastAsia" w:hAnsiTheme="majorHAnsi" w:cstheme="majorBidi"/>
          <w:b/>
          <w:spacing w:val="-2"/>
          <w:sz w:val="26"/>
          <w:szCs w:val="26"/>
        </w:rPr>
      </w:pPr>
      <w:r>
        <w:br w:type="page"/>
      </w:r>
    </w:p>
    <w:p w:rsidR="00B32D50" w:rsidRDefault="00B32D50" w:rsidP="00F17BCD">
      <w:pPr>
        <w:pStyle w:val="Heading20"/>
      </w:pPr>
      <w:r>
        <w:lastRenderedPageBreak/>
        <w:t>Compliance</w:t>
      </w:r>
    </w:p>
    <w:p w:rsidR="00B32D50" w:rsidRDefault="00B32D50" w:rsidP="00F17BCD">
      <w:r>
        <w:t xml:space="preserve">The Estimated Financial Statements are presented in a manner consistent with the principles of AASB 1049 and other relevant AASs. However, the prospective nature of these Estimated Financial Statements means that some AAS disclosures are neither relevant nor practical and have been omitted. Where applicable, those AASs paragraphs relevant to not-for-profit entities have been applied. Because AASs do not prescribe requirements for preparing and presenting prospective financial statements, the Estimated Financial Statements have been prepared having regard to the principles set out in New Zealand Public Benefit Entity Financial Reporting Standard 42 </w:t>
      </w:r>
      <w:r w:rsidRPr="00CD5C7E">
        <w:rPr>
          <w:i/>
        </w:rPr>
        <w:t>Prospective Financial Statements</w:t>
      </w:r>
      <w:r>
        <w:t>.</w:t>
      </w:r>
    </w:p>
    <w:p w:rsidR="00B32D50" w:rsidRDefault="00B32D50" w:rsidP="00F17BCD">
      <w:r>
        <w:t xml:space="preserve">The GFS information included in this report is based on the </w:t>
      </w:r>
      <w:r w:rsidRPr="00CD5C7E">
        <w:rPr>
          <w:i/>
        </w:rPr>
        <w:t>Australian System of Government Finance Statistics: C</w:t>
      </w:r>
      <w:r>
        <w:rPr>
          <w:i/>
        </w:rPr>
        <w:t>oncepts, Sources and Methods 201</w:t>
      </w:r>
      <w:r w:rsidRPr="00CD5C7E">
        <w:rPr>
          <w:i/>
        </w:rPr>
        <w:t>5 Cat. No. 5514.0</w:t>
      </w:r>
      <w:r>
        <w:rPr>
          <w:i/>
        </w:rPr>
        <w:t xml:space="preserve"> </w:t>
      </w:r>
      <w:r w:rsidRPr="0007131F">
        <w:t>(ABS GFS)</w:t>
      </w:r>
      <w:r>
        <w:t xml:space="preserve">. Note 1.7.5 of Budget Paper No.5 </w:t>
      </w:r>
      <w:r w:rsidRPr="00BC57B6">
        <w:rPr>
          <w:i/>
        </w:rPr>
        <w:t>Estimated Financial Statements</w:t>
      </w:r>
      <w:r>
        <w:t xml:space="preserve"> of the </w:t>
      </w:r>
      <w:r w:rsidRPr="00BC57B6">
        <w:rPr>
          <w:i/>
        </w:rPr>
        <w:t>2018-19 Budget</w:t>
      </w:r>
      <w:r>
        <w:t xml:space="preserve"> provides further information on the updated ABS GFS manual.</w:t>
      </w:r>
    </w:p>
    <w:p w:rsidR="00B32D50" w:rsidRDefault="00B32D50" w:rsidP="00F17BCD">
      <w:r>
        <w:t xml:space="preserve">The information presented in the Estimated Financial Statements takes into account all policy decisions made by the Victorian Government, as well as known Commonwealth Government funding revisions and circumstances that may have a material effect on the Estimated Financial Statements as </w:t>
      </w:r>
      <w:r w:rsidRPr="000379ED">
        <w:t>at 30 October 2018.</w:t>
      </w:r>
      <w:r>
        <w:t xml:space="preserve"> </w:t>
      </w:r>
    </w:p>
    <w:p w:rsidR="00B32D50" w:rsidRDefault="00B32D50" w:rsidP="00F17BCD">
      <w:pPr>
        <w:pStyle w:val="ListBullet"/>
        <w:numPr>
          <w:ilvl w:val="0"/>
          <w:numId w:val="0"/>
        </w:numPr>
        <w:ind w:left="284" w:hanging="284"/>
      </w:pPr>
    </w:p>
    <w:p w:rsidR="00B32D50" w:rsidRDefault="00B32D50" w:rsidP="00F17BCD"/>
    <w:p w:rsidR="00B32D50" w:rsidRDefault="00B32D50" w:rsidP="00F17BCD">
      <w:pPr>
        <w:pStyle w:val="Heading10"/>
      </w:pPr>
      <w:r>
        <w:br w:type="page"/>
      </w:r>
    </w:p>
    <w:p w:rsidR="00B32D50" w:rsidRDefault="00B32D50" w:rsidP="00F17BCD">
      <w:pPr>
        <w:pStyle w:val="Heading20"/>
      </w:pPr>
      <w:r w:rsidRPr="00354C44">
        <w:lastRenderedPageBreak/>
        <w:t>Material economic assumptions</w:t>
      </w:r>
      <w:r>
        <w:t xml:space="preserve"> </w:t>
      </w:r>
    </w:p>
    <w:p w:rsidR="00B32D50" w:rsidRDefault="00B32D50" w:rsidP="00F17BCD">
      <w:r>
        <w:t xml:space="preserve">The Estimated Financial Statements have been prepared using the material economic assumptions listed below. </w:t>
      </w:r>
    </w:p>
    <w:p w:rsidR="00B32D50" w:rsidRDefault="00B32D50" w:rsidP="00F17BCD">
      <w:pPr>
        <w:pStyle w:val="TableHeading"/>
        <w:ind w:left="0" w:firstLine="0"/>
      </w:pPr>
      <w:r w:rsidRPr="00766CA7">
        <w:t xml:space="preserve">Key economic assumptions </w:t>
      </w:r>
      <w:r w:rsidRPr="00766CA7">
        <w:rPr>
          <w:vertAlign w:val="superscript"/>
        </w:rPr>
        <w:t>(a)</w:t>
      </w:r>
      <w:r>
        <w:rPr>
          <w:vertAlign w:val="superscript"/>
        </w:rPr>
        <w:t xml:space="preserve"> </w:t>
      </w:r>
    </w:p>
    <w:tbl>
      <w:tblPr>
        <w:tblStyle w:val="DTFTable"/>
        <w:tblW w:w="7760" w:type="dxa"/>
        <w:tblLayout w:type="fixed"/>
        <w:tblLook w:val="06A0" w:firstRow="1" w:lastRow="0" w:firstColumn="1" w:lastColumn="0" w:noHBand="1" w:noVBand="1"/>
      </w:tblPr>
      <w:tblGrid>
        <w:gridCol w:w="2788"/>
        <w:gridCol w:w="1069"/>
        <w:gridCol w:w="176"/>
        <w:gridCol w:w="742"/>
        <w:gridCol w:w="994"/>
        <w:gridCol w:w="994"/>
        <w:gridCol w:w="997"/>
      </w:tblGrid>
      <w:tr w:rsidR="00B32D50" w:rsidRPr="00CD5C7E" w:rsidTr="00642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p>
        </w:tc>
        <w:tc>
          <w:tcPr>
            <w:tcW w:w="1069" w:type="dxa"/>
          </w:tcPr>
          <w:p w:rsidR="00B32D50" w:rsidRPr="006D156A" w:rsidRDefault="00B32D50" w:rsidP="00F17BCD">
            <w:pPr>
              <w:cnfStyle w:val="100000000000" w:firstRow="1" w:lastRow="0" w:firstColumn="0" w:lastColumn="0" w:oddVBand="0" w:evenVBand="0" w:oddHBand="0" w:evenHBand="0" w:firstRowFirstColumn="0" w:firstRowLastColumn="0" w:lastRowFirstColumn="0" w:lastRowLastColumn="0"/>
            </w:pPr>
            <w:r w:rsidRPr="006D156A">
              <w:t xml:space="preserve">2017-18 </w:t>
            </w:r>
            <w:r>
              <w:t>actual</w:t>
            </w:r>
          </w:p>
        </w:tc>
        <w:tc>
          <w:tcPr>
            <w:tcW w:w="918" w:type="dxa"/>
            <w:gridSpan w:val="2"/>
          </w:tcPr>
          <w:p w:rsidR="00B32D50" w:rsidRPr="006D156A" w:rsidRDefault="00B32D50" w:rsidP="00F17BCD">
            <w:pPr>
              <w:cnfStyle w:val="100000000000" w:firstRow="1" w:lastRow="0" w:firstColumn="0" w:lastColumn="0" w:oddVBand="0" w:evenVBand="0" w:oddHBand="0" w:evenHBand="0" w:firstRowFirstColumn="0" w:firstRowLastColumn="0" w:lastRowFirstColumn="0" w:lastRowLastColumn="0"/>
            </w:pPr>
            <w:r w:rsidRPr="006D156A">
              <w:t>2018-19 forecast</w:t>
            </w:r>
          </w:p>
        </w:tc>
        <w:tc>
          <w:tcPr>
            <w:tcW w:w="994" w:type="dxa"/>
          </w:tcPr>
          <w:p w:rsidR="00B32D50" w:rsidRPr="006D156A" w:rsidRDefault="00B32D50" w:rsidP="00F17BCD">
            <w:pPr>
              <w:cnfStyle w:val="100000000000" w:firstRow="1" w:lastRow="0" w:firstColumn="0" w:lastColumn="0" w:oddVBand="0" w:evenVBand="0" w:oddHBand="0" w:evenHBand="0" w:firstRowFirstColumn="0" w:firstRowLastColumn="0" w:lastRowFirstColumn="0" w:lastRowLastColumn="0"/>
            </w:pPr>
            <w:r w:rsidRPr="006D156A">
              <w:t>2019-20 forecast</w:t>
            </w:r>
          </w:p>
        </w:tc>
        <w:tc>
          <w:tcPr>
            <w:tcW w:w="994" w:type="dxa"/>
          </w:tcPr>
          <w:p w:rsidR="00B32D50" w:rsidRPr="006D156A" w:rsidRDefault="00B32D50" w:rsidP="00F17BCD">
            <w:pPr>
              <w:cnfStyle w:val="100000000000" w:firstRow="1" w:lastRow="0" w:firstColumn="0" w:lastColumn="0" w:oddVBand="0" w:evenVBand="0" w:oddHBand="0" w:evenHBand="0" w:firstRowFirstColumn="0" w:firstRowLastColumn="0" w:lastRowFirstColumn="0" w:lastRowLastColumn="0"/>
            </w:pPr>
            <w:r w:rsidRPr="006D156A">
              <w:t>2020-21 projection</w:t>
            </w:r>
          </w:p>
        </w:tc>
        <w:tc>
          <w:tcPr>
            <w:tcW w:w="997" w:type="dxa"/>
          </w:tcPr>
          <w:p w:rsidR="00B32D50" w:rsidRDefault="00B32D50" w:rsidP="00F17BCD">
            <w:pPr>
              <w:cnfStyle w:val="100000000000" w:firstRow="1" w:lastRow="0" w:firstColumn="0" w:lastColumn="0" w:oddVBand="0" w:evenVBand="0" w:oddHBand="0" w:evenHBand="0" w:firstRowFirstColumn="0" w:firstRowLastColumn="0" w:lastRowFirstColumn="0" w:lastRowLastColumn="0"/>
            </w:pPr>
            <w:r w:rsidRPr="006D156A">
              <w:t>2021-22 projection</w:t>
            </w:r>
          </w:p>
        </w:tc>
      </w:tr>
      <w:tr w:rsidR="00B32D50" w:rsidRPr="00CD5C7E" w:rsidTr="00F17BCD">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p>
        </w:tc>
        <w:tc>
          <w:tcPr>
            <w:tcW w:w="4972" w:type="dxa"/>
            <w:gridSpan w:val="6"/>
          </w:tcPr>
          <w:p w:rsidR="00B32D50" w:rsidRPr="00CD5C7E" w:rsidRDefault="00B32D50" w:rsidP="00F17BCD">
            <w:pPr>
              <w:pStyle w:val="TableUnits"/>
              <w:jc w:val="center"/>
              <w:cnfStyle w:val="000000000000" w:firstRow="0" w:lastRow="0" w:firstColumn="0" w:lastColumn="0" w:oddVBand="0" w:evenVBand="0" w:oddHBand="0" w:evenHBand="0" w:firstRowFirstColumn="0" w:firstRowLastColumn="0" w:lastRowFirstColumn="0" w:lastRowLastColumn="0"/>
            </w:pPr>
            <w:r w:rsidRPr="00CD5C7E">
              <w:t>($ billion)</w:t>
            </w:r>
          </w:p>
        </w:tc>
      </w:tr>
      <w:tr w:rsidR="00B32D50" w:rsidRPr="00CD5C7E" w:rsidTr="00996573">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r w:rsidRPr="00CD5C7E">
              <w:t>Nominal gross state product</w:t>
            </w:r>
          </w:p>
        </w:tc>
        <w:tc>
          <w:tcPr>
            <w:tcW w:w="1245" w:type="dxa"/>
            <w:gridSpan w:val="2"/>
          </w:tcPr>
          <w:p w:rsidR="00B32D50" w:rsidRPr="0078174C" w:rsidRDefault="00B32D50" w:rsidP="00F17BCD">
            <w:pPr>
              <w:cnfStyle w:val="000000000000" w:firstRow="0" w:lastRow="0" w:firstColumn="0" w:lastColumn="0" w:oddVBand="0" w:evenVBand="0" w:oddHBand="0" w:evenHBand="0" w:firstRowFirstColumn="0" w:firstRowLastColumn="0" w:lastRowFirstColumn="0" w:lastRowLastColumn="0"/>
            </w:pPr>
            <w:r>
              <w:t xml:space="preserve">429.0 </w:t>
            </w:r>
            <w:r w:rsidRPr="00F62E1A">
              <w:rPr>
                <w:vertAlign w:val="superscript"/>
              </w:rPr>
              <w:t>(b)</w:t>
            </w:r>
          </w:p>
        </w:tc>
        <w:tc>
          <w:tcPr>
            <w:tcW w:w="742" w:type="dxa"/>
          </w:tcPr>
          <w:p w:rsidR="00B32D50" w:rsidRPr="004E2EFA" w:rsidRDefault="00B32D50" w:rsidP="00F17BCD">
            <w:pPr>
              <w:cnfStyle w:val="000000000000" w:firstRow="0" w:lastRow="0" w:firstColumn="0" w:lastColumn="0" w:oddVBand="0" w:evenVBand="0" w:oddHBand="0" w:evenHBand="0" w:firstRowFirstColumn="0" w:firstRowLastColumn="0" w:lastRowFirstColumn="0" w:lastRowLastColumn="0"/>
            </w:pPr>
            <w:r>
              <w:t>452.5</w:t>
            </w:r>
          </w:p>
        </w:tc>
        <w:tc>
          <w:tcPr>
            <w:tcW w:w="994" w:type="dxa"/>
          </w:tcPr>
          <w:p w:rsidR="00B32D50" w:rsidRPr="004E2EFA" w:rsidRDefault="00B32D50" w:rsidP="00F17BCD">
            <w:pPr>
              <w:cnfStyle w:val="000000000000" w:firstRow="0" w:lastRow="0" w:firstColumn="0" w:lastColumn="0" w:oddVBand="0" w:evenVBand="0" w:oddHBand="0" w:evenHBand="0" w:firstRowFirstColumn="0" w:firstRowLastColumn="0" w:lastRowFirstColumn="0" w:lastRowLastColumn="0"/>
            </w:pPr>
            <w:r>
              <w:t>476</w:t>
            </w:r>
            <w:r w:rsidRPr="004E2EFA">
              <w:t>.6</w:t>
            </w:r>
          </w:p>
        </w:tc>
        <w:tc>
          <w:tcPr>
            <w:tcW w:w="994" w:type="dxa"/>
          </w:tcPr>
          <w:p w:rsidR="00B32D50" w:rsidRPr="004E2EFA" w:rsidRDefault="00B32D50" w:rsidP="00F17BCD">
            <w:pPr>
              <w:cnfStyle w:val="000000000000" w:firstRow="0" w:lastRow="0" w:firstColumn="0" w:lastColumn="0" w:oddVBand="0" w:evenVBand="0" w:oddHBand="0" w:evenHBand="0" w:firstRowFirstColumn="0" w:firstRowLastColumn="0" w:lastRowFirstColumn="0" w:lastRowLastColumn="0"/>
            </w:pPr>
            <w:r>
              <w:t>502.0</w:t>
            </w:r>
          </w:p>
        </w:tc>
        <w:tc>
          <w:tcPr>
            <w:tcW w:w="997" w:type="dxa"/>
          </w:tcPr>
          <w:p w:rsidR="00B32D50" w:rsidRDefault="00B32D50" w:rsidP="00F17BCD">
            <w:pPr>
              <w:cnfStyle w:val="000000000000" w:firstRow="0" w:lastRow="0" w:firstColumn="0" w:lastColumn="0" w:oddVBand="0" w:evenVBand="0" w:oddHBand="0" w:evenHBand="0" w:firstRowFirstColumn="0" w:firstRowLastColumn="0" w:lastRowFirstColumn="0" w:lastRowLastColumn="0"/>
            </w:pPr>
            <w:r>
              <w:t>528.6</w:t>
            </w:r>
          </w:p>
        </w:tc>
      </w:tr>
      <w:tr w:rsidR="00B32D50" w:rsidRPr="00CD5C7E" w:rsidTr="00F17BCD">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p>
        </w:tc>
        <w:tc>
          <w:tcPr>
            <w:tcW w:w="4972" w:type="dxa"/>
            <w:gridSpan w:val="6"/>
          </w:tcPr>
          <w:p w:rsidR="00B32D50" w:rsidRPr="00733C27" w:rsidRDefault="00B32D50" w:rsidP="00F17BCD">
            <w:pPr>
              <w:pStyle w:val="TableUnits"/>
              <w:jc w:val="center"/>
              <w:cnfStyle w:val="000000000000" w:firstRow="0" w:lastRow="0" w:firstColumn="0" w:lastColumn="0" w:oddVBand="0" w:evenVBand="0" w:oddHBand="0" w:evenHBand="0" w:firstRowFirstColumn="0" w:firstRowLastColumn="0" w:lastRowFirstColumn="0" w:lastRowLastColumn="0"/>
            </w:pPr>
            <w:r w:rsidRPr="00733C27">
              <w:t>(percentage change)</w:t>
            </w:r>
          </w:p>
        </w:tc>
      </w:tr>
      <w:tr w:rsidR="00B32D50" w:rsidRPr="00CD5C7E" w:rsidTr="00996573">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r w:rsidRPr="00CD5C7E">
              <w:t>Real gross state product</w:t>
            </w:r>
          </w:p>
        </w:tc>
        <w:tc>
          <w:tcPr>
            <w:tcW w:w="1245" w:type="dxa"/>
            <w:gridSpan w:val="2"/>
          </w:tcPr>
          <w:p w:rsidR="00B32D50" w:rsidRPr="002C2A36" w:rsidRDefault="00B32D50" w:rsidP="00F17BCD">
            <w:pPr>
              <w:cnfStyle w:val="000000000000" w:firstRow="0" w:lastRow="0" w:firstColumn="0" w:lastColumn="0" w:oddVBand="0" w:evenVBand="0" w:oddHBand="0" w:evenHBand="0" w:firstRowFirstColumn="0" w:firstRowLastColumn="0" w:lastRowFirstColumn="0" w:lastRowLastColumn="0"/>
            </w:pPr>
            <w:r>
              <w:t xml:space="preserve">3.25 </w:t>
            </w:r>
            <w:r w:rsidRPr="00D85F7F">
              <w:rPr>
                <w:vertAlign w:val="superscript"/>
              </w:rPr>
              <w:t>(b)</w:t>
            </w:r>
          </w:p>
        </w:tc>
        <w:tc>
          <w:tcPr>
            <w:tcW w:w="742"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3.00</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2.75</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2.75</w:t>
            </w:r>
          </w:p>
        </w:tc>
        <w:tc>
          <w:tcPr>
            <w:tcW w:w="997"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2.75</w:t>
            </w:r>
          </w:p>
        </w:tc>
      </w:tr>
      <w:tr w:rsidR="00B32D50" w:rsidRPr="00CD5C7E" w:rsidTr="00F17BCD">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r w:rsidRPr="00CD5C7E">
              <w:t>Employment</w:t>
            </w:r>
          </w:p>
        </w:tc>
        <w:tc>
          <w:tcPr>
            <w:tcW w:w="1069" w:type="dxa"/>
          </w:tcPr>
          <w:p w:rsidR="00B32D50" w:rsidRPr="002C2A36" w:rsidRDefault="00B32D50" w:rsidP="00F17BCD">
            <w:pPr>
              <w:cnfStyle w:val="000000000000" w:firstRow="0" w:lastRow="0" w:firstColumn="0" w:lastColumn="0" w:oddVBand="0" w:evenVBand="0" w:oddHBand="0" w:evenHBand="0" w:firstRowFirstColumn="0" w:firstRowLastColumn="0" w:lastRowFirstColumn="0" w:lastRowLastColumn="0"/>
            </w:pPr>
            <w:r>
              <w:t>2.7</w:t>
            </w:r>
          </w:p>
        </w:tc>
        <w:tc>
          <w:tcPr>
            <w:tcW w:w="918" w:type="dxa"/>
            <w:gridSpan w:val="2"/>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2.5</w:t>
            </w:r>
            <w:r w:rsidRPr="00C06497">
              <w:t>0</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2.00</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1.75</w:t>
            </w:r>
          </w:p>
        </w:tc>
        <w:tc>
          <w:tcPr>
            <w:tcW w:w="997"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1.75</w:t>
            </w:r>
          </w:p>
        </w:tc>
      </w:tr>
      <w:tr w:rsidR="00B32D50" w:rsidRPr="00CD5C7E" w:rsidTr="00F17BCD">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r w:rsidRPr="00CD5C7E">
              <w:t xml:space="preserve">Unemployment rate </w:t>
            </w:r>
            <w:r w:rsidRPr="00C51545">
              <w:rPr>
                <w:vertAlign w:val="superscript"/>
              </w:rPr>
              <w:t>(c)</w:t>
            </w:r>
          </w:p>
        </w:tc>
        <w:tc>
          <w:tcPr>
            <w:tcW w:w="1069" w:type="dxa"/>
          </w:tcPr>
          <w:p w:rsidR="00B32D50" w:rsidRPr="002C2A36" w:rsidRDefault="00B32D50" w:rsidP="00F17BCD">
            <w:pPr>
              <w:cnfStyle w:val="000000000000" w:firstRow="0" w:lastRow="0" w:firstColumn="0" w:lastColumn="0" w:oddVBand="0" w:evenVBand="0" w:oddHBand="0" w:evenHBand="0" w:firstRowFirstColumn="0" w:firstRowLastColumn="0" w:lastRowFirstColumn="0" w:lastRowLastColumn="0"/>
            </w:pPr>
            <w:r>
              <w:t>5.6</w:t>
            </w:r>
          </w:p>
        </w:tc>
        <w:tc>
          <w:tcPr>
            <w:tcW w:w="918" w:type="dxa"/>
            <w:gridSpan w:val="2"/>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4.75</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5.00</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5.25</w:t>
            </w:r>
          </w:p>
        </w:tc>
        <w:tc>
          <w:tcPr>
            <w:tcW w:w="997"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5.50</w:t>
            </w:r>
          </w:p>
        </w:tc>
      </w:tr>
      <w:tr w:rsidR="00B32D50" w:rsidRPr="00CD5C7E" w:rsidTr="00F17BCD">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r w:rsidRPr="00CD5C7E">
              <w:t xml:space="preserve">Consumer price index </w:t>
            </w:r>
            <w:r>
              <w:rPr>
                <w:vertAlign w:val="superscript"/>
              </w:rPr>
              <w:t>(d</w:t>
            </w:r>
            <w:r w:rsidRPr="00455A23">
              <w:rPr>
                <w:vertAlign w:val="superscript"/>
              </w:rPr>
              <w:t>)</w:t>
            </w:r>
          </w:p>
        </w:tc>
        <w:tc>
          <w:tcPr>
            <w:tcW w:w="1069" w:type="dxa"/>
          </w:tcPr>
          <w:p w:rsidR="00B32D50" w:rsidRPr="002C2A36" w:rsidRDefault="00B32D50" w:rsidP="00F17BCD">
            <w:pPr>
              <w:cnfStyle w:val="000000000000" w:firstRow="0" w:lastRow="0" w:firstColumn="0" w:lastColumn="0" w:oddVBand="0" w:evenVBand="0" w:oddHBand="0" w:evenHBand="0" w:firstRowFirstColumn="0" w:firstRowLastColumn="0" w:lastRowFirstColumn="0" w:lastRowLastColumn="0"/>
            </w:pPr>
            <w:r>
              <w:t>2.3</w:t>
            </w:r>
          </w:p>
        </w:tc>
        <w:tc>
          <w:tcPr>
            <w:tcW w:w="918" w:type="dxa"/>
            <w:gridSpan w:val="2"/>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2.50</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2.50</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2.50</w:t>
            </w:r>
          </w:p>
        </w:tc>
        <w:tc>
          <w:tcPr>
            <w:tcW w:w="997"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rsidRPr="00C06497">
              <w:t>2.50</w:t>
            </w:r>
          </w:p>
        </w:tc>
      </w:tr>
      <w:tr w:rsidR="00B32D50" w:rsidRPr="00CD5C7E" w:rsidTr="00F17BCD">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r w:rsidRPr="00CD5C7E">
              <w:t xml:space="preserve">Wage price index </w:t>
            </w:r>
            <w:r>
              <w:rPr>
                <w:vertAlign w:val="superscript"/>
              </w:rPr>
              <w:t>(e</w:t>
            </w:r>
            <w:r w:rsidRPr="00CD5C7E">
              <w:rPr>
                <w:vertAlign w:val="superscript"/>
              </w:rPr>
              <w:t>)</w:t>
            </w:r>
          </w:p>
        </w:tc>
        <w:tc>
          <w:tcPr>
            <w:tcW w:w="1069" w:type="dxa"/>
          </w:tcPr>
          <w:p w:rsidR="00B32D50" w:rsidRPr="002C2A36" w:rsidRDefault="00B32D50" w:rsidP="00F17BCD">
            <w:pPr>
              <w:cnfStyle w:val="000000000000" w:firstRow="0" w:lastRow="0" w:firstColumn="0" w:lastColumn="0" w:oddVBand="0" w:evenVBand="0" w:oddHBand="0" w:evenHBand="0" w:firstRowFirstColumn="0" w:firstRowLastColumn="0" w:lastRowFirstColumn="0" w:lastRowLastColumn="0"/>
            </w:pPr>
            <w:r>
              <w:t>2.3</w:t>
            </w:r>
          </w:p>
        </w:tc>
        <w:tc>
          <w:tcPr>
            <w:tcW w:w="918" w:type="dxa"/>
            <w:gridSpan w:val="2"/>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2.75</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3.00</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3.25</w:t>
            </w:r>
          </w:p>
        </w:tc>
        <w:tc>
          <w:tcPr>
            <w:tcW w:w="997"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3.50</w:t>
            </w:r>
          </w:p>
        </w:tc>
      </w:tr>
      <w:tr w:rsidR="00B32D50" w:rsidRPr="00CD5C7E" w:rsidTr="00996573">
        <w:tc>
          <w:tcPr>
            <w:cnfStyle w:val="001000000000" w:firstRow="0" w:lastRow="0" w:firstColumn="1" w:lastColumn="0" w:oddVBand="0" w:evenVBand="0" w:oddHBand="0" w:evenHBand="0" w:firstRowFirstColumn="0" w:firstRowLastColumn="0" w:lastRowFirstColumn="0" w:lastRowLastColumn="0"/>
            <w:tcW w:w="2788" w:type="dxa"/>
          </w:tcPr>
          <w:p w:rsidR="00B32D50" w:rsidRPr="00CD5C7E" w:rsidRDefault="00B32D50" w:rsidP="00F17BCD">
            <w:pPr>
              <w:ind w:left="0" w:firstLine="0"/>
            </w:pPr>
            <w:r w:rsidRPr="00CD5C7E">
              <w:t xml:space="preserve">Population </w:t>
            </w:r>
            <w:r>
              <w:rPr>
                <w:vertAlign w:val="superscript"/>
              </w:rPr>
              <w:t>(f</w:t>
            </w:r>
            <w:r w:rsidRPr="00CD5C7E">
              <w:rPr>
                <w:vertAlign w:val="superscript"/>
              </w:rPr>
              <w:t>)</w:t>
            </w:r>
          </w:p>
        </w:tc>
        <w:tc>
          <w:tcPr>
            <w:tcW w:w="1245" w:type="dxa"/>
            <w:gridSpan w:val="2"/>
          </w:tcPr>
          <w:p w:rsidR="00B32D50" w:rsidRPr="004123D7" w:rsidRDefault="00B32D50" w:rsidP="00F17BCD">
            <w:pPr>
              <w:cnfStyle w:val="000000000000" w:firstRow="0" w:lastRow="0" w:firstColumn="0" w:lastColumn="0" w:oddVBand="0" w:evenVBand="0" w:oddHBand="0" w:evenHBand="0" w:firstRowFirstColumn="0" w:firstRowLastColumn="0" w:lastRowFirstColumn="0" w:lastRowLastColumn="0"/>
            </w:pPr>
            <w:r w:rsidRPr="004123D7">
              <w:t>2.2</w:t>
            </w:r>
            <w:r>
              <w:t xml:space="preserve"> </w:t>
            </w:r>
            <w:r w:rsidRPr="00D85F7F">
              <w:rPr>
                <w:vertAlign w:val="superscript"/>
              </w:rPr>
              <w:t>(b)</w:t>
            </w:r>
          </w:p>
        </w:tc>
        <w:tc>
          <w:tcPr>
            <w:tcW w:w="742"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2.1</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2.0</w:t>
            </w:r>
          </w:p>
        </w:tc>
        <w:tc>
          <w:tcPr>
            <w:tcW w:w="994" w:type="dxa"/>
          </w:tcPr>
          <w:p w:rsidR="00B32D50" w:rsidRPr="00C06497" w:rsidRDefault="00B32D50" w:rsidP="00F17BCD">
            <w:pPr>
              <w:cnfStyle w:val="000000000000" w:firstRow="0" w:lastRow="0" w:firstColumn="0" w:lastColumn="0" w:oddVBand="0" w:evenVBand="0" w:oddHBand="0" w:evenHBand="0" w:firstRowFirstColumn="0" w:firstRowLastColumn="0" w:lastRowFirstColumn="0" w:lastRowLastColumn="0"/>
            </w:pPr>
            <w:r>
              <w:t>1.9</w:t>
            </w:r>
          </w:p>
        </w:tc>
        <w:tc>
          <w:tcPr>
            <w:tcW w:w="997" w:type="dxa"/>
          </w:tcPr>
          <w:p w:rsidR="00B32D50" w:rsidRDefault="00B32D50" w:rsidP="00F17BCD">
            <w:pPr>
              <w:cnfStyle w:val="000000000000" w:firstRow="0" w:lastRow="0" w:firstColumn="0" w:lastColumn="0" w:oddVBand="0" w:evenVBand="0" w:oddHBand="0" w:evenHBand="0" w:firstRowFirstColumn="0" w:firstRowLastColumn="0" w:lastRowFirstColumn="0" w:lastRowLastColumn="0"/>
            </w:pPr>
            <w:r>
              <w:t>1.9</w:t>
            </w:r>
          </w:p>
        </w:tc>
      </w:tr>
    </w:tbl>
    <w:p w:rsidR="00B32D50" w:rsidRDefault="00B32D50" w:rsidP="00F17BCD">
      <w:pPr>
        <w:pStyle w:val="Source"/>
      </w:pPr>
      <w:r w:rsidRPr="008B258B">
        <w:t>Source: Department of Treasury and Finance</w:t>
      </w:r>
    </w:p>
    <w:p w:rsidR="00B32D50" w:rsidRPr="006912E1" w:rsidRDefault="00B32D50" w:rsidP="00F17BCD">
      <w:pPr>
        <w:pStyle w:val="Note"/>
      </w:pPr>
      <w:r w:rsidRPr="006912E1">
        <w:t>Notes:</w:t>
      </w:r>
    </w:p>
    <w:p w:rsidR="00B32D50" w:rsidRDefault="00B32D50" w:rsidP="00F17BCD">
      <w:pPr>
        <w:pStyle w:val="Note"/>
      </w:pPr>
      <w:r w:rsidRPr="006912E1">
        <w:t>(a)</w:t>
      </w:r>
      <w:r w:rsidRPr="006912E1">
        <w:tab/>
      </w:r>
      <w:r w:rsidRPr="006869F5">
        <w:t>Percentage change in year average terms compared with previous year, except for the unemployment rate (see note (c)) and population (see note (f)). Forecasts are rounded to the nearest 0.25 percentage points, except for population (see note (f)).</w:t>
      </w:r>
    </w:p>
    <w:p w:rsidR="00B32D50" w:rsidRDefault="00B32D50" w:rsidP="00F17BCD">
      <w:pPr>
        <w:pStyle w:val="Note"/>
      </w:pPr>
      <w:r>
        <w:tab/>
        <w:t xml:space="preserve">Projections for 2020-21 and 2021-22 represent long-run average growth rates, except for the wage price index, which remains below trend in 2020-21, and population growth, which remains above trend by 2021-22. </w:t>
      </w:r>
    </w:p>
    <w:p w:rsidR="00B32D50" w:rsidRDefault="00996573" w:rsidP="00F17BCD">
      <w:pPr>
        <w:pStyle w:val="Note"/>
      </w:pPr>
      <w:r>
        <w:tab/>
      </w:r>
      <w:r w:rsidR="00B32D50">
        <w:t>The key assumptions underlying the economic forecasts include: interest rates are reflective of movem</w:t>
      </w:r>
      <w:r>
        <w:t>ents in market expectations; an </w:t>
      </w:r>
      <w:r w:rsidR="00B32D50">
        <w:t>Australian dollar trade-weighted index of 62.5; and oil prices that follow the path suggested by the futures market.</w:t>
      </w:r>
    </w:p>
    <w:p w:rsidR="00B32D50" w:rsidRPr="006912E1" w:rsidRDefault="00B32D50" w:rsidP="00F17BCD">
      <w:pPr>
        <w:pStyle w:val="Note"/>
      </w:pPr>
      <w:r>
        <w:t>(b)</w:t>
      </w:r>
      <w:r>
        <w:tab/>
        <w:t>Estimate, actual not yet available.</w:t>
      </w:r>
    </w:p>
    <w:p w:rsidR="00B32D50" w:rsidRPr="006912E1" w:rsidRDefault="00B32D50" w:rsidP="00F17BCD">
      <w:pPr>
        <w:pStyle w:val="Note"/>
      </w:pPr>
      <w:r>
        <w:t>(c</w:t>
      </w:r>
      <w:r w:rsidRPr="006912E1">
        <w:t xml:space="preserve">) </w:t>
      </w:r>
      <w:r w:rsidRPr="006912E1">
        <w:tab/>
        <w:t>Year average</w:t>
      </w:r>
      <w:r>
        <w:t>, per cent.</w:t>
      </w:r>
    </w:p>
    <w:p w:rsidR="00B32D50" w:rsidRPr="006912E1" w:rsidRDefault="00B32D50" w:rsidP="00F17BCD">
      <w:pPr>
        <w:pStyle w:val="Note"/>
      </w:pPr>
      <w:r>
        <w:t>(d</w:t>
      </w:r>
      <w:r w:rsidRPr="006912E1">
        <w:t>)</w:t>
      </w:r>
      <w:r w:rsidRPr="006912E1">
        <w:tab/>
        <w:t>Melbourne consumer price index.</w:t>
      </w:r>
    </w:p>
    <w:p w:rsidR="00B32D50" w:rsidRDefault="00B32D50" w:rsidP="00F17BCD">
      <w:pPr>
        <w:pStyle w:val="Note"/>
      </w:pPr>
      <w:r>
        <w:t>(e</w:t>
      </w:r>
      <w:r w:rsidRPr="006912E1">
        <w:t>)</w:t>
      </w:r>
      <w:r w:rsidRPr="006912E1">
        <w:tab/>
      </w:r>
      <w:r w:rsidRPr="009F3616">
        <w:t>Wage price index, Victoria (based on total hourly rates of pay, excluding bonuses).</w:t>
      </w:r>
      <w:r w:rsidRPr="006912E1">
        <w:t xml:space="preserve"> </w:t>
      </w:r>
    </w:p>
    <w:p w:rsidR="00B32D50" w:rsidRDefault="00B32D50" w:rsidP="00F17BCD">
      <w:pPr>
        <w:pStyle w:val="Note"/>
      </w:pPr>
      <w:r>
        <w:t>(f</w:t>
      </w:r>
      <w:r w:rsidRPr="006912E1">
        <w:t>)</w:t>
      </w:r>
      <w:r w:rsidRPr="006912E1">
        <w:tab/>
        <w:t>Percentage change over the year to 30 June. Forecasts are rounded to the nearest 0.1 percentage point.</w:t>
      </w:r>
    </w:p>
    <w:p w:rsidR="00B32D50" w:rsidRDefault="00B32D50" w:rsidP="00F17BCD">
      <w:pPr>
        <w:pStyle w:val="Source"/>
      </w:pPr>
    </w:p>
    <w:p w:rsidR="00B32D50" w:rsidRPr="009D1DC2" w:rsidRDefault="00B32D50" w:rsidP="00F17BCD">
      <w:pPr>
        <w:rPr>
          <w:b/>
          <w:bCs/>
          <w:lang w:val="en-US"/>
        </w:rPr>
      </w:pPr>
    </w:p>
    <w:p w:rsidR="00B32D50" w:rsidRDefault="00B32D50" w:rsidP="00A171DC"/>
    <w:p w:rsidR="00B32D50" w:rsidRDefault="00B32D50" w:rsidP="00A171DC"/>
    <w:p w:rsidR="00B32D50" w:rsidRDefault="00B32D50" w:rsidP="00A171DC">
      <w:r>
        <w:br w:type="page"/>
      </w:r>
    </w:p>
    <w:p w:rsidR="00B32D50" w:rsidRDefault="00B32D50" w:rsidP="00B32D50">
      <w:pPr>
        <w:pStyle w:val="Heading2"/>
        <w:numPr>
          <w:ilvl w:val="1"/>
          <w:numId w:val="21"/>
        </w:numPr>
      </w:pPr>
      <w:r w:rsidRPr="004E4D8E">
        <w:lastRenderedPageBreak/>
        <w:t>HOW FUNDS ARE RAISED</w:t>
      </w:r>
    </w:p>
    <w:p w:rsidR="00B32D50" w:rsidRDefault="00B32D50" w:rsidP="00F17BCD">
      <w:pPr>
        <w:pStyle w:val="Heading30"/>
        <w:pBdr>
          <w:bottom w:val="single" w:sz="4" w:space="1" w:color="auto"/>
        </w:pBdr>
        <w:sectPr w:rsidR="00B32D50" w:rsidSect="00F17BCD">
          <w:headerReference w:type="even" r:id="rId36"/>
          <w:headerReference w:type="default" r:id="rId37"/>
          <w:footerReference w:type="even" r:id="rId38"/>
          <w:footerReference w:type="default" r:id="rId39"/>
          <w:headerReference w:type="first" r:id="rId40"/>
          <w:footerReference w:type="first" r:id="rId41"/>
          <w:type w:val="continuous"/>
          <w:pgSz w:w="9979" w:h="14175" w:code="9"/>
          <w:pgMar w:top="850" w:right="1134" w:bottom="850" w:left="1134" w:header="624" w:footer="567" w:gutter="0"/>
          <w:cols w:sep="1" w:space="567"/>
          <w:titlePg/>
          <w:docGrid w:linePitch="360"/>
        </w:sectPr>
      </w:pPr>
    </w:p>
    <w:p w:rsidR="00B32D50" w:rsidRDefault="00B32D50" w:rsidP="00F17BCD">
      <w:pPr>
        <w:pStyle w:val="Heading30"/>
        <w:pBdr>
          <w:bottom w:val="single" w:sz="4" w:space="1" w:color="auto"/>
        </w:pBdr>
      </w:pPr>
      <w:r>
        <w:t>Introduction</w:t>
      </w:r>
    </w:p>
    <w:p w:rsidR="00B32D50" w:rsidRDefault="00B32D50" w:rsidP="00F17BCD">
      <w:r>
        <w:t>This section presents the sources and amounts of revenue forecast for the general government sector.</w:t>
      </w:r>
    </w:p>
    <w:p w:rsidR="00B32D50" w:rsidRDefault="00B32D50" w:rsidP="00F17BCD">
      <w:r>
        <w:t>Revenue from transactions is recognised to the extent that it is probable that the economic benefits will flow to the entity and the revenue can be reliably estimated at fair value.</w:t>
      </w:r>
    </w:p>
    <w:p w:rsidR="00B32D50" w:rsidRDefault="00B32D50" w:rsidP="00B607B3">
      <w:pPr>
        <w:pStyle w:val="Heading30"/>
        <w:pBdr>
          <w:bottom w:val="single" w:sz="6" w:space="1" w:color="auto"/>
        </w:pBdr>
      </w:pPr>
      <w:r>
        <w:br w:type="column"/>
      </w:r>
      <w:r>
        <w:t>Structure</w:t>
      </w:r>
    </w:p>
    <w:p w:rsidR="00B32D50" w:rsidRDefault="00B32D50">
      <w:pPr>
        <w:pStyle w:val="TOC9"/>
        <w:rPr>
          <w:rFonts w:eastAsiaTheme="minorEastAsia"/>
          <w:noProof/>
          <w:spacing w:val="0"/>
          <w:lang w:eastAsia="en-AU"/>
        </w:rPr>
      </w:pPr>
      <w:r>
        <w:fldChar w:fldCharType="begin"/>
      </w:r>
      <w:r>
        <w:instrText xml:space="preserve"> TOC \h \z \t "Heading 3 (#),9" \b Section_2 \* MERGEFORMAT </w:instrText>
      </w:r>
      <w:r>
        <w:fldChar w:fldCharType="separate"/>
      </w:r>
      <w:hyperlink w:anchor="_Toc528247402" w:history="1">
        <w:r w:rsidRPr="002749F1">
          <w:rPr>
            <w:rStyle w:val="Hyperlink"/>
            <w:noProof/>
            <w:lang w:val="en-US"/>
          </w:rPr>
          <w:t>3.2.1</w:t>
        </w:r>
        <w:r>
          <w:rPr>
            <w:rFonts w:eastAsiaTheme="minorEastAsia"/>
            <w:noProof/>
            <w:spacing w:val="0"/>
            <w:lang w:eastAsia="en-AU"/>
          </w:rPr>
          <w:tab/>
        </w:r>
        <w:r w:rsidRPr="002749F1">
          <w:rPr>
            <w:rStyle w:val="Hyperlink"/>
            <w:noProof/>
          </w:rPr>
          <w:t>Taxation revenue</w:t>
        </w:r>
        <w:r>
          <w:rPr>
            <w:noProof/>
            <w:webHidden/>
          </w:rPr>
          <w:tab/>
        </w:r>
        <w:r>
          <w:rPr>
            <w:noProof/>
            <w:webHidden/>
          </w:rPr>
          <w:fldChar w:fldCharType="begin"/>
        </w:r>
        <w:r>
          <w:rPr>
            <w:noProof/>
            <w:webHidden/>
          </w:rPr>
          <w:instrText xml:space="preserve"> PAGEREF _Toc528247402 \h </w:instrText>
        </w:r>
        <w:r>
          <w:rPr>
            <w:noProof/>
            <w:webHidden/>
          </w:rPr>
        </w:r>
        <w:r>
          <w:rPr>
            <w:noProof/>
            <w:webHidden/>
          </w:rPr>
          <w:fldChar w:fldCharType="separate"/>
        </w:r>
        <w:r w:rsidR="00132FE0">
          <w:rPr>
            <w:noProof/>
            <w:webHidden/>
          </w:rPr>
          <w:t>37</w:t>
        </w:r>
        <w:r>
          <w:rPr>
            <w:noProof/>
            <w:webHidden/>
          </w:rPr>
          <w:fldChar w:fldCharType="end"/>
        </w:r>
      </w:hyperlink>
    </w:p>
    <w:p w:rsidR="00B32D50" w:rsidRDefault="00132FE0">
      <w:pPr>
        <w:pStyle w:val="TOC9"/>
        <w:rPr>
          <w:rFonts w:eastAsiaTheme="minorEastAsia"/>
          <w:noProof/>
          <w:spacing w:val="0"/>
          <w:lang w:eastAsia="en-AU"/>
        </w:rPr>
      </w:pPr>
      <w:hyperlink w:anchor="_Toc528247403" w:history="1">
        <w:r w:rsidR="00B32D50" w:rsidRPr="002749F1">
          <w:rPr>
            <w:rStyle w:val="Hyperlink"/>
            <w:noProof/>
            <w:lang w:val="en-US"/>
          </w:rPr>
          <w:t>3.2.2</w:t>
        </w:r>
        <w:r w:rsidR="00B32D50">
          <w:rPr>
            <w:rFonts w:eastAsiaTheme="minorEastAsia"/>
            <w:noProof/>
            <w:spacing w:val="0"/>
            <w:lang w:eastAsia="en-AU"/>
          </w:rPr>
          <w:tab/>
        </w:r>
        <w:r w:rsidR="00B32D50" w:rsidRPr="002749F1">
          <w:rPr>
            <w:rStyle w:val="Hyperlink"/>
            <w:noProof/>
          </w:rPr>
          <w:t>Dividends, income tax equivalent and rate equivalent revenue</w:t>
        </w:r>
        <w:r w:rsidR="00B32D50">
          <w:rPr>
            <w:noProof/>
            <w:webHidden/>
          </w:rPr>
          <w:tab/>
        </w:r>
        <w:r w:rsidR="00B32D50">
          <w:rPr>
            <w:noProof/>
            <w:webHidden/>
          </w:rPr>
          <w:fldChar w:fldCharType="begin"/>
        </w:r>
        <w:r w:rsidR="00B32D50">
          <w:rPr>
            <w:noProof/>
            <w:webHidden/>
          </w:rPr>
          <w:instrText xml:space="preserve"> PAGEREF _Toc528247403 \h </w:instrText>
        </w:r>
        <w:r w:rsidR="00B32D50">
          <w:rPr>
            <w:noProof/>
            <w:webHidden/>
          </w:rPr>
        </w:r>
        <w:r w:rsidR="00B32D50">
          <w:rPr>
            <w:noProof/>
            <w:webHidden/>
          </w:rPr>
          <w:fldChar w:fldCharType="separate"/>
        </w:r>
        <w:r>
          <w:rPr>
            <w:noProof/>
            <w:webHidden/>
          </w:rPr>
          <w:t>38</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04" w:history="1">
        <w:r w:rsidR="00B32D50" w:rsidRPr="002749F1">
          <w:rPr>
            <w:rStyle w:val="Hyperlink"/>
            <w:noProof/>
            <w:lang w:val="en-US"/>
          </w:rPr>
          <w:t>3.2.3</w:t>
        </w:r>
        <w:r w:rsidR="00B32D50">
          <w:rPr>
            <w:rFonts w:eastAsiaTheme="minorEastAsia"/>
            <w:noProof/>
            <w:spacing w:val="0"/>
            <w:lang w:eastAsia="en-AU"/>
          </w:rPr>
          <w:tab/>
        </w:r>
        <w:r w:rsidR="00B32D50" w:rsidRPr="002749F1">
          <w:rPr>
            <w:rStyle w:val="Hyperlink"/>
            <w:noProof/>
          </w:rPr>
          <w:t>Sales of goods and services</w:t>
        </w:r>
        <w:r w:rsidR="00B32D50">
          <w:rPr>
            <w:noProof/>
            <w:webHidden/>
          </w:rPr>
          <w:tab/>
        </w:r>
        <w:r w:rsidR="00B32D50">
          <w:rPr>
            <w:noProof/>
            <w:webHidden/>
          </w:rPr>
          <w:fldChar w:fldCharType="begin"/>
        </w:r>
        <w:r w:rsidR="00B32D50">
          <w:rPr>
            <w:noProof/>
            <w:webHidden/>
          </w:rPr>
          <w:instrText xml:space="preserve"> PAGEREF _Toc528247404 \h </w:instrText>
        </w:r>
        <w:r w:rsidR="00B32D50">
          <w:rPr>
            <w:noProof/>
            <w:webHidden/>
          </w:rPr>
        </w:r>
        <w:r w:rsidR="00B32D50">
          <w:rPr>
            <w:noProof/>
            <w:webHidden/>
          </w:rPr>
          <w:fldChar w:fldCharType="separate"/>
        </w:r>
        <w:r>
          <w:rPr>
            <w:noProof/>
            <w:webHidden/>
          </w:rPr>
          <w:t>39</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05" w:history="1">
        <w:r w:rsidR="00B32D50" w:rsidRPr="002749F1">
          <w:rPr>
            <w:rStyle w:val="Hyperlink"/>
            <w:noProof/>
            <w:lang w:val="en-US"/>
          </w:rPr>
          <w:t>3.2.4</w:t>
        </w:r>
        <w:r w:rsidR="00B32D50">
          <w:rPr>
            <w:rFonts w:eastAsiaTheme="minorEastAsia"/>
            <w:noProof/>
            <w:spacing w:val="0"/>
            <w:lang w:eastAsia="en-AU"/>
          </w:rPr>
          <w:tab/>
        </w:r>
        <w:r w:rsidR="00B32D50" w:rsidRPr="002749F1">
          <w:rPr>
            <w:rStyle w:val="Hyperlink"/>
            <w:noProof/>
          </w:rPr>
          <w:t>Grant revenue</w:t>
        </w:r>
        <w:r w:rsidR="00B32D50">
          <w:rPr>
            <w:noProof/>
            <w:webHidden/>
          </w:rPr>
          <w:tab/>
        </w:r>
        <w:r w:rsidR="00B32D50">
          <w:rPr>
            <w:noProof/>
            <w:webHidden/>
          </w:rPr>
          <w:fldChar w:fldCharType="begin"/>
        </w:r>
        <w:r w:rsidR="00B32D50">
          <w:rPr>
            <w:noProof/>
            <w:webHidden/>
          </w:rPr>
          <w:instrText xml:space="preserve"> PAGEREF _Toc528247405 \h </w:instrText>
        </w:r>
        <w:r w:rsidR="00B32D50">
          <w:rPr>
            <w:noProof/>
            <w:webHidden/>
          </w:rPr>
        </w:r>
        <w:r w:rsidR="00B32D50">
          <w:rPr>
            <w:noProof/>
            <w:webHidden/>
          </w:rPr>
          <w:fldChar w:fldCharType="separate"/>
        </w:r>
        <w:r>
          <w:rPr>
            <w:noProof/>
            <w:webHidden/>
          </w:rPr>
          <w:t>39</w:t>
        </w:r>
        <w:r w:rsidR="00B32D50">
          <w:rPr>
            <w:noProof/>
            <w:webHidden/>
          </w:rPr>
          <w:fldChar w:fldCharType="end"/>
        </w:r>
      </w:hyperlink>
    </w:p>
    <w:p w:rsidR="00B32D50" w:rsidRDefault="00132FE0" w:rsidP="00F17BCD">
      <w:pPr>
        <w:pStyle w:val="TOC9"/>
      </w:pPr>
      <w:hyperlink w:anchor="_Toc528247406" w:history="1">
        <w:r w:rsidR="00B32D50" w:rsidRPr="002749F1">
          <w:rPr>
            <w:rStyle w:val="Hyperlink"/>
            <w:noProof/>
            <w:lang w:val="en-US"/>
          </w:rPr>
          <w:t>3.2.5</w:t>
        </w:r>
        <w:r w:rsidR="00B32D50">
          <w:rPr>
            <w:rFonts w:eastAsiaTheme="minorEastAsia"/>
            <w:noProof/>
            <w:spacing w:val="0"/>
            <w:lang w:eastAsia="en-AU"/>
          </w:rPr>
          <w:tab/>
        </w:r>
        <w:r w:rsidR="00B32D50" w:rsidRPr="002749F1">
          <w:rPr>
            <w:rStyle w:val="Hyperlink"/>
            <w:noProof/>
          </w:rPr>
          <w:t>Other revenue</w:t>
        </w:r>
        <w:r w:rsidR="00B32D50">
          <w:rPr>
            <w:noProof/>
            <w:webHidden/>
          </w:rPr>
          <w:tab/>
        </w:r>
        <w:r w:rsidR="00B32D50">
          <w:rPr>
            <w:noProof/>
            <w:webHidden/>
          </w:rPr>
          <w:fldChar w:fldCharType="begin"/>
        </w:r>
        <w:r w:rsidR="00B32D50">
          <w:rPr>
            <w:noProof/>
            <w:webHidden/>
          </w:rPr>
          <w:instrText xml:space="preserve"> PAGEREF _Toc528247406 \h </w:instrText>
        </w:r>
        <w:r w:rsidR="00B32D50">
          <w:rPr>
            <w:noProof/>
            <w:webHidden/>
          </w:rPr>
        </w:r>
        <w:r w:rsidR="00B32D50">
          <w:rPr>
            <w:noProof/>
            <w:webHidden/>
          </w:rPr>
          <w:fldChar w:fldCharType="separate"/>
        </w:r>
        <w:r>
          <w:rPr>
            <w:noProof/>
            <w:webHidden/>
          </w:rPr>
          <w:t>39</w:t>
        </w:r>
        <w:r w:rsidR="00B32D50">
          <w:rPr>
            <w:noProof/>
            <w:webHidden/>
          </w:rPr>
          <w:fldChar w:fldCharType="end"/>
        </w:r>
      </w:hyperlink>
      <w:r w:rsidR="00B32D50">
        <w:rPr>
          <w:b/>
          <w:bCs/>
          <w:noProof/>
          <w:lang w:val="en-US"/>
        </w:rPr>
        <w:fldChar w:fldCharType="end"/>
      </w:r>
    </w:p>
    <w:p w:rsidR="00B32D50" w:rsidRDefault="00B32D50">
      <w:pPr>
        <w:keepLines w:val="0"/>
        <w:sectPr w:rsidR="00B32D50" w:rsidSect="00F17BCD">
          <w:headerReference w:type="even" r:id="rId42"/>
          <w:headerReference w:type="default" r:id="rId43"/>
          <w:footerReference w:type="even" r:id="rId44"/>
          <w:footerReference w:type="default" r:id="rId45"/>
          <w:headerReference w:type="first" r:id="rId46"/>
          <w:footerReference w:type="first" r:id="rId47"/>
          <w:type w:val="continuous"/>
          <w:pgSz w:w="9979" w:h="14175" w:code="9"/>
          <w:pgMar w:top="850" w:right="1134" w:bottom="850" w:left="1134" w:header="624" w:footer="567" w:gutter="0"/>
          <w:cols w:num="2" w:space="567"/>
          <w:titlePg/>
          <w:docGrid w:linePitch="360"/>
        </w:sectPr>
      </w:pPr>
    </w:p>
    <w:p w:rsidR="00B32D50" w:rsidRPr="00BC4D8D" w:rsidRDefault="00B32D50" w:rsidP="00B32D50">
      <w:pPr>
        <w:pStyle w:val="Heading3"/>
        <w:numPr>
          <w:ilvl w:val="2"/>
          <w:numId w:val="21"/>
        </w:numPr>
        <w:tabs>
          <w:tab w:val="clear" w:pos="9582"/>
          <w:tab w:val="left" w:pos="850"/>
          <w:tab w:val="right" w:pos="7710"/>
        </w:tabs>
        <w:spacing w:before="120" w:after="60"/>
        <w:ind w:left="850" w:hanging="850"/>
        <w:rPr>
          <w:lang w:val="en-US"/>
        </w:rPr>
      </w:pPr>
      <w:bookmarkStart w:id="33" w:name="_Toc528247402"/>
      <w:bookmarkStart w:id="34" w:name="Section_2"/>
      <w:r w:rsidRPr="007C6C55">
        <w:t>Taxation</w:t>
      </w:r>
      <w:r w:rsidRPr="008C4F9A">
        <w:t xml:space="preserve"> revenue</w:t>
      </w:r>
      <w:r>
        <w:tab/>
      </w:r>
      <w:r w:rsidRPr="008C4F9A">
        <w:t>($ million)</w:t>
      </w:r>
      <w:bookmarkEnd w:id="33"/>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996573" w:rsidRPr="001E501A" w:rsidTr="00642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996573" w:rsidRPr="001E501A" w:rsidRDefault="00996573" w:rsidP="00B607B3">
            <w:pPr>
              <w:autoSpaceDE w:val="0"/>
              <w:autoSpaceDN w:val="0"/>
              <w:adjustRightInd w:val="0"/>
              <w:spacing w:after="0"/>
              <w:rPr>
                <w:rFonts w:eastAsiaTheme="minorEastAsia" w:cs="Calibri"/>
                <w:iCs/>
                <w:color w:val="FFFFFF"/>
                <w:sz w:val="16"/>
                <w:szCs w:val="16"/>
                <w:lang w:eastAsia="en-AU"/>
              </w:rPr>
            </w:pPr>
          </w:p>
        </w:tc>
        <w:tc>
          <w:tcPr>
            <w:tcW w:w="850" w:type="dxa"/>
            <w:tcBorders>
              <w:top w:val="nil"/>
              <w:left w:val="nil"/>
              <w:right w:val="nil"/>
            </w:tcBorders>
            <w:shd w:val="solid" w:color="000000" w:fill="auto"/>
          </w:tcPr>
          <w:p w:rsidR="00996573" w:rsidRPr="001E501A" w:rsidRDefault="00996573" w:rsidP="00B607B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1E501A">
              <w:rPr>
                <w:rFonts w:eastAsiaTheme="minorEastAsia" w:cs="Calibri"/>
                <w:iCs/>
                <w:color w:val="FFFFFF"/>
                <w:sz w:val="16"/>
                <w:szCs w:val="16"/>
                <w:lang w:eastAsia="en-AU"/>
              </w:rPr>
              <w:t>2018-19</w:t>
            </w:r>
            <w:r>
              <w:rPr>
                <w:rFonts w:eastAsiaTheme="minorEastAsia" w:cs="Calibri"/>
                <w:iCs/>
                <w:color w:val="FFFFFF"/>
                <w:sz w:val="16"/>
                <w:szCs w:val="16"/>
                <w:lang w:eastAsia="en-AU"/>
              </w:rPr>
              <w:br/>
            </w:r>
            <w:r w:rsidRPr="001E501A">
              <w:rPr>
                <w:rFonts w:eastAsiaTheme="minorEastAsia" w:cs="Calibri"/>
                <w:iCs/>
                <w:color w:val="FFFFFF"/>
                <w:sz w:val="16"/>
                <w:szCs w:val="16"/>
                <w:lang w:eastAsia="en-AU"/>
              </w:rPr>
              <w:t>budget</w:t>
            </w:r>
          </w:p>
        </w:tc>
        <w:tc>
          <w:tcPr>
            <w:tcW w:w="850" w:type="dxa"/>
            <w:tcBorders>
              <w:top w:val="nil"/>
              <w:left w:val="nil"/>
              <w:right w:val="nil"/>
            </w:tcBorders>
            <w:shd w:val="solid" w:color="000000" w:fill="auto"/>
          </w:tcPr>
          <w:p w:rsidR="00996573" w:rsidRPr="001E501A" w:rsidRDefault="00996573" w:rsidP="00B607B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1E501A">
              <w:rPr>
                <w:rFonts w:eastAsiaTheme="minorEastAsia" w:cs="Calibri"/>
                <w:iCs/>
                <w:color w:val="FFFFFF"/>
                <w:sz w:val="16"/>
                <w:szCs w:val="16"/>
                <w:lang w:eastAsia="en-AU"/>
              </w:rPr>
              <w:t>2018-19</w:t>
            </w:r>
            <w:r>
              <w:rPr>
                <w:rFonts w:eastAsiaTheme="minorEastAsia" w:cs="Calibri"/>
                <w:iCs/>
                <w:color w:val="FFFFFF"/>
                <w:sz w:val="16"/>
                <w:szCs w:val="16"/>
                <w:lang w:eastAsia="en-AU"/>
              </w:rPr>
              <w:br/>
            </w:r>
            <w:r w:rsidRPr="001E501A">
              <w:rPr>
                <w:rFonts w:eastAsiaTheme="minorEastAsia" w:cs="Calibri"/>
                <w:iCs/>
                <w:color w:val="FFFFFF"/>
                <w:sz w:val="16"/>
                <w:szCs w:val="16"/>
                <w:lang w:eastAsia="en-AU"/>
              </w:rPr>
              <w:t>revised</w:t>
            </w:r>
          </w:p>
        </w:tc>
        <w:tc>
          <w:tcPr>
            <w:tcW w:w="850" w:type="dxa"/>
            <w:tcBorders>
              <w:top w:val="nil"/>
              <w:left w:val="nil"/>
              <w:right w:val="nil"/>
            </w:tcBorders>
            <w:shd w:val="solid" w:color="000000" w:fill="auto"/>
          </w:tcPr>
          <w:p w:rsidR="00996573" w:rsidRPr="001E501A" w:rsidRDefault="00996573" w:rsidP="00B607B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1E501A">
              <w:rPr>
                <w:rFonts w:eastAsiaTheme="minorEastAsia" w:cs="Calibri"/>
                <w:iCs/>
                <w:color w:val="FFFFFF"/>
                <w:sz w:val="16"/>
                <w:szCs w:val="16"/>
                <w:lang w:eastAsia="en-AU"/>
              </w:rPr>
              <w:t>2019-20</w:t>
            </w:r>
            <w:r>
              <w:rPr>
                <w:rFonts w:eastAsiaTheme="minorEastAsia" w:cs="Calibri"/>
                <w:iCs/>
                <w:color w:val="FFFFFF"/>
                <w:sz w:val="16"/>
                <w:szCs w:val="16"/>
                <w:lang w:eastAsia="en-AU"/>
              </w:rPr>
              <w:br/>
            </w:r>
            <w:r w:rsidRPr="001E501A">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996573" w:rsidRPr="001E501A" w:rsidRDefault="00996573" w:rsidP="00B607B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1E501A">
              <w:rPr>
                <w:rFonts w:eastAsiaTheme="minorEastAsia" w:cs="Calibri"/>
                <w:iCs/>
                <w:color w:val="FFFFFF"/>
                <w:sz w:val="16"/>
                <w:szCs w:val="16"/>
                <w:lang w:eastAsia="en-AU"/>
              </w:rPr>
              <w:t>2020-21</w:t>
            </w:r>
            <w:r>
              <w:rPr>
                <w:rFonts w:eastAsiaTheme="minorEastAsia" w:cs="Calibri"/>
                <w:iCs/>
                <w:color w:val="FFFFFF"/>
                <w:sz w:val="16"/>
                <w:szCs w:val="16"/>
                <w:lang w:eastAsia="en-AU"/>
              </w:rPr>
              <w:br/>
            </w:r>
            <w:r w:rsidRPr="001E501A">
              <w:rPr>
                <w:rFonts w:eastAsiaTheme="minorEastAsia" w:cs="Calibri"/>
                <w:iCs/>
                <w:color w:val="FFFFFF"/>
                <w:sz w:val="16"/>
                <w:szCs w:val="16"/>
                <w:lang w:eastAsia="en-AU"/>
              </w:rPr>
              <w:t>estimate</w:t>
            </w:r>
          </w:p>
        </w:tc>
        <w:tc>
          <w:tcPr>
            <w:tcW w:w="850" w:type="dxa"/>
            <w:tcBorders>
              <w:top w:val="nil"/>
              <w:left w:val="nil"/>
              <w:right w:val="nil"/>
            </w:tcBorders>
            <w:shd w:val="solid" w:color="000000" w:fill="auto"/>
          </w:tcPr>
          <w:p w:rsidR="00996573" w:rsidRPr="001E501A" w:rsidRDefault="00996573" w:rsidP="00B607B3">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1E501A">
              <w:rPr>
                <w:rFonts w:eastAsiaTheme="minorEastAsia" w:cs="Calibri"/>
                <w:iCs/>
                <w:color w:val="FFFFFF"/>
                <w:sz w:val="16"/>
                <w:szCs w:val="16"/>
                <w:lang w:eastAsia="en-AU"/>
              </w:rPr>
              <w:t>2021-22</w:t>
            </w:r>
            <w:r>
              <w:rPr>
                <w:rFonts w:eastAsiaTheme="minorEastAsia" w:cs="Calibri"/>
                <w:iCs/>
                <w:color w:val="FFFFFF"/>
                <w:sz w:val="16"/>
                <w:szCs w:val="16"/>
                <w:lang w:eastAsia="en-AU"/>
              </w:rPr>
              <w:br/>
            </w:r>
            <w:r w:rsidRPr="001E501A">
              <w:rPr>
                <w:rFonts w:eastAsiaTheme="minorEastAsia" w:cs="Calibri"/>
                <w:iCs/>
                <w:color w:val="FFFFFF"/>
                <w:sz w:val="16"/>
                <w:szCs w:val="16"/>
                <w:lang w:eastAsia="en-AU"/>
              </w:rPr>
              <w:t>estimate</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Taxes on employers’ payroll and labour force</w:t>
            </w:r>
          </w:p>
        </w:tc>
        <w:tc>
          <w:tcPr>
            <w:tcW w:w="850" w:type="dxa"/>
            <w:tcBorders>
              <w:top w:val="nil"/>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6 193</w:t>
            </w:r>
          </w:p>
        </w:tc>
        <w:tc>
          <w:tcPr>
            <w:tcW w:w="850" w:type="dxa"/>
            <w:tcBorders>
              <w:top w:val="nil"/>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6 327</w:t>
            </w:r>
          </w:p>
        </w:tc>
        <w:tc>
          <w:tcPr>
            <w:tcW w:w="850" w:type="dxa"/>
            <w:tcBorders>
              <w:top w:val="nil"/>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6 605</w:t>
            </w:r>
          </w:p>
        </w:tc>
        <w:tc>
          <w:tcPr>
            <w:tcW w:w="850" w:type="dxa"/>
            <w:tcBorders>
              <w:top w:val="nil"/>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6 903</w:t>
            </w:r>
          </w:p>
        </w:tc>
        <w:tc>
          <w:tcPr>
            <w:tcW w:w="850" w:type="dxa"/>
            <w:tcBorders>
              <w:top w:val="nil"/>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7 234</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Taxes on immovable property</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Land tax</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3 093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3 433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3 620</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3 696</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4 016</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Fire Services Property Levy</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642</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644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698</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719</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738</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Congestion levy</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122</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104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105</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105</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106</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Metropolitan improvement levy</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169</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169</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174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178</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182</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Total taxes on property</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4 026</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4 350</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4 597</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4 698</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5 042</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Gambling taxes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Public lotteries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418</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424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424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424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424</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Electronic gaming machines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1 119</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1 147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1 154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1 167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1 180</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Casino</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237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239</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247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254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261</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 xml:space="preserve">Racing and other sports betting </w:t>
            </w:r>
            <w:r w:rsidRPr="001E501A">
              <w:rPr>
                <w:rFonts w:eastAsiaTheme="minorEastAsia" w:cs="Calibri"/>
                <w:color w:val="000000"/>
                <w:sz w:val="16"/>
                <w:szCs w:val="16"/>
                <w:vertAlign w:val="superscript"/>
                <w:lang w:eastAsia="en-AU"/>
              </w:rPr>
              <w:t>(a)</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70</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106</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140</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143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147</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 xml:space="preserve">Other </w:t>
            </w:r>
            <w:r w:rsidRPr="001E501A">
              <w:rPr>
                <w:rFonts w:eastAsiaTheme="minorEastAsia" w:cs="Calibri"/>
                <w:color w:val="000000"/>
                <w:sz w:val="16"/>
                <w:szCs w:val="16"/>
                <w:vertAlign w:val="superscript"/>
                <w:lang w:eastAsia="en-AU"/>
              </w:rPr>
              <w:t>(a)</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32</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15</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Financial and capital transactions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Land transfer duty</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7 067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6 463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6 598</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6 863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7 171</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Metropolitan planning levy</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26</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25</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Financial accommodation levy</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174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170</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193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209</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222</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Growth areas infrastructure contributions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238</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287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300</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330</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369</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Levies on statutory corporations </w:t>
            </w:r>
            <w:r w:rsidRPr="001E501A">
              <w:rPr>
                <w:rFonts w:eastAsiaTheme="minorEastAsia" w:cs="Calibri"/>
                <w:b/>
                <w:bCs/>
                <w:color w:val="000000"/>
                <w:sz w:val="16"/>
                <w:szCs w:val="16"/>
                <w:vertAlign w:val="superscript"/>
                <w:lang w:eastAsia="en-AU"/>
              </w:rPr>
              <w:t>(b)</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157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157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157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Taxes on insurance</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1 367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1 400</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1 491</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1 582</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1 679</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Total taxes on the provision of goods and services</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10 904</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10 429</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10 739</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11 010</w:t>
            </w:r>
          </w:p>
        </w:tc>
        <w:tc>
          <w:tcPr>
            <w:tcW w:w="850" w:type="dxa"/>
            <w:tcBorders>
              <w:top w:val="single" w:sz="6" w:space="0" w:color="000000"/>
              <w:left w:val="nil"/>
              <w:bottom w:val="single" w:sz="6" w:space="0" w:color="000000"/>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11 493</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Motor vehicle taxes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 </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Vehicle registration fees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1 676</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1 701</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1 792</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1 869</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1 950</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color w:val="000000"/>
                <w:sz w:val="16"/>
                <w:szCs w:val="16"/>
                <w:lang w:eastAsia="en-AU"/>
              </w:rPr>
            </w:pPr>
            <w:r w:rsidRPr="001E501A">
              <w:rPr>
                <w:rFonts w:eastAsiaTheme="minorEastAsia" w:cs="Calibri"/>
                <w:color w:val="000000"/>
                <w:sz w:val="16"/>
                <w:szCs w:val="16"/>
                <w:lang w:eastAsia="en-AU"/>
              </w:rPr>
              <w:t>Duty on vehicle registrations and transfers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975</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977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1 012</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1 047</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1E501A">
              <w:rPr>
                <w:rFonts w:eastAsiaTheme="minorEastAsia" w:cs="Arial"/>
                <w:color w:val="000000"/>
                <w:sz w:val="16"/>
                <w:szCs w:val="16"/>
                <w:lang w:eastAsia="en-AU"/>
              </w:rPr>
              <w:t>1 084</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Liquor licence fees</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25</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25</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26</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Other</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283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283</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281</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284</w:t>
            </w:r>
          </w:p>
        </w:tc>
        <w:tc>
          <w:tcPr>
            <w:tcW w:w="850" w:type="dxa"/>
            <w:tcBorders>
              <w:top w:val="nil"/>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286</w:t>
            </w:r>
          </w:p>
        </w:tc>
      </w:tr>
      <w:tr w:rsidR="00B32D50" w:rsidRPr="001E501A"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B32D50" w:rsidRPr="001E501A" w:rsidRDefault="00B32D50" w:rsidP="00B607B3">
            <w:pPr>
              <w:keepLines w:val="0"/>
              <w:autoSpaceDE w:val="0"/>
              <w:autoSpaceDN w:val="0"/>
              <w:adjustRightInd w:val="0"/>
              <w:spacing w:after="0"/>
              <w:rPr>
                <w:rFonts w:eastAsiaTheme="minorEastAsia" w:cs="Calibri"/>
                <w:b/>
                <w:bCs/>
                <w:color w:val="000000"/>
                <w:sz w:val="16"/>
                <w:szCs w:val="16"/>
                <w:lang w:eastAsia="en-AU"/>
              </w:rPr>
            </w:pPr>
            <w:r w:rsidRPr="001E501A">
              <w:rPr>
                <w:rFonts w:eastAsiaTheme="minorEastAsia" w:cs="Calibri"/>
                <w:b/>
                <w:bCs/>
                <w:color w:val="000000"/>
                <w:sz w:val="16"/>
                <w:szCs w:val="16"/>
                <w:lang w:eastAsia="en-AU"/>
              </w:rPr>
              <w:t xml:space="preserve">Total taxes on the use of goods and performance </w:t>
            </w:r>
            <w:r>
              <w:rPr>
                <w:rFonts w:eastAsiaTheme="minorEastAsia" w:cs="Calibri"/>
                <w:b/>
                <w:bCs/>
                <w:color w:val="000000"/>
                <w:sz w:val="16"/>
                <w:szCs w:val="16"/>
                <w:lang w:eastAsia="en-AU"/>
              </w:rPr>
              <w:br/>
            </w:r>
            <w:r w:rsidRPr="001E501A">
              <w:rPr>
                <w:rFonts w:eastAsiaTheme="minorEastAsia" w:cs="Calibri"/>
                <w:b/>
                <w:bCs/>
                <w:color w:val="000000"/>
                <w:sz w:val="16"/>
                <w:szCs w:val="16"/>
                <w:lang w:eastAsia="en-AU"/>
              </w:rPr>
              <w:t>of activities</w:t>
            </w:r>
          </w:p>
        </w:tc>
        <w:tc>
          <w:tcPr>
            <w:tcW w:w="850" w:type="dxa"/>
            <w:tcBorders>
              <w:top w:val="single" w:sz="6" w:space="0" w:color="000000"/>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2 957</w:t>
            </w:r>
          </w:p>
        </w:tc>
        <w:tc>
          <w:tcPr>
            <w:tcW w:w="850" w:type="dxa"/>
            <w:tcBorders>
              <w:top w:val="single" w:sz="6" w:space="0" w:color="000000"/>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2 986</w:t>
            </w:r>
          </w:p>
        </w:tc>
        <w:tc>
          <w:tcPr>
            <w:tcW w:w="850" w:type="dxa"/>
            <w:tcBorders>
              <w:top w:val="single" w:sz="6" w:space="0" w:color="000000"/>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3 109</w:t>
            </w:r>
          </w:p>
        </w:tc>
        <w:tc>
          <w:tcPr>
            <w:tcW w:w="850" w:type="dxa"/>
            <w:tcBorders>
              <w:top w:val="single" w:sz="6" w:space="0" w:color="000000"/>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3 226</w:t>
            </w:r>
          </w:p>
        </w:tc>
        <w:tc>
          <w:tcPr>
            <w:tcW w:w="850" w:type="dxa"/>
            <w:tcBorders>
              <w:top w:val="single" w:sz="6" w:space="0" w:color="000000"/>
              <w:left w:val="nil"/>
              <w:bottom w:val="nil"/>
              <w:right w:val="nil"/>
            </w:tcBorders>
          </w:tcPr>
          <w:p w:rsidR="00B32D50" w:rsidRPr="001E501A" w:rsidRDefault="00B32D50" w:rsidP="00B607B3">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1E501A">
              <w:rPr>
                <w:rFonts w:eastAsiaTheme="minorEastAsia" w:cs="Arial"/>
                <w:b/>
                <w:bCs/>
                <w:color w:val="000000"/>
                <w:sz w:val="16"/>
                <w:szCs w:val="16"/>
                <w:lang w:eastAsia="en-AU"/>
              </w:rPr>
              <w:t>3 346</w:t>
            </w:r>
          </w:p>
        </w:tc>
      </w:tr>
      <w:tr w:rsidR="00B32D50" w:rsidRPr="001E501A"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1E501A" w:rsidRDefault="00B32D50" w:rsidP="00B607B3">
            <w:pPr>
              <w:keepLines w:val="0"/>
              <w:autoSpaceDE w:val="0"/>
              <w:autoSpaceDN w:val="0"/>
              <w:adjustRightInd w:val="0"/>
              <w:spacing w:after="0"/>
              <w:rPr>
                <w:rFonts w:eastAsiaTheme="minorEastAsia" w:cs="Calibri"/>
                <w:bCs/>
                <w:color w:val="000000"/>
                <w:sz w:val="16"/>
                <w:szCs w:val="16"/>
                <w:lang w:eastAsia="en-AU"/>
              </w:rPr>
            </w:pPr>
            <w:r w:rsidRPr="001E501A">
              <w:rPr>
                <w:rFonts w:eastAsiaTheme="minorEastAsia" w:cs="Calibri"/>
                <w:bCs/>
                <w:color w:val="000000"/>
                <w:sz w:val="16"/>
                <w:szCs w:val="16"/>
                <w:lang w:eastAsia="en-AU"/>
              </w:rPr>
              <w:t>Total taxation revenue</w:t>
            </w:r>
          </w:p>
        </w:tc>
        <w:tc>
          <w:tcPr>
            <w:tcW w:w="850" w:type="dxa"/>
            <w:tcBorders>
              <w:top w:val="single" w:sz="6" w:space="0" w:color="000000"/>
              <w:bottom w:val="single" w:sz="12" w:space="0" w:color="000000"/>
            </w:tcBorders>
          </w:tcPr>
          <w:p w:rsidR="00B32D50" w:rsidRPr="001E501A" w:rsidRDefault="00B32D50" w:rsidP="00B607B3">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 w:val="16"/>
                <w:szCs w:val="16"/>
                <w:lang w:eastAsia="en-AU"/>
              </w:rPr>
            </w:pPr>
            <w:r w:rsidRPr="001E501A">
              <w:rPr>
                <w:rFonts w:eastAsiaTheme="minorEastAsia" w:cs="Arial"/>
                <w:bCs/>
                <w:color w:val="000000"/>
                <w:sz w:val="16"/>
                <w:szCs w:val="16"/>
                <w:lang w:eastAsia="en-AU"/>
              </w:rPr>
              <w:t>24 081</w:t>
            </w:r>
          </w:p>
        </w:tc>
        <w:tc>
          <w:tcPr>
            <w:tcW w:w="850" w:type="dxa"/>
            <w:tcBorders>
              <w:top w:val="single" w:sz="6" w:space="0" w:color="000000"/>
              <w:bottom w:val="single" w:sz="12" w:space="0" w:color="000000"/>
            </w:tcBorders>
          </w:tcPr>
          <w:p w:rsidR="00B32D50" w:rsidRPr="001E501A" w:rsidRDefault="00B32D50" w:rsidP="00B607B3">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 w:val="16"/>
                <w:szCs w:val="16"/>
                <w:lang w:eastAsia="en-AU"/>
              </w:rPr>
            </w:pPr>
            <w:r w:rsidRPr="001E501A">
              <w:rPr>
                <w:rFonts w:eastAsiaTheme="minorEastAsia" w:cs="Arial"/>
                <w:bCs/>
                <w:color w:val="000000"/>
                <w:sz w:val="16"/>
                <w:szCs w:val="16"/>
                <w:lang w:eastAsia="en-AU"/>
              </w:rPr>
              <w:t>24 092</w:t>
            </w:r>
          </w:p>
        </w:tc>
        <w:tc>
          <w:tcPr>
            <w:tcW w:w="850" w:type="dxa"/>
            <w:tcBorders>
              <w:top w:val="single" w:sz="6" w:space="0" w:color="000000"/>
              <w:bottom w:val="single" w:sz="12" w:space="0" w:color="000000"/>
            </w:tcBorders>
          </w:tcPr>
          <w:p w:rsidR="00B32D50" w:rsidRPr="001E501A" w:rsidRDefault="00B32D50" w:rsidP="00B607B3">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 w:val="16"/>
                <w:szCs w:val="16"/>
                <w:lang w:eastAsia="en-AU"/>
              </w:rPr>
            </w:pPr>
            <w:r w:rsidRPr="001E501A">
              <w:rPr>
                <w:rFonts w:eastAsiaTheme="minorEastAsia" w:cs="Arial"/>
                <w:bCs/>
                <w:color w:val="000000"/>
                <w:sz w:val="16"/>
                <w:szCs w:val="16"/>
                <w:lang w:eastAsia="en-AU"/>
              </w:rPr>
              <w:t>25 050</w:t>
            </w:r>
          </w:p>
        </w:tc>
        <w:tc>
          <w:tcPr>
            <w:tcW w:w="850" w:type="dxa"/>
            <w:tcBorders>
              <w:top w:val="single" w:sz="6" w:space="0" w:color="000000"/>
              <w:bottom w:val="single" w:sz="12" w:space="0" w:color="000000"/>
            </w:tcBorders>
          </w:tcPr>
          <w:p w:rsidR="00B32D50" w:rsidRPr="001E501A" w:rsidRDefault="00B32D50" w:rsidP="00B607B3">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 w:val="16"/>
                <w:szCs w:val="16"/>
                <w:lang w:eastAsia="en-AU"/>
              </w:rPr>
            </w:pPr>
            <w:r w:rsidRPr="001E501A">
              <w:rPr>
                <w:rFonts w:eastAsiaTheme="minorEastAsia" w:cs="Arial"/>
                <w:bCs/>
                <w:color w:val="000000"/>
                <w:sz w:val="16"/>
                <w:szCs w:val="16"/>
                <w:lang w:eastAsia="en-AU"/>
              </w:rPr>
              <w:t>25 836</w:t>
            </w:r>
          </w:p>
        </w:tc>
        <w:tc>
          <w:tcPr>
            <w:tcW w:w="850" w:type="dxa"/>
            <w:tcBorders>
              <w:top w:val="single" w:sz="6" w:space="0" w:color="000000"/>
              <w:bottom w:val="single" w:sz="12" w:space="0" w:color="000000"/>
            </w:tcBorders>
          </w:tcPr>
          <w:p w:rsidR="00B32D50" w:rsidRPr="001E501A" w:rsidRDefault="00B32D50" w:rsidP="00B607B3">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 w:val="16"/>
                <w:szCs w:val="16"/>
                <w:lang w:eastAsia="en-AU"/>
              </w:rPr>
            </w:pPr>
            <w:r w:rsidRPr="001E501A">
              <w:rPr>
                <w:rFonts w:eastAsiaTheme="minorEastAsia" w:cs="Arial"/>
                <w:bCs/>
                <w:color w:val="000000"/>
                <w:sz w:val="16"/>
                <w:szCs w:val="16"/>
                <w:lang w:eastAsia="en-AU"/>
              </w:rPr>
              <w:t>27 116</w:t>
            </w:r>
          </w:p>
        </w:tc>
      </w:tr>
    </w:tbl>
    <w:p w:rsidR="00B32D50" w:rsidRDefault="00B32D50" w:rsidP="00F17BCD">
      <w:pPr>
        <w:pStyle w:val="Source"/>
      </w:pPr>
      <w:r w:rsidRPr="00D87D22">
        <w:t>Source: Department of Treasury and Finance</w:t>
      </w:r>
    </w:p>
    <w:p w:rsidR="00B32D50" w:rsidRDefault="00B32D50" w:rsidP="00F17BCD">
      <w:pPr>
        <w:pStyle w:val="Note"/>
      </w:pPr>
      <w:r w:rsidRPr="00D87D22">
        <w:t>Note</w:t>
      </w:r>
      <w:r>
        <w:t>s</w:t>
      </w:r>
      <w:r w:rsidRPr="00D87D22">
        <w:t>:</w:t>
      </w:r>
    </w:p>
    <w:p w:rsidR="00B32D50" w:rsidRDefault="00B32D50" w:rsidP="00F17BCD">
      <w:pPr>
        <w:pStyle w:val="Note"/>
      </w:pPr>
      <w:r>
        <w:t>(a)</w:t>
      </w:r>
      <w:r>
        <w:tab/>
        <w:t>The decline in other</w:t>
      </w:r>
      <w:r w:rsidRPr="00BE7B58">
        <w:t xml:space="preserve"> gambling taxes reflects a </w:t>
      </w:r>
      <w:r>
        <w:t>reclassification of Tabcorp sports betting to racing and other sports betting</w:t>
      </w:r>
      <w:r w:rsidRPr="00BE7B58">
        <w:t xml:space="preserve"> </w:t>
      </w:r>
      <w:r>
        <w:t>following</w:t>
      </w:r>
      <w:r w:rsidRPr="00BE7B58">
        <w:t xml:space="preserve"> the introduction of a point of consumption tax.</w:t>
      </w:r>
    </w:p>
    <w:p w:rsidR="00B32D50" w:rsidRDefault="00B32D50" w:rsidP="00F17BCD">
      <w:pPr>
        <w:pStyle w:val="Note"/>
      </w:pPr>
      <w:r>
        <w:t>(b</w:t>
      </w:r>
      <w:r w:rsidRPr="00DC10C3">
        <w:t xml:space="preserve">) </w:t>
      </w:r>
      <w:r>
        <w:tab/>
      </w:r>
      <w:r w:rsidRPr="00DC10C3">
        <w:t xml:space="preserve">The fourth tranche of </w:t>
      </w:r>
      <w:r>
        <w:t xml:space="preserve">the </w:t>
      </w:r>
      <w:r w:rsidRPr="00DC10C3">
        <w:t xml:space="preserve">environmental contribution levy commenced on 1 July 2016 for a period of four years concluding </w:t>
      </w:r>
      <w:r>
        <w:t>on 30 June </w:t>
      </w:r>
      <w:r w:rsidRPr="00DC10C3">
        <w:t>2020.</w:t>
      </w: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35" w:name="_Toc528247403"/>
      <w:r w:rsidRPr="004E4D8E">
        <w:lastRenderedPageBreak/>
        <w:t>Dividends</w:t>
      </w:r>
      <w:r>
        <w:t xml:space="preserve">, </w:t>
      </w:r>
      <w:r w:rsidRPr="00AA281B">
        <w:t>income</w:t>
      </w:r>
      <w:r>
        <w:t xml:space="preserve"> tax </w:t>
      </w:r>
      <w:r w:rsidRPr="007C6C55">
        <w:t>equivalent</w:t>
      </w:r>
      <w:r>
        <w:t xml:space="preserve"> and rate equivalent revenue</w:t>
      </w:r>
      <w:r>
        <w:tab/>
        <w:t>($ million)</w:t>
      </w:r>
      <w:bookmarkEnd w:id="35"/>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996573" w:rsidRPr="00BC4D8D" w:rsidTr="00642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996573" w:rsidRPr="00BC4D8D" w:rsidRDefault="00996573" w:rsidP="00F17BCD">
            <w:pPr>
              <w:autoSpaceDE w:val="0"/>
              <w:autoSpaceDN w:val="0"/>
              <w:adjustRightInd w:val="0"/>
              <w:rPr>
                <w:rFonts w:eastAsiaTheme="minorEastAsia" w:cs="Calibri"/>
                <w:i w:val="0"/>
                <w:iCs/>
                <w:color w:val="FFFFFF"/>
                <w:lang w:eastAsia="en-AU"/>
              </w:rPr>
            </w:pPr>
            <w:r w:rsidRPr="00BC4D8D">
              <w:rPr>
                <w:rFonts w:eastAsiaTheme="minorEastAsia" w:cs="Calibri"/>
                <w:iCs/>
                <w:color w:val="FFFFFF"/>
                <w:lang w:eastAsia="en-AU"/>
              </w:rPr>
              <w:t xml:space="preserve"> </w:t>
            </w:r>
          </w:p>
          <w:p w:rsidR="00996573" w:rsidRPr="00BC4D8D" w:rsidRDefault="00996573"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Dividends from PFC sector</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Dividends from PNFC sector</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Dividends from non-public sector</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107</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109</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Dividends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794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356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355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348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Income tax equivalent revenue from PFC sector</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Income tax equivalent revenue from PNFC sector</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186</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197</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197</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192</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Income tax equivalent revenue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Local government rate equivalent revenue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dividends, income tax equivalent and rate equivalent revenue</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922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1 103</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582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596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567</w:t>
            </w:r>
          </w:p>
        </w:tc>
      </w:tr>
    </w:tbl>
    <w:p w:rsidR="00B32D50" w:rsidRPr="00D87D22" w:rsidRDefault="00B32D50" w:rsidP="00F17BCD">
      <w:pPr>
        <w:pStyle w:val="Source"/>
      </w:pPr>
      <w:r w:rsidRPr="00D87D22">
        <w:t>Source: Department of Treasury and Finance</w:t>
      </w:r>
    </w:p>
    <w:p w:rsidR="00B32D50" w:rsidRDefault="00B32D50" w:rsidP="00F17BCD"/>
    <w:p w:rsidR="00B32D50" w:rsidRPr="00BC4D8D" w:rsidRDefault="00B32D50" w:rsidP="00F17BCD">
      <w:pPr>
        <w:pStyle w:val="TableHeading"/>
        <w:rPr>
          <w:bCs/>
          <w:lang w:val="en-US"/>
        </w:rPr>
      </w:pPr>
      <w:r w:rsidRPr="004E4D8E">
        <w:t xml:space="preserve">Dividends by entity </w:t>
      </w:r>
      <w:r w:rsidRPr="004E4D8E">
        <w:rPr>
          <w:vertAlign w:val="superscript"/>
        </w:rPr>
        <w:t>(a)</w:t>
      </w:r>
      <w:r w:rsidRPr="004E4D8E">
        <w:tab/>
      </w:r>
      <w:r w:rsidRPr="008C4F9A">
        <w:t>($ million)</w:t>
      </w:r>
    </w:p>
    <w:tbl>
      <w:tblPr>
        <w:tblStyle w:val="DTFTable"/>
        <w:tblW w:w="7764" w:type="dxa"/>
        <w:tblInd w:w="45" w:type="dxa"/>
        <w:tblLayout w:type="fixed"/>
        <w:tblCellMar>
          <w:left w:w="45" w:type="dxa"/>
          <w:right w:w="45" w:type="dxa"/>
        </w:tblCellMar>
        <w:tblLook w:val="06E0" w:firstRow="1" w:lastRow="1" w:firstColumn="1" w:lastColumn="0" w:noHBand="1" w:noVBand="1"/>
      </w:tblPr>
      <w:tblGrid>
        <w:gridCol w:w="3514"/>
        <w:gridCol w:w="850"/>
        <w:gridCol w:w="850"/>
        <w:gridCol w:w="850"/>
        <w:gridCol w:w="850"/>
        <w:gridCol w:w="850"/>
      </w:tblGrid>
      <w:tr w:rsidR="00996573" w:rsidRPr="00BC4D8D" w:rsidTr="00642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4" w:type="dxa"/>
            <w:tcBorders>
              <w:top w:val="nil"/>
              <w:left w:val="nil"/>
              <w:right w:val="nil"/>
            </w:tcBorders>
            <w:shd w:val="solid" w:color="000000" w:fill="auto"/>
          </w:tcPr>
          <w:p w:rsidR="00996573" w:rsidRPr="00BC4D8D" w:rsidRDefault="00996573" w:rsidP="00F17BCD">
            <w:pPr>
              <w:autoSpaceDE w:val="0"/>
              <w:autoSpaceDN w:val="0"/>
              <w:adjustRightInd w:val="0"/>
              <w:rPr>
                <w:rFonts w:eastAsiaTheme="minorEastAsia" w:cs="Calibri"/>
                <w:i w:val="0"/>
                <w:iCs/>
                <w:color w:val="FFFFFF"/>
                <w:lang w:eastAsia="en-AU"/>
              </w:rPr>
            </w:pPr>
            <w:r w:rsidRPr="00BC4D8D">
              <w:rPr>
                <w:rFonts w:eastAsiaTheme="minorEastAsia" w:cs="Calibri"/>
                <w:iCs/>
                <w:color w:val="FFFFFF"/>
                <w:lang w:eastAsia="en-AU"/>
              </w:rPr>
              <w:t xml:space="preserve"> </w:t>
            </w:r>
          </w:p>
          <w:p w:rsidR="00996573" w:rsidRPr="00BC4D8D" w:rsidRDefault="00996573"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Public financial corporations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Victorian Managed Insurance Authority </w:t>
            </w:r>
            <w:r w:rsidRPr="00BC4D8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Treasury Corporation of Victoria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State Trustees Ltd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Victorian Funds Management Corporation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WorkSafe Victoria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Dividends from PFC sector</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507</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511</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65</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81</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96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Public non-financial corporations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City West Water Corporation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Melbourne Water Corporation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South East Water Corporation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Yarra Valley Water Corporation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Development Victoria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4"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Dividends from PNFC sector</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160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205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183</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165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141</w:t>
            </w:r>
          </w:p>
        </w:tc>
      </w:tr>
    </w:tbl>
    <w:p w:rsidR="00B32D50" w:rsidRPr="00D87D22" w:rsidRDefault="00B32D50" w:rsidP="00F17BCD">
      <w:pPr>
        <w:pStyle w:val="Source"/>
      </w:pPr>
      <w:r w:rsidRPr="00D87D22">
        <w:t>Source: Department of Treasury and Finance</w:t>
      </w:r>
    </w:p>
    <w:p w:rsidR="00B32D50" w:rsidRDefault="00B32D50" w:rsidP="00F17BCD">
      <w:pPr>
        <w:pStyle w:val="Note"/>
      </w:pPr>
      <w:r>
        <w:t>Notes:</w:t>
      </w:r>
    </w:p>
    <w:p w:rsidR="00B32D50" w:rsidRDefault="00B32D50" w:rsidP="00F17BCD">
      <w:pPr>
        <w:pStyle w:val="Note"/>
      </w:pPr>
      <w:r>
        <w:t>(a)</w:t>
      </w:r>
      <w:r>
        <w:tab/>
        <w:t>‘Amounts equivalent to dividends’ to be paid by the Tran</w:t>
      </w:r>
      <w:r w:rsidRPr="00BC081A">
        <w:t xml:space="preserve">sport Accident Commission </w:t>
      </w:r>
      <w:r>
        <w:t xml:space="preserve">are received and reported as contributions forming part of grant revenue, consistent with the requirements of </w:t>
      </w:r>
      <w:r w:rsidRPr="008A5B5D">
        <w:rPr>
          <w:i w:val="0"/>
        </w:rPr>
        <w:t>AASB 1023 General Insurance Contracts</w:t>
      </w:r>
      <w:r>
        <w:rPr>
          <w:i w:val="0"/>
        </w:rPr>
        <w:t xml:space="preserve"> (AASB 1023). </w:t>
      </w:r>
      <w:r>
        <w:t xml:space="preserve">The amounts forecast to be </w:t>
      </w:r>
      <w:r w:rsidRPr="00235102">
        <w:t>paid are $586 million in 2018-19, $383 million in 2019-20, $407 million in 2020-21 and $500 million in 2021-22.</w:t>
      </w:r>
    </w:p>
    <w:p w:rsidR="00B32D50" w:rsidRDefault="00B32D50" w:rsidP="00F17BCD">
      <w:pPr>
        <w:pStyle w:val="Note"/>
      </w:pPr>
      <w:r>
        <w:t>(b)</w:t>
      </w:r>
      <w:r>
        <w:tab/>
        <w:t xml:space="preserve">The 2018-19 amount includes a </w:t>
      </w:r>
      <w:r w:rsidRPr="00616507">
        <w:t xml:space="preserve">Victorian Managed Insurance Authority </w:t>
      </w:r>
      <w:r>
        <w:t>dividend deferred from 2017-18.</w:t>
      </w:r>
    </w:p>
    <w:p w:rsidR="00B32D50" w:rsidRDefault="00B32D50" w:rsidP="00F17BCD"/>
    <w:p w:rsidR="00B32D50" w:rsidRDefault="00B32D50">
      <w:pPr>
        <w:keepLines w:val="0"/>
        <w:rPr>
          <w:rFonts w:asciiTheme="majorHAnsi" w:eastAsiaTheme="majorEastAsia" w:hAnsiTheme="majorHAnsi" w:cstheme="majorBidi"/>
          <w:b/>
          <w:bCs/>
          <w:spacing w:val="-2"/>
          <w:szCs w:val="26"/>
        </w:rPr>
      </w:pPr>
      <w:r>
        <w:br w:type="page"/>
      </w: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36" w:name="_Toc528247404"/>
      <w:r w:rsidRPr="004E4D8E">
        <w:lastRenderedPageBreak/>
        <w:t>Sales of goods and services</w:t>
      </w:r>
      <w:r w:rsidRPr="004E4D8E">
        <w:tab/>
        <w:t>($ million)</w:t>
      </w:r>
      <w:bookmarkEnd w:id="36"/>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996573" w:rsidRPr="00BC4D8D" w:rsidTr="009965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996573" w:rsidRPr="00BC4D8D" w:rsidRDefault="00996573" w:rsidP="00996573">
            <w:pPr>
              <w:autoSpaceDE w:val="0"/>
              <w:autoSpaceDN w:val="0"/>
              <w:adjustRightInd w:val="0"/>
              <w:rPr>
                <w:rFonts w:eastAsiaTheme="minorEastAsia" w:cs="Calibri"/>
                <w:iCs/>
                <w:color w:val="FFFFFF"/>
                <w:lang w:eastAsia="en-AU"/>
              </w:rPr>
            </w:pPr>
            <w:r>
              <w:rPr>
                <w:rFonts w:eastAsiaTheme="minorEastAsia" w:cs="Calibri"/>
                <w:iCs/>
                <w:color w:val="FFFFFF"/>
                <w:szCs w:val="16"/>
                <w:lang w:eastAsia="en-AU"/>
              </w:rPr>
              <w:t xml:space="preserve"> </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Motor vehicle regulatory fees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266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300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regulatory fees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566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Sale of goods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89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89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99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Provision of services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4 342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4 387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5 080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5 276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5 258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Rental</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78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82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82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84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Refunds and reimbursements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Pr>
                <w:rFonts w:eastAsiaTheme="minorEastAsia" w:cs="Arial"/>
                <w:color w:val="000000"/>
                <w:szCs w:val="14"/>
                <w:lang w:eastAsia="en-AU"/>
              </w:rPr>
              <w:t>11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Inter-sector capital asset charge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2 257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2 257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2 371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2 395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4"/>
                <w:lang w:eastAsia="en-AU"/>
              </w:rPr>
            </w:pPr>
            <w:r w:rsidRPr="00BC4D8D">
              <w:rPr>
                <w:rFonts w:eastAsiaTheme="minorEastAsia" w:cs="Arial"/>
                <w:color w:val="000000"/>
                <w:szCs w:val="14"/>
                <w:lang w:eastAsia="en-AU"/>
              </w:rPr>
              <w:t>2 408</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sales of goods and services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4"/>
                <w:lang w:eastAsia="en-AU"/>
              </w:rPr>
            </w:pPr>
            <w:r w:rsidRPr="00BC4D8D">
              <w:rPr>
                <w:rFonts w:eastAsiaTheme="minorEastAsia" w:cs="Arial"/>
                <w:bCs/>
                <w:color w:val="000000"/>
                <w:szCs w:val="14"/>
                <w:lang w:eastAsia="en-AU"/>
              </w:rPr>
              <w:t>7 541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4"/>
                <w:lang w:eastAsia="en-AU"/>
              </w:rPr>
            </w:pPr>
            <w:r w:rsidRPr="00BC4D8D">
              <w:rPr>
                <w:rFonts w:eastAsiaTheme="minorEastAsia" w:cs="Arial"/>
                <w:bCs/>
                <w:color w:val="000000"/>
                <w:szCs w:val="14"/>
                <w:lang w:eastAsia="en-AU"/>
              </w:rPr>
              <w:t>7 594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4"/>
                <w:lang w:eastAsia="en-AU"/>
              </w:rPr>
            </w:pPr>
            <w:r w:rsidRPr="00BC4D8D">
              <w:rPr>
                <w:rFonts w:eastAsiaTheme="minorEastAsia" w:cs="Arial"/>
                <w:bCs/>
                <w:color w:val="000000"/>
                <w:szCs w:val="14"/>
                <w:lang w:eastAsia="en-AU"/>
              </w:rPr>
              <w:t>8 417</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4"/>
                <w:lang w:eastAsia="en-AU"/>
              </w:rPr>
            </w:pPr>
            <w:r w:rsidRPr="00BC4D8D">
              <w:rPr>
                <w:rFonts w:eastAsiaTheme="minorEastAsia" w:cs="Arial"/>
                <w:bCs/>
                <w:color w:val="000000"/>
                <w:szCs w:val="14"/>
                <w:lang w:eastAsia="en-AU"/>
              </w:rPr>
              <w:t>8 685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4"/>
                <w:lang w:eastAsia="en-AU"/>
              </w:rPr>
            </w:pPr>
            <w:r w:rsidRPr="00BC4D8D">
              <w:rPr>
                <w:rFonts w:eastAsiaTheme="minorEastAsia" w:cs="Arial"/>
                <w:bCs/>
                <w:color w:val="000000"/>
                <w:szCs w:val="14"/>
                <w:lang w:eastAsia="en-AU"/>
              </w:rPr>
              <w:t>8 726</w:t>
            </w:r>
          </w:p>
        </w:tc>
      </w:tr>
    </w:tbl>
    <w:p w:rsidR="00B32D50" w:rsidRDefault="00B32D50" w:rsidP="00F17BCD">
      <w:pPr>
        <w:pStyle w:val="Source"/>
      </w:pPr>
      <w:r w:rsidRPr="00D87D22">
        <w:t>Source: Department of Treasury and Finance</w:t>
      </w:r>
    </w:p>
    <w:p w:rsidR="00B32D50" w:rsidRPr="00875AC9" w:rsidRDefault="00B32D50" w:rsidP="00F17BCD">
      <w:pPr>
        <w:rPr>
          <w:lang w:val="en-US"/>
        </w:rPr>
      </w:pP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37" w:name="_Toc528247405"/>
      <w:r w:rsidRPr="004E4D8E">
        <w:t>Grant revenue</w:t>
      </w:r>
      <w:r w:rsidRPr="004E4D8E">
        <w:tab/>
        <w:t>($ million)</w:t>
      </w:r>
      <w:bookmarkEnd w:id="37"/>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996573" w:rsidRPr="00BC4D8D" w:rsidTr="009965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996573" w:rsidRPr="00BC4D8D" w:rsidRDefault="00996573" w:rsidP="00996573">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General purpose grants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16 881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16 853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17 958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18 639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19 160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Specific purpose grants for on-passing</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3 997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3 703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4 220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4 462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4 717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Grants for specific purposes</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11 847</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11 952</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10 718</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10 953</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11 387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32 725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32 508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32 897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34 054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35 264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contributions and grants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733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1 006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801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678</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grant revenue</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33 458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33 515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33 697</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34 686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35 942</w:t>
            </w:r>
          </w:p>
        </w:tc>
      </w:tr>
    </w:tbl>
    <w:p w:rsidR="00B32D50" w:rsidRDefault="00B32D50" w:rsidP="00F17BCD">
      <w:pPr>
        <w:pStyle w:val="Source"/>
      </w:pPr>
      <w:r>
        <w:t>S</w:t>
      </w:r>
      <w:r w:rsidRPr="00D87D22">
        <w:t>ource: Department of Treasury and Finance</w:t>
      </w:r>
    </w:p>
    <w:p w:rsidR="00B32D50" w:rsidRDefault="00B32D50" w:rsidP="00F17BCD"/>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38" w:name="_Toc528247406"/>
      <w:r w:rsidRPr="004E4D8E">
        <w:t>Other revenue</w:t>
      </w:r>
      <w:r w:rsidRPr="004E4D8E">
        <w:tab/>
        <w:t>($ million)</w:t>
      </w:r>
      <w:bookmarkEnd w:id="38"/>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996573" w:rsidRPr="00BC4D8D" w:rsidTr="009965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996573" w:rsidRPr="00BC4D8D" w:rsidRDefault="00996573" w:rsidP="0064222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996573" w:rsidRPr="00BC4D8D" w:rsidRDefault="00996573" w:rsidP="00996573">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Fair value of assets received free of charge or for nominal consideration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Fines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857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Royalties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Donations and gifts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non-property rental</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revenue – Education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692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revenue – Health</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miscellaneous revenue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570</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other revenue</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2 622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2 636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2 594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2 656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2 714</w:t>
            </w:r>
          </w:p>
        </w:tc>
      </w:tr>
    </w:tbl>
    <w:p w:rsidR="00B32D50" w:rsidRDefault="00B32D50" w:rsidP="00F17BCD">
      <w:pPr>
        <w:pStyle w:val="Source"/>
      </w:pPr>
      <w:r w:rsidRPr="00D87D22">
        <w:t>Source: Department of Treasury and Finance</w:t>
      </w:r>
    </w:p>
    <w:p w:rsidR="00B32D50" w:rsidRDefault="00B32D50">
      <w:pPr>
        <w:keepLines w:val="0"/>
      </w:pPr>
    </w:p>
    <w:bookmarkEnd w:id="34"/>
    <w:p w:rsidR="00B32D50" w:rsidRDefault="00B32D50">
      <w:pPr>
        <w:keepLines w:val="0"/>
      </w:pPr>
      <w:r>
        <w:br w:type="page"/>
      </w:r>
    </w:p>
    <w:p w:rsidR="00B32D50" w:rsidRDefault="00B32D50" w:rsidP="00B32D50">
      <w:pPr>
        <w:pStyle w:val="Heading2"/>
        <w:numPr>
          <w:ilvl w:val="1"/>
          <w:numId w:val="21"/>
        </w:numPr>
        <w:sectPr w:rsidR="00B32D50" w:rsidSect="00F17BCD">
          <w:headerReference w:type="even" r:id="rId48"/>
          <w:headerReference w:type="default" r:id="rId49"/>
          <w:footerReference w:type="even" r:id="rId50"/>
          <w:headerReference w:type="first" r:id="rId51"/>
          <w:footerReference w:type="first" r:id="rId52"/>
          <w:type w:val="continuous"/>
          <w:pgSz w:w="9979" w:h="14175" w:code="9"/>
          <w:pgMar w:top="850" w:right="1134" w:bottom="850" w:left="1134" w:header="624" w:footer="567" w:gutter="0"/>
          <w:cols w:sep="1" w:space="567"/>
          <w:titlePg/>
          <w:docGrid w:linePitch="360"/>
        </w:sectPr>
      </w:pPr>
      <w:r>
        <w:lastRenderedPageBreak/>
        <w:t>HOW FUNDS ARE SPENT</w:t>
      </w:r>
    </w:p>
    <w:p w:rsidR="00B32D50" w:rsidRPr="004E4D8E" w:rsidRDefault="00B32D50" w:rsidP="00B607B3">
      <w:pPr>
        <w:pStyle w:val="Heading30"/>
        <w:pBdr>
          <w:bottom w:val="single" w:sz="6" w:space="1" w:color="auto"/>
        </w:pBdr>
      </w:pPr>
      <w:r w:rsidRPr="004E4D8E">
        <w:t>Introduction</w:t>
      </w:r>
    </w:p>
    <w:p w:rsidR="00B32D50" w:rsidRDefault="00B32D50" w:rsidP="00F17BCD">
      <w:r w:rsidRPr="006422C6">
        <w:t>This section details the major components of forecast expenditure for the general government sector’s operating activities (expenses from transactions) and capital or infrastructure projects during the year, as well as any related obligations.</w:t>
      </w:r>
    </w:p>
    <w:p w:rsidR="00B32D50" w:rsidRPr="004E4D8E" w:rsidRDefault="00B32D50" w:rsidP="00B607B3">
      <w:pPr>
        <w:pStyle w:val="Heading30"/>
        <w:pBdr>
          <w:bottom w:val="single" w:sz="6" w:space="1" w:color="auto"/>
        </w:pBdr>
      </w:pPr>
      <w:r>
        <w:br w:type="column"/>
      </w:r>
      <w:r w:rsidRPr="004E4D8E">
        <w:t>Structure</w:t>
      </w:r>
    </w:p>
    <w:p w:rsidR="00B32D50" w:rsidRDefault="00B32D50">
      <w:pPr>
        <w:pStyle w:val="TOC9"/>
        <w:rPr>
          <w:rFonts w:eastAsiaTheme="minorEastAsia"/>
          <w:noProof/>
          <w:spacing w:val="0"/>
          <w:lang w:eastAsia="en-AU"/>
        </w:rPr>
      </w:pPr>
      <w:r>
        <w:fldChar w:fldCharType="begin"/>
      </w:r>
      <w:r>
        <w:instrText xml:space="preserve"> TOC \h \z \t "Heading 3 (#),9" \b Section_3 \* MERGEFORMAT </w:instrText>
      </w:r>
      <w:r>
        <w:fldChar w:fldCharType="separate"/>
      </w:r>
      <w:hyperlink w:anchor="_Toc528247442" w:history="1">
        <w:r w:rsidRPr="009460DD">
          <w:rPr>
            <w:rStyle w:val="Hyperlink"/>
            <w:noProof/>
          </w:rPr>
          <w:t>3.3.1</w:t>
        </w:r>
        <w:r>
          <w:rPr>
            <w:rFonts w:eastAsiaTheme="minorEastAsia"/>
            <w:noProof/>
            <w:spacing w:val="0"/>
            <w:lang w:eastAsia="en-AU"/>
          </w:rPr>
          <w:tab/>
        </w:r>
        <w:r w:rsidRPr="009460DD">
          <w:rPr>
            <w:rStyle w:val="Hyperlink"/>
            <w:noProof/>
          </w:rPr>
          <w:t>Employee expenses and provision for outstanding employee benefits</w:t>
        </w:r>
        <w:r>
          <w:rPr>
            <w:noProof/>
            <w:webHidden/>
          </w:rPr>
          <w:tab/>
        </w:r>
        <w:r>
          <w:rPr>
            <w:noProof/>
            <w:webHidden/>
          </w:rPr>
          <w:fldChar w:fldCharType="begin"/>
        </w:r>
        <w:r>
          <w:rPr>
            <w:noProof/>
            <w:webHidden/>
          </w:rPr>
          <w:instrText xml:space="preserve"> PAGEREF _Toc528247442 \h </w:instrText>
        </w:r>
        <w:r>
          <w:rPr>
            <w:noProof/>
            <w:webHidden/>
          </w:rPr>
        </w:r>
        <w:r>
          <w:rPr>
            <w:noProof/>
            <w:webHidden/>
          </w:rPr>
          <w:fldChar w:fldCharType="separate"/>
        </w:r>
        <w:r w:rsidR="00132FE0">
          <w:rPr>
            <w:noProof/>
            <w:webHidden/>
          </w:rPr>
          <w:t>40</w:t>
        </w:r>
        <w:r>
          <w:rPr>
            <w:noProof/>
            <w:webHidden/>
          </w:rPr>
          <w:fldChar w:fldCharType="end"/>
        </w:r>
      </w:hyperlink>
    </w:p>
    <w:p w:rsidR="00B32D50" w:rsidRDefault="00132FE0">
      <w:pPr>
        <w:pStyle w:val="TOC9"/>
        <w:rPr>
          <w:rFonts w:eastAsiaTheme="minorEastAsia"/>
          <w:noProof/>
          <w:spacing w:val="0"/>
          <w:lang w:eastAsia="en-AU"/>
        </w:rPr>
      </w:pPr>
      <w:hyperlink w:anchor="_Toc528247443" w:history="1">
        <w:r w:rsidR="00B32D50" w:rsidRPr="009460DD">
          <w:rPr>
            <w:rStyle w:val="Hyperlink"/>
            <w:noProof/>
          </w:rPr>
          <w:t>3.3.2</w:t>
        </w:r>
        <w:r w:rsidR="00B32D50">
          <w:rPr>
            <w:rFonts w:eastAsiaTheme="minorEastAsia"/>
            <w:noProof/>
            <w:spacing w:val="0"/>
            <w:lang w:eastAsia="en-AU"/>
          </w:rPr>
          <w:tab/>
        </w:r>
        <w:r w:rsidR="00B32D50" w:rsidRPr="009460DD">
          <w:rPr>
            <w:rStyle w:val="Hyperlink"/>
            <w:noProof/>
          </w:rPr>
          <w:t>Superannuation expense and other superannuation expenses</w:t>
        </w:r>
        <w:r w:rsidR="00B32D50">
          <w:rPr>
            <w:noProof/>
            <w:webHidden/>
          </w:rPr>
          <w:tab/>
        </w:r>
        <w:r w:rsidR="00B32D50">
          <w:rPr>
            <w:noProof/>
            <w:webHidden/>
          </w:rPr>
          <w:fldChar w:fldCharType="begin"/>
        </w:r>
        <w:r w:rsidR="00B32D50">
          <w:rPr>
            <w:noProof/>
            <w:webHidden/>
          </w:rPr>
          <w:instrText xml:space="preserve"> PAGEREF _Toc528247443 \h </w:instrText>
        </w:r>
        <w:r w:rsidR="00B32D50">
          <w:rPr>
            <w:noProof/>
            <w:webHidden/>
          </w:rPr>
        </w:r>
        <w:r w:rsidR="00B32D50">
          <w:rPr>
            <w:noProof/>
            <w:webHidden/>
          </w:rPr>
          <w:fldChar w:fldCharType="separate"/>
        </w:r>
        <w:r>
          <w:rPr>
            <w:noProof/>
            <w:webHidden/>
          </w:rPr>
          <w:t>41</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44" w:history="1">
        <w:r w:rsidR="00B32D50" w:rsidRPr="009460DD">
          <w:rPr>
            <w:rStyle w:val="Hyperlink"/>
            <w:noProof/>
            <w:lang w:val="en-US"/>
          </w:rPr>
          <w:t>3.3.3</w:t>
        </w:r>
        <w:r w:rsidR="00B32D50">
          <w:rPr>
            <w:rFonts w:eastAsiaTheme="minorEastAsia"/>
            <w:noProof/>
            <w:spacing w:val="0"/>
            <w:lang w:eastAsia="en-AU"/>
          </w:rPr>
          <w:tab/>
        </w:r>
        <w:r w:rsidR="00B32D50" w:rsidRPr="009460DD">
          <w:rPr>
            <w:rStyle w:val="Hyperlink"/>
            <w:noProof/>
          </w:rPr>
          <w:t>Grant expense</w:t>
        </w:r>
        <w:r w:rsidR="00B32D50">
          <w:rPr>
            <w:noProof/>
            <w:webHidden/>
          </w:rPr>
          <w:tab/>
        </w:r>
        <w:r w:rsidR="00B32D50">
          <w:rPr>
            <w:noProof/>
            <w:webHidden/>
          </w:rPr>
          <w:fldChar w:fldCharType="begin"/>
        </w:r>
        <w:r w:rsidR="00B32D50">
          <w:rPr>
            <w:noProof/>
            <w:webHidden/>
          </w:rPr>
          <w:instrText xml:space="preserve"> PAGEREF _Toc528247444 \h </w:instrText>
        </w:r>
        <w:r w:rsidR="00B32D50">
          <w:rPr>
            <w:noProof/>
            <w:webHidden/>
          </w:rPr>
        </w:r>
        <w:r w:rsidR="00B32D50">
          <w:rPr>
            <w:noProof/>
            <w:webHidden/>
          </w:rPr>
          <w:fldChar w:fldCharType="separate"/>
        </w:r>
        <w:r>
          <w:rPr>
            <w:noProof/>
            <w:webHidden/>
          </w:rPr>
          <w:t>42</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45" w:history="1">
        <w:r w:rsidR="00B32D50" w:rsidRPr="009460DD">
          <w:rPr>
            <w:rStyle w:val="Hyperlink"/>
            <w:noProof/>
            <w:lang w:val="en-US"/>
          </w:rPr>
          <w:t>3.3.4</w:t>
        </w:r>
        <w:r w:rsidR="00B32D50">
          <w:rPr>
            <w:rFonts w:eastAsiaTheme="minorEastAsia"/>
            <w:noProof/>
            <w:spacing w:val="0"/>
            <w:lang w:eastAsia="en-AU"/>
          </w:rPr>
          <w:tab/>
        </w:r>
        <w:r w:rsidR="00B32D50" w:rsidRPr="009460DD">
          <w:rPr>
            <w:rStyle w:val="Hyperlink"/>
            <w:noProof/>
          </w:rPr>
          <w:t>Other operating expenses</w:t>
        </w:r>
        <w:r w:rsidR="00B32D50">
          <w:rPr>
            <w:noProof/>
            <w:webHidden/>
          </w:rPr>
          <w:tab/>
        </w:r>
        <w:r w:rsidR="00B32D50">
          <w:rPr>
            <w:noProof/>
            <w:webHidden/>
          </w:rPr>
          <w:fldChar w:fldCharType="begin"/>
        </w:r>
        <w:r w:rsidR="00B32D50">
          <w:rPr>
            <w:noProof/>
            <w:webHidden/>
          </w:rPr>
          <w:instrText xml:space="preserve"> PAGEREF _Toc528247445 \h </w:instrText>
        </w:r>
        <w:r w:rsidR="00B32D50">
          <w:rPr>
            <w:noProof/>
            <w:webHidden/>
          </w:rPr>
        </w:r>
        <w:r w:rsidR="00B32D50">
          <w:rPr>
            <w:noProof/>
            <w:webHidden/>
          </w:rPr>
          <w:fldChar w:fldCharType="separate"/>
        </w:r>
        <w:r>
          <w:rPr>
            <w:noProof/>
            <w:webHidden/>
          </w:rPr>
          <w:t>43</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46" w:history="1">
        <w:r w:rsidR="00B32D50" w:rsidRPr="009460DD">
          <w:rPr>
            <w:rStyle w:val="Hyperlink"/>
            <w:noProof/>
          </w:rPr>
          <w:t>3.3.5</w:t>
        </w:r>
        <w:r w:rsidR="00B32D50">
          <w:rPr>
            <w:rFonts w:eastAsiaTheme="minorEastAsia"/>
            <w:noProof/>
            <w:spacing w:val="0"/>
            <w:lang w:eastAsia="en-AU"/>
          </w:rPr>
          <w:tab/>
        </w:r>
        <w:r w:rsidR="00B32D50" w:rsidRPr="009460DD">
          <w:rPr>
            <w:rStyle w:val="Hyperlink"/>
            <w:noProof/>
          </w:rPr>
          <w:t>Total expenses by classification of the functions of government and by portfolio department</w:t>
        </w:r>
        <w:r w:rsidR="00B32D50">
          <w:rPr>
            <w:noProof/>
            <w:webHidden/>
          </w:rPr>
          <w:tab/>
        </w:r>
        <w:r w:rsidR="00B32D50">
          <w:rPr>
            <w:noProof/>
            <w:webHidden/>
          </w:rPr>
          <w:fldChar w:fldCharType="begin"/>
        </w:r>
        <w:r w:rsidR="00B32D50">
          <w:rPr>
            <w:noProof/>
            <w:webHidden/>
          </w:rPr>
          <w:instrText xml:space="preserve"> PAGEREF _Toc528247446 \h </w:instrText>
        </w:r>
        <w:r w:rsidR="00B32D50">
          <w:rPr>
            <w:noProof/>
            <w:webHidden/>
          </w:rPr>
        </w:r>
        <w:r w:rsidR="00B32D50">
          <w:rPr>
            <w:noProof/>
            <w:webHidden/>
          </w:rPr>
          <w:fldChar w:fldCharType="separate"/>
        </w:r>
        <w:r>
          <w:rPr>
            <w:noProof/>
            <w:webHidden/>
          </w:rPr>
          <w:t>44</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47" w:history="1">
        <w:r w:rsidR="00B32D50" w:rsidRPr="009460DD">
          <w:rPr>
            <w:rStyle w:val="Hyperlink"/>
            <w:noProof/>
          </w:rPr>
          <w:t>3.3.6</w:t>
        </w:r>
        <w:r w:rsidR="00B32D50">
          <w:rPr>
            <w:rFonts w:eastAsiaTheme="minorEastAsia"/>
            <w:noProof/>
            <w:spacing w:val="0"/>
            <w:lang w:eastAsia="en-AU"/>
          </w:rPr>
          <w:tab/>
        </w:r>
        <w:r w:rsidR="00B32D50" w:rsidRPr="009460DD">
          <w:rPr>
            <w:rStyle w:val="Hyperlink"/>
            <w:noProof/>
          </w:rPr>
          <w:t>Purchases of non-financial assets by classification of the functions of government and by portfolio department</w:t>
        </w:r>
        <w:r w:rsidR="00B32D50">
          <w:rPr>
            <w:noProof/>
            <w:webHidden/>
          </w:rPr>
          <w:tab/>
        </w:r>
        <w:r w:rsidR="00B32D50">
          <w:rPr>
            <w:noProof/>
            <w:webHidden/>
          </w:rPr>
          <w:fldChar w:fldCharType="begin"/>
        </w:r>
        <w:r w:rsidR="00B32D50">
          <w:rPr>
            <w:noProof/>
            <w:webHidden/>
          </w:rPr>
          <w:instrText xml:space="preserve"> PAGEREF _Toc528247447 \h </w:instrText>
        </w:r>
        <w:r w:rsidR="00B32D50">
          <w:rPr>
            <w:noProof/>
            <w:webHidden/>
          </w:rPr>
        </w:r>
        <w:r w:rsidR="00B32D50">
          <w:rPr>
            <w:noProof/>
            <w:webHidden/>
          </w:rPr>
          <w:fldChar w:fldCharType="separate"/>
        </w:r>
        <w:r>
          <w:rPr>
            <w:noProof/>
            <w:webHidden/>
          </w:rPr>
          <w:t>46</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48" w:history="1">
        <w:r w:rsidR="00B32D50" w:rsidRPr="009460DD">
          <w:rPr>
            <w:rStyle w:val="Hyperlink"/>
            <w:noProof/>
            <w:lang w:val="en-US"/>
          </w:rPr>
          <w:t>3.3.7</w:t>
        </w:r>
        <w:r w:rsidR="00B32D50">
          <w:rPr>
            <w:rFonts w:eastAsiaTheme="minorEastAsia"/>
            <w:noProof/>
            <w:spacing w:val="0"/>
            <w:lang w:eastAsia="en-AU"/>
          </w:rPr>
          <w:tab/>
        </w:r>
        <w:r w:rsidR="00B32D50" w:rsidRPr="009460DD">
          <w:rPr>
            <w:rStyle w:val="Hyperlink"/>
            <w:noProof/>
          </w:rPr>
          <w:t>Net acquisition of non-financial assets from transactions</w:t>
        </w:r>
        <w:r w:rsidR="00B32D50">
          <w:rPr>
            <w:noProof/>
            <w:webHidden/>
          </w:rPr>
          <w:tab/>
        </w:r>
        <w:r w:rsidR="00B32D50">
          <w:rPr>
            <w:noProof/>
            <w:webHidden/>
          </w:rPr>
          <w:fldChar w:fldCharType="begin"/>
        </w:r>
        <w:r w:rsidR="00B32D50">
          <w:rPr>
            <w:noProof/>
            <w:webHidden/>
          </w:rPr>
          <w:instrText xml:space="preserve"> PAGEREF _Toc528247448 \h </w:instrText>
        </w:r>
        <w:r w:rsidR="00B32D50">
          <w:rPr>
            <w:noProof/>
            <w:webHidden/>
          </w:rPr>
        </w:r>
        <w:r w:rsidR="00B32D50">
          <w:rPr>
            <w:noProof/>
            <w:webHidden/>
          </w:rPr>
          <w:fldChar w:fldCharType="separate"/>
        </w:r>
        <w:r>
          <w:rPr>
            <w:noProof/>
            <w:webHidden/>
          </w:rPr>
          <w:t>47</w:t>
        </w:r>
        <w:r w:rsidR="00B32D50">
          <w:rPr>
            <w:noProof/>
            <w:webHidden/>
          </w:rPr>
          <w:fldChar w:fldCharType="end"/>
        </w:r>
      </w:hyperlink>
    </w:p>
    <w:p w:rsidR="00B32D50" w:rsidRDefault="00B32D50" w:rsidP="00F17BCD">
      <w:pPr>
        <w:pStyle w:val="TOC9"/>
        <w:rPr>
          <w:b/>
          <w:bCs/>
          <w:noProof/>
          <w:lang w:val="en-US"/>
        </w:rPr>
        <w:sectPr w:rsidR="00B32D50" w:rsidSect="00F17BCD">
          <w:headerReference w:type="even" r:id="rId53"/>
          <w:headerReference w:type="default" r:id="rId54"/>
          <w:footerReference w:type="even" r:id="rId55"/>
          <w:footerReference w:type="default" r:id="rId56"/>
          <w:headerReference w:type="first" r:id="rId57"/>
          <w:footerReference w:type="first" r:id="rId58"/>
          <w:type w:val="continuous"/>
          <w:pgSz w:w="9979" w:h="14175" w:code="9"/>
          <w:pgMar w:top="850" w:right="1134" w:bottom="850" w:left="1134" w:header="624" w:footer="567" w:gutter="0"/>
          <w:cols w:num="2" w:space="567"/>
          <w:titlePg/>
          <w:docGrid w:linePitch="360"/>
        </w:sectPr>
      </w:pPr>
      <w:r>
        <w:rPr>
          <w:b/>
          <w:bCs/>
          <w:noProof/>
          <w:lang w:val="en-US"/>
        </w:rPr>
        <w:fldChar w:fldCharType="end"/>
      </w:r>
    </w:p>
    <w:p w:rsidR="00B32D50" w:rsidRPr="004E4D8E" w:rsidRDefault="00B32D50" w:rsidP="00B32D50">
      <w:pPr>
        <w:pStyle w:val="Heading3"/>
        <w:numPr>
          <w:ilvl w:val="2"/>
          <w:numId w:val="21"/>
        </w:numPr>
        <w:tabs>
          <w:tab w:val="clear" w:pos="9582"/>
          <w:tab w:val="left" w:pos="850"/>
          <w:tab w:val="right" w:pos="7710"/>
        </w:tabs>
        <w:spacing w:after="60"/>
      </w:pPr>
      <w:bookmarkStart w:id="41" w:name="_Toc496606574"/>
      <w:bookmarkStart w:id="42" w:name="_Toc528247442"/>
      <w:bookmarkStart w:id="43" w:name="Section_3"/>
      <w:r w:rsidRPr="004E4D8E">
        <w:t>Employee expenses and provision for outstanding employee benefits</w:t>
      </w:r>
      <w:bookmarkEnd w:id="41"/>
      <w:bookmarkEnd w:id="42"/>
    </w:p>
    <w:p w:rsidR="00B32D50" w:rsidRDefault="00B32D50" w:rsidP="00F17BCD">
      <w:r>
        <w:t>Employee expenses and employee benefits are forecast on the basis of staffing profiles and current salaries, conditions and on costs. For the forecast period, employee expenses and employee benefits includes the expected financial impact of employing more staff to increase service delivery and approved wage outcomes, in line with wages policy. Forecast employee expenses also reflect the estimated impact of budget decisions, which either increase or reduce employee expenses. The majority of employee expenses in the operating statement are salaries and wages.</w:t>
      </w:r>
    </w:p>
    <w:p w:rsidR="00B32D50" w:rsidRPr="00BC4D8D" w:rsidRDefault="00B32D50" w:rsidP="00F17BCD">
      <w:pPr>
        <w:pStyle w:val="TableHeading"/>
        <w:rPr>
          <w:bCs/>
          <w:lang w:val="en-US"/>
        </w:rPr>
      </w:pPr>
      <w:r>
        <w:t>Employee benefits (balance sheet)</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71"/>
        <w:gridCol w:w="679"/>
        <w:gridCol w:w="850"/>
        <w:gridCol w:w="850"/>
        <w:gridCol w:w="850"/>
        <w:gridCol w:w="850"/>
      </w:tblGrid>
      <w:tr w:rsidR="0083191C" w:rsidRPr="00BC4D8D" w:rsidTr="00831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83191C" w:rsidRPr="00BC4D8D" w:rsidRDefault="0083191C" w:rsidP="0083191C">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850" w:type="dxa"/>
            <w:gridSpan w:val="2"/>
            <w:tcBorders>
              <w:top w:val="nil"/>
              <w:left w:val="nil"/>
              <w:right w:val="nil"/>
            </w:tcBorders>
            <w:shd w:val="solid" w:color="000000" w:fill="auto"/>
          </w:tcPr>
          <w:p w:rsidR="0083191C" w:rsidRPr="00BC4D8D" w:rsidRDefault="0083191C" w:rsidP="0083191C">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83191C" w:rsidRPr="00BC4D8D" w:rsidRDefault="0083191C" w:rsidP="0083191C">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83191C" w:rsidRPr="00BC4D8D" w:rsidRDefault="0083191C" w:rsidP="0083191C">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2020</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83191C" w:rsidRPr="00BC4D8D" w:rsidRDefault="0083191C" w:rsidP="0083191C">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2021</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83191C" w:rsidRPr="00BC4D8D" w:rsidRDefault="0083191C" w:rsidP="0083191C">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2022</w:t>
            </w:r>
            <w:r>
              <w:rPr>
                <w:rFonts w:eastAsiaTheme="minorEastAsia" w:cs="Calibri"/>
                <w:iCs/>
                <w:color w:val="FFFFFF"/>
                <w:szCs w:val="18"/>
                <w:lang w:eastAsia="en-AU"/>
              </w:rPr>
              <w:t xml:space="preserve"> </w:t>
            </w:r>
            <w:r w:rsidRPr="00BC4D8D">
              <w:rPr>
                <w:rFonts w:eastAsiaTheme="minorEastAsia" w:cs="Calibri"/>
                <w:iCs/>
                <w:color w:val="FFFFFF"/>
                <w:szCs w:val="18"/>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Current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Accrued salaries and wages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Other employee benefits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Annual leave</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1 649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1 647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1 683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1 720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1 757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Long service leave</w:t>
            </w:r>
          </w:p>
        </w:tc>
        <w:tc>
          <w:tcPr>
            <w:tcW w:w="850" w:type="dxa"/>
            <w:gridSpan w:val="2"/>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4 074</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4 026</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4 169</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4 316</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4 465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current employee benefits and on-costs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6 419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6 366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6 558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6 758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6 960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Non-current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Long service leave</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1 072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1 267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686" w:type="dxa"/>
            <w:gridSpan w:val="2"/>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non-current employee benefits and on-costs</w:t>
            </w:r>
          </w:p>
        </w:tc>
        <w:tc>
          <w:tcPr>
            <w:tcW w:w="679"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952</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953</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1 072</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1 167</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1 267</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8"/>
                <w:lang w:eastAsia="en-AU"/>
              </w:rPr>
            </w:pPr>
            <w:r w:rsidRPr="00BC4D8D">
              <w:rPr>
                <w:rFonts w:eastAsiaTheme="minorEastAsia" w:cs="Calibri"/>
                <w:bCs/>
                <w:color w:val="000000"/>
                <w:szCs w:val="18"/>
                <w:lang w:eastAsia="en-AU"/>
              </w:rPr>
              <w:t>Total employee benefits</w:t>
            </w:r>
          </w:p>
        </w:tc>
        <w:tc>
          <w:tcPr>
            <w:tcW w:w="850" w:type="dxa"/>
            <w:gridSpan w:val="2"/>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7 372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7 319</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7 631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7 926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8 227</w:t>
            </w:r>
          </w:p>
        </w:tc>
      </w:tr>
    </w:tbl>
    <w:p w:rsidR="00B32D50" w:rsidRDefault="00B32D50" w:rsidP="00F17BCD">
      <w:pPr>
        <w:pStyle w:val="Source"/>
      </w:pPr>
      <w:r w:rsidRPr="00D87D22">
        <w:t>Source: Department of Treasury and Finance</w:t>
      </w:r>
    </w:p>
    <w:p w:rsidR="00B32D50" w:rsidRPr="004E4D8E" w:rsidRDefault="00B32D50" w:rsidP="00B32D50">
      <w:pPr>
        <w:pStyle w:val="Heading3"/>
        <w:numPr>
          <w:ilvl w:val="2"/>
          <w:numId w:val="21"/>
        </w:numPr>
        <w:tabs>
          <w:tab w:val="clear" w:pos="9582"/>
          <w:tab w:val="left" w:pos="850"/>
          <w:tab w:val="right" w:pos="7710"/>
        </w:tabs>
        <w:spacing w:after="60"/>
      </w:pPr>
      <w:bookmarkStart w:id="44" w:name="_Toc496606575"/>
      <w:bookmarkStart w:id="45" w:name="_Toc528247443"/>
      <w:r w:rsidRPr="004E4D8E">
        <w:lastRenderedPageBreak/>
        <w:t>Superannuation expense and other superannuation expenses</w:t>
      </w:r>
      <w:bookmarkEnd w:id="44"/>
      <w:bookmarkEnd w:id="45"/>
    </w:p>
    <w:p w:rsidR="00B32D50" w:rsidRPr="00BC4D8D" w:rsidRDefault="00B32D50" w:rsidP="00F17BCD">
      <w:pPr>
        <w:pStyle w:val="TableHeading"/>
        <w:rPr>
          <w:bCs/>
          <w:lang w:val="en-US"/>
        </w:rPr>
      </w:pPr>
      <w:r>
        <w:t>Superannuation expense recognised in the operating statement</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83191C" w:rsidRPr="00BC4D8D" w:rsidTr="008319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83191C" w:rsidRPr="00BC4D8D" w:rsidRDefault="0083191C"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83191C" w:rsidRPr="00BC4D8D" w:rsidRDefault="0083191C"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83191C" w:rsidRPr="00BC4D8D" w:rsidRDefault="0083191C"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83191C" w:rsidRPr="00BC4D8D" w:rsidRDefault="0083191C"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83191C" w:rsidRPr="00BC4D8D" w:rsidRDefault="0083191C"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83191C" w:rsidRPr="00BC4D8D" w:rsidRDefault="0083191C"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Defined benefit plans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Net superannuation interest expense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Current service cost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1 000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992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1 002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1 051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Remeasurements: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BC4D8D">
              <w:rPr>
                <w:rFonts w:eastAsiaTheme="minorEastAsia" w:cs="Calibri"/>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   Expected return on superannuation assets excluding interest income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(1 014)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(1 074)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(1 094)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   Other actuarial (gain)/loss on superannuation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   Actuarial and other adjustments to unfunded superannuation liability</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(917)</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expense recognised in respect of defined benefit plans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566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578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538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Defined contribution plans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Employer contributions to defined contribution plans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1 686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1 679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1 736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1 795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1 864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(including pensions)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expense recognised in respect of defined contribution plans</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1 758</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1 750</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1 810</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1 870</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1 940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superannuation (gain)/expense recognised in operating statement</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2 324</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1 442</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2 388</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2 408</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2 478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Represented by: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   Net superannuation interest expense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580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   Other superannuation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2 676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2 750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2 802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2 873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2 992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Superannuation expense from transactions</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3 338</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3 439</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3 441</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3 482</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3 572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Remeasurements recognised in other comprehensive income</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(1 014)</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(1 996)</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(1 053)</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(1 074)</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(1 094)</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superannuation expense recognised in operating statement</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2 324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1 442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2 388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2 408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2 478</w:t>
            </w:r>
          </w:p>
        </w:tc>
      </w:tr>
    </w:tbl>
    <w:p w:rsidR="00B32D50" w:rsidRDefault="00B32D50" w:rsidP="00F17BCD">
      <w:pPr>
        <w:pStyle w:val="Source"/>
      </w:pPr>
      <w:r w:rsidRPr="00D87D22">
        <w:t>Source: Department of Treasury and Finance</w:t>
      </w:r>
    </w:p>
    <w:p w:rsidR="00B32D50" w:rsidRDefault="00B32D50" w:rsidP="00F17BCD"/>
    <w:p w:rsidR="00B32D50" w:rsidRDefault="00B32D50" w:rsidP="00F17BCD">
      <w:r w:rsidRPr="00D87D22">
        <w:t>The accounting policies relating to superannuation expenses and liabilities are</w:t>
      </w:r>
      <w:r>
        <w:t xml:space="preserve"> consistent with </w:t>
      </w:r>
      <w:r w:rsidRPr="00D87D22">
        <w:t xml:space="preserve">the </w:t>
      </w:r>
      <w:r w:rsidRPr="00D87D22">
        <w:rPr>
          <w:i/>
        </w:rPr>
        <w:t>201</w:t>
      </w:r>
      <w:r>
        <w:rPr>
          <w:i/>
        </w:rPr>
        <w:t>8</w:t>
      </w:r>
      <w:r w:rsidRPr="00D87D22">
        <w:rPr>
          <w:i/>
        </w:rPr>
        <w:t>-1</w:t>
      </w:r>
      <w:r>
        <w:rPr>
          <w:i/>
        </w:rPr>
        <w:t>9</w:t>
      </w:r>
      <w:r w:rsidRPr="00D87D22">
        <w:rPr>
          <w:i/>
        </w:rPr>
        <w:t xml:space="preserve"> Budget</w:t>
      </w:r>
      <w:r w:rsidRPr="00D87D22">
        <w:t>. However, the forecast assumptions have been revised for each relevant defined benefit superannuation scheme as in the following table.</w:t>
      </w:r>
    </w:p>
    <w:p w:rsidR="00B32D50" w:rsidRDefault="00B32D50" w:rsidP="00F17BCD">
      <w:pPr>
        <w:keepLines w:val="0"/>
      </w:pPr>
      <w:r>
        <w:br w:type="page"/>
      </w:r>
    </w:p>
    <w:p w:rsidR="00B32D50" w:rsidRDefault="00B32D50" w:rsidP="00F17BCD">
      <w:pPr>
        <w:pStyle w:val="TableHeading"/>
      </w:pPr>
      <w:r w:rsidRPr="0088341A">
        <w:lastRenderedPageBreak/>
        <w:t>Superannuation assumptions</w:t>
      </w:r>
      <w:r>
        <w:tab/>
      </w:r>
      <w:r w:rsidRPr="00273F4E">
        <w:t>(per cent)</w:t>
      </w:r>
    </w:p>
    <w:tbl>
      <w:tblPr>
        <w:tblStyle w:val="DTFTable"/>
        <w:tblW w:w="7768" w:type="dxa"/>
        <w:tblLayout w:type="fixed"/>
        <w:tblLook w:val="06A0" w:firstRow="1" w:lastRow="0" w:firstColumn="1" w:lastColumn="0" w:noHBand="1" w:noVBand="1"/>
      </w:tblPr>
      <w:tblGrid>
        <w:gridCol w:w="6620"/>
        <w:gridCol w:w="1148"/>
      </w:tblGrid>
      <w:tr w:rsidR="00B32D50" w:rsidRPr="00273F4E" w:rsidTr="00F17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tcPr>
          <w:p w:rsidR="00B32D50" w:rsidRPr="00273F4E" w:rsidRDefault="00B32D50" w:rsidP="00F17BCD">
            <w:pPr>
              <w:ind w:left="0" w:firstLine="0"/>
            </w:pPr>
            <w:r w:rsidRPr="00273F4E">
              <w:t>Underlying ass</w:t>
            </w:r>
            <w:r>
              <w:t xml:space="preserve">umptions for all listed schemes </w:t>
            </w:r>
            <w:r w:rsidRPr="00704EC6">
              <w:rPr>
                <w:vertAlign w:val="superscript"/>
              </w:rPr>
              <w:t>(a)</w:t>
            </w:r>
          </w:p>
        </w:tc>
        <w:tc>
          <w:tcPr>
            <w:tcW w:w="1133" w:type="dxa"/>
          </w:tcPr>
          <w:p w:rsidR="00B32D50" w:rsidRPr="00273F4E" w:rsidRDefault="00B32D50" w:rsidP="00F17BCD">
            <w:pPr>
              <w:cnfStyle w:val="100000000000" w:firstRow="1" w:lastRow="0" w:firstColumn="0" w:lastColumn="0" w:oddVBand="0" w:evenVBand="0" w:oddHBand="0" w:evenHBand="0" w:firstRowFirstColumn="0" w:firstRowLastColumn="0" w:lastRowFirstColumn="0" w:lastRowLastColumn="0"/>
            </w:pPr>
          </w:p>
        </w:tc>
      </w:tr>
      <w:tr w:rsidR="00B32D50" w:rsidRPr="00273F4E" w:rsidTr="00F17BCD">
        <w:tc>
          <w:tcPr>
            <w:cnfStyle w:val="001000000000" w:firstRow="0" w:lastRow="0" w:firstColumn="1" w:lastColumn="0" w:oddVBand="0" w:evenVBand="0" w:oddHBand="0" w:evenHBand="0" w:firstRowFirstColumn="0" w:firstRowLastColumn="0" w:lastRowFirstColumn="0" w:lastRowLastColumn="0"/>
            <w:tcW w:w="6532" w:type="dxa"/>
          </w:tcPr>
          <w:p w:rsidR="00B32D50" w:rsidRPr="00273F4E" w:rsidRDefault="00B32D50" w:rsidP="00F17BCD">
            <w:pPr>
              <w:ind w:left="0" w:firstLine="0"/>
            </w:pPr>
            <w:r w:rsidRPr="00273F4E">
              <w:t xml:space="preserve">Discount rate </w:t>
            </w:r>
            <w:r w:rsidRPr="00704EC6">
              <w:rPr>
                <w:vertAlign w:val="superscript"/>
              </w:rPr>
              <w:t>(b)</w:t>
            </w:r>
          </w:p>
        </w:tc>
        <w:tc>
          <w:tcPr>
            <w:tcW w:w="1133" w:type="dxa"/>
          </w:tcPr>
          <w:p w:rsidR="00B32D50" w:rsidRPr="00273F4E" w:rsidRDefault="00B32D50" w:rsidP="00F17BCD">
            <w:pPr>
              <w:cnfStyle w:val="000000000000" w:firstRow="0" w:lastRow="0" w:firstColumn="0" w:lastColumn="0" w:oddVBand="0" w:evenVBand="0" w:oddHBand="0" w:evenHBand="0" w:firstRowFirstColumn="0" w:firstRowLastColumn="0" w:lastRowFirstColumn="0" w:lastRowLastColumn="0"/>
            </w:pPr>
            <w:r>
              <w:t>2.9</w:t>
            </w:r>
          </w:p>
        </w:tc>
      </w:tr>
      <w:tr w:rsidR="00B32D50" w:rsidRPr="00273F4E" w:rsidTr="00F17BCD">
        <w:tc>
          <w:tcPr>
            <w:cnfStyle w:val="001000000000" w:firstRow="0" w:lastRow="0" w:firstColumn="1" w:lastColumn="0" w:oddVBand="0" w:evenVBand="0" w:oddHBand="0" w:evenHBand="0" w:firstRowFirstColumn="0" w:firstRowLastColumn="0" w:lastRowFirstColumn="0" w:lastRowLastColumn="0"/>
            <w:tcW w:w="6532" w:type="dxa"/>
          </w:tcPr>
          <w:p w:rsidR="00B32D50" w:rsidRPr="00273F4E" w:rsidRDefault="00B32D50" w:rsidP="00F17BCD">
            <w:pPr>
              <w:ind w:left="0" w:firstLine="0"/>
            </w:pPr>
            <w:r w:rsidRPr="00273F4E">
              <w:t xml:space="preserve">Wages growth </w:t>
            </w:r>
            <w:r w:rsidRPr="00704EC6">
              <w:rPr>
                <w:vertAlign w:val="superscript"/>
              </w:rPr>
              <w:t>(c)</w:t>
            </w:r>
          </w:p>
        </w:tc>
        <w:tc>
          <w:tcPr>
            <w:tcW w:w="1133" w:type="dxa"/>
          </w:tcPr>
          <w:p w:rsidR="00B32D50" w:rsidRPr="00273F4E" w:rsidRDefault="00B32D50" w:rsidP="00F17BCD">
            <w:pPr>
              <w:cnfStyle w:val="000000000000" w:firstRow="0" w:lastRow="0" w:firstColumn="0" w:lastColumn="0" w:oddVBand="0" w:evenVBand="0" w:oddHBand="0" w:evenHBand="0" w:firstRowFirstColumn="0" w:firstRowLastColumn="0" w:lastRowFirstColumn="0" w:lastRowLastColumn="0"/>
            </w:pPr>
            <w:r>
              <w:t>3.2</w:t>
            </w:r>
          </w:p>
        </w:tc>
      </w:tr>
      <w:tr w:rsidR="00B32D50" w:rsidRPr="00273F4E" w:rsidTr="00F17BCD">
        <w:tc>
          <w:tcPr>
            <w:cnfStyle w:val="001000000000" w:firstRow="0" w:lastRow="0" w:firstColumn="1" w:lastColumn="0" w:oddVBand="0" w:evenVBand="0" w:oddHBand="0" w:evenHBand="0" w:firstRowFirstColumn="0" w:firstRowLastColumn="0" w:lastRowFirstColumn="0" w:lastRowLastColumn="0"/>
            <w:tcW w:w="6532" w:type="dxa"/>
          </w:tcPr>
          <w:p w:rsidR="00B32D50" w:rsidRPr="00273F4E" w:rsidRDefault="00B32D50" w:rsidP="00F17BCD">
            <w:pPr>
              <w:ind w:left="0" w:firstLine="0"/>
            </w:pPr>
            <w:r>
              <w:t xml:space="preserve">Inflation rate </w:t>
            </w:r>
            <w:r w:rsidRPr="00704EC6">
              <w:rPr>
                <w:vertAlign w:val="superscript"/>
              </w:rPr>
              <w:t>(d)</w:t>
            </w:r>
          </w:p>
        </w:tc>
        <w:tc>
          <w:tcPr>
            <w:tcW w:w="1133" w:type="dxa"/>
          </w:tcPr>
          <w:p w:rsidR="00B32D50" w:rsidRPr="00273F4E" w:rsidRDefault="00B32D50" w:rsidP="00F17BCD">
            <w:pPr>
              <w:cnfStyle w:val="000000000000" w:firstRow="0" w:lastRow="0" w:firstColumn="0" w:lastColumn="0" w:oddVBand="0" w:evenVBand="0" w:oddHBand="0" w:evenHBand="0" w:firstRowFirstColumn="0" w:firstRowLastColumn="0" w:lastRowFirstColumn="0" w:lastRowLastColumn="0"/>
            </w:pPr>
            <w:r>
              <w:t>1.7</w:t>
            </w:r>
          </w:p>
        </w:tc>
      </w:tr>
      <w:tr w:rsidR="00B32D50" w:rsidRPr="00273F4E" w:rsidTr="00F17BCD">
        <w:tc>
          <w:tcPr>
            <w:cnfStyle w:val="001000000000" w:firstRow="0" w:lastRow="0" w:firstColumn="1" w:lastColumn="0" w:oddVBand="0" w:evenVBand="0" w:oddHBand="0" w:evenHBand="0" w:firstRowFirstColumn="0" w:firstRowLastColumn="0" w:lastRowFirstColumn="0" w:lastRowLastColumn="0"/>
            <w:tcW w:w="6532" w:type="dxa"/>
            <w:shd w:val="clear" w:color="auto" w:fill="000000" w:themeFill="text1"/>
          </w:tcPr>
          <w:p w:rsidR="00B32D50" w:rsidRPr="00273F4E" w:rsidRDefault="00B32D50" w:rsidP="00F17BCD">
            <w:pPr>
              <w:ind w:left="0" w:firstLine="0"/>
              <w:rPr>
                <w:i/>
              </w:rPr>
            </w:pPr>
            <w:r w:rsidRPr="00273F4E">
              <w:rPr>
                <w:i/>
              </w:rPr>
              <w:t>Expected return on assets</w:t>
            </w:r>
            <w:r>
              <w:rPr>
                <w:i/>
              </w:rPr>
              <w:t xml:space="preserve"> </w:t>
            </w:r>
            <w:r w:rsidRPr="00704EC6">
              <w:rPr>
                <w:i/>
                <w:vertAlign w:val="superscript"/>
              </w:rPr>
              <w:t>(e)</w:t>
            </w:r>
          </w:p>
        </w:tc>
        <w:tc>
          <w:tcPr>
            <w:tcW w:w="1133" w:type="dxa"/>
            <w:shd w:val="clear" w:color="auto" w:fill="000000" w:themeFill="text1"/>
          </w:tcPr>
          <w:p w:rsidR="00B32D50" w:rsidRPr="00273F4E" w:rsidRDefault="00B32D50" w:rsidP="00F17BCD">
            <w:pPr>
              <w:cnfStyle w:val="000000000000" w:firstRow="0" w:lastRow="0" w:firstColumn="0" w:lastColumn="0" w:oddVBand="0" w:evenVBand="0" w:oddHBand="0" w:evenHBand="0" w:firstRowFirstColumn="0" w:firstRowLastColumn="0" w:lastRowFirstColumn="0" w:lastRowLastColumn="0"/>
              <w:rPr>
                <w:i/>
              </w:rPr>
            </w:pPr>
          </w:p>
        </w:tc>
      </w:tr>
      <w:tr w:rsidR="00B32D50" w:rsidRPr="00273F4E" w:rsidTr="00F17BCD">
        <w:tc>
          <w:tcPr>
            <w:cnfStyle w:val="001000000000" w:firstRow="0" w:lastRow="0" w:firstColumn="1" w:lastColumn="0" w:oddVBand="0" w:evenVBand="0" w:oddHBand="0" w:evenHBand="0" w:firstRowFirstColumn="0" w:firstRowLastColumn="0" w:lastRowFirstColumn="0" w:lastRowLastColumn="0"/>
            <w:tcW w:w="6532" w:type="dxa"/>
          </w:tcPr>
          <w:p w:rsidR="00B32D50" w:rsidRPr="00273F4E" w:rsidRDefault="00B32D50" w:rsidP="00F17BCD">
            <w:pPr>
              <w:ind w:left="0" w:firstLine="0"/>
            </w:pPr>
            <w:r w:rsidRPr="00273F4E">
              <w:t xml:space="preserve">Emergency Services and State Super </w:t>
            </w:r>
          </w:p>
        </w:tc>
        <w:tc>
          <w:tcPr>
            <w:tcW w:w="1133" w:type="dxa"/>
          </w:tcPr>
          <w:p w:rsidR="00B32D50" w:rsidRPr="00273F4E" w:rsidRDefault="00B32D50" w:rsidP="00F17BCD">
            <w:pPr>
              <w:cnfStyle w:val="000000000000" w:firstRow="0" w:lastRow="0" w:firstColumn="0" w:lastColumn="0" w:oddVBand="0" w:evenVBand="0" w:oddHBand="0" w:evenHBand="0" w:firstRowFirstColumn="0" w:firstRowLastColumn="0" w:lastRowFirstColumn="0" w:lastRowLastColumn="0"/>
            </w:pPr>
            <w:r w:rsidRPr="00273F4E">
              <w:t>8.0</w:t>
            </w:r>
          </w:p>
        </w:tc>
      </w:tr>
      <w:tr w:rsidR="00B32D50" w:rsidRPr="00273F4E" w:rsidTr="00F17BCD">
        <w:tc>
          <w:tcPr>
            <w:cnfStyle w:val="001000000000" w:firstRow="0" w:lastRow="0" w:firstColumn="1" w:lastColumn="0" w:oddVBand="0" w:evenVBand="0" w:oddHBand="0" w:evenHBand="0" w:firstRowFirstColumn="0" w:firstRowLastColumn="0" w:lastRowFirstColumn="0" w:lastRowLastColumn="0"/>
            <w:tcW w:w="6532" w:type="dxa"/>
          </w:tcPr>
          <w:p w:rsidR="00B32D50" w:rsidRPr="00273F4E" w:rsidRDefault="00B32D50" w:rsidP="00F17BCD">
            <w:pPr>
              <w:ind w:left="0" w:firstLine="0"/>
            </w:pPr>
            <w:r w:rsidRPr="00273F4E">
              <w:t>Health Super Fund Defined Benefit Scheme</w:t>
            </w:r>
          </w:p>
        </w:tc>
        <w:tc>
          <w:tcPr>
            <w:tcW w:w="1133" w:type="dxa"/>
          </w:tcPr>
          <w:p w:rsidR="00B32D50" w:rsidRPr="00273F4E" w:rsidRDefault="00B32D50" w:rsidP="00F17BCD">
            <w:pPr>
              <w:cnfStyle w:val="000000000000" w:firstRow="0" w:lastRow="0" w:firstColumn="0" w:lastColumn="0" w:oddVBand="0" w:evenVBand="0" w:oddHBand="0" w:evenHBand="0" w:firstRowFirstColumn="0" w:firstRowLastColumn="0" w:lastRowFirstColumn="0" w:lastRowLastColumn="0"/>
            </w:pPr>
            <w:r w:rsidRPr="00273F4E">
              <w:t>5.</w:t>
            </w:r>
            <w:r>
              <w:t>0</w:t>
            </w:r>
          </w:p>
        </w:tc>
      </w:tr>
      <w:tr w:rsidR="00B32D50" w:rsidRPr="00273F4E" w:rsidTr="00F17BCD">
        <w:tc>
          <w:tcPr>
            <w:cnfStyle w:val="001000000000" w:firstRow="0" w:lastRow="0" w:firstColumn="1" w:lastColumn="0" w:oddVBand="0" w:evenVBand="0" w:oddHBand="0" w:evenHBand="0" w:firstRowFirstColumn="0" w:firstRowLastColumn="0" w:lastRowFirstColumn="0" w:lastRowLastColumn="0"/>
            <w:tcW w:w="6532" w:type="dxa"/>
          </w:tcPr>
          <w:p w:rsidR="00B32D50" w:rsidRPr="00273F4E" w:rsidRDefault="00B32D50" w:rsidP="00F17BCD">
            <w:pPr>
              <w:ind w:left="0" w:firstLine="0"/>
            </w:pPr>
            <w:r w:rsidRPr="00273F4E">
              <w:t>Constitutionally protected schemes</w:t>
            </w:r>
            <w:r>
              <w:t xml:space="preserve"> </w:t>
            </w:r>
            <w:r w:rsidRPr="00704EC6">
              <w:rPr>
                <w:vertAlign w:val="superscript"/>
              </w:rPr>
              <w:t>(f)</w:t>
            </w:r>
            <w:r w:rsidRPr="00273F4E">
              <w:t xml:space="preserve"> </w:t>
            </w:r>
          </w:p>
        </w:tc>
        <w:tc>
          <w:tcPr>
            <w:tcW w:w="1133" w:type="dxa"/>
          </w:tcPr>
          <w:p w:rsidR="00B32D50" w:rsidRPr="00273F4E" w:rsidRDefault="00B32D50" w:rsidP="00F17BCD">
            <w:pPr>
              <w:cnfStyle w:val="000000000000" w:firstRow="0" w:lastRow="0" w:firstColumn="0" w:lastColumn="0" w:oddVBand="0" w:evenVBand="0" w:oddHBand="0" w:evenHBand="0" w:firstRowFirstColumn="0" w:firstRowLastColumn="0" w:lastRowFirstColumn="0" w:lastRowLastColumn="0"/>
            </w:pPr>
            <w:r w:rsidRPr="00273F4E">
              <w:t>n.a.</w:t>
            </w:r>
          </w:p>
        </w:tc>
      </w:tr>
    </w:tbl>
    <w:p w:rsidR="00B32D50" w:rsidRDefault="00B32D50" w:rsidP="00F17BCD">
      <w:pPr>
        <w:pStyle w:val="Source"/>
      </w:pPr>
      <w:r>
        <w:t>Source: Department of Treasury and Finance</w:t>
      </w:r>
    </w:p>
    <w:p w:rsidR="00B32D50" w:rsidRPr="00D87D22" w:rsidRDefault="00B32D50" w:rsidP="00F17BCD">
      <w:pPr>
        <w:pStyle w:val="Note"/>
      </w:pPr>
      <w:r w:rsidRPr="00D87D22">
        <w:t>Notes:</w:t>
      </w:r>
    </w:p>
    <w:p w:rsidR="00B32D50" w:rsidRPr="00D87D22" w:rsidRDefault="00B32D50" w:rsidP="00F17BCD">
      <w:pPr>
        <w:pStyle w:val="Note"/>
      </w:pPr>
      <w:r w:rsidRPr="00D87D22">
        <w:t>(a)</w:t>
      </w:r>
      <w:r w:rsidRPr="00D87D22">
        <w:tab/>
        <w:t>All rates are nominal annual rates and are applicable to all the listed schemes.</w:t>
      </w:r>
    </w:p>
    <w:p w:rsidR="00B32D50" w:rsidRPr="00D87D22" w:rsidRDefault="00B32D50" w:rsidP="00F17BCD">
      <w:pPr>
        <w:pStyle w:val="Note"/>
      </w:pPr>
      <w:r w:rsidRPr="00D87D22">
        <w:t>(b)</w:t>
      </w:r>
      <w:r w:rsidRPr="00D87D22">
        <w:tab/>
        <w:t>The d</w:t>
      </w:r>
      <w:r>
        <w:t>iscount rate is based on a long-</w:t>
      </w:r>
      <w:r w:rsidRPr="00D87D22">
        <w:t>term fixed interest Commonwealth bond rate. The rate stated above is an annual effective rate, gross of tax.</w:t>
      </w:r>
    </w:p>
    <w:p w:rsidR="00B32D50" w:rsidRPr="00D87D22" w:rsidRDefault="00B32D50" w:rsidP="00F17BCD">
      <w:pPr>
        <w:pStyle w:val="Note"/>
      </w:pPr>
      <w:r w:rsidRPr="00D87D22">
        <w:t>(c)</w:t>
      </w:r>
      <w:r w:rsidRPr="00D87D22">
        <w:tab/>
        <w:t>Based on the historical relationship between price and wage inflation, wages growth is assumed to be 1.5 per cent higher than price inflation.</w:t>
      </w:r>
    </w:p>
    <w:p w:rsidR="00B32D50" w:rsidRDefault="00B32D50" w:rsidP="00F17BCD">
      <w:pPr>
        <w:pStyle w:val="Note"/>
      </w:pPr>
      <w:r w:rsidRPr="00D87D22">
        <w:t>(d)</w:t>
      </w:r>
      <w:r w:rsidRPr="00D87D22">
        <w:tab/>
        <w:t xml:space="preserve">The superannuation assumptions are determined in accordance with Australian accounting standard </w:t>
      </w:r>
      <w:r w:rsidRPr="00812D30">
        <w:rPr>
          <w:i w:val="0"/>
        </w:rPr>
        <w:t>AASB 119 Employee Benefits</w:t>
      </w:r>
      <w:r>
        <w:t>,</w:t>
      </w:r>
      <w:r w:rsidRPr="00D87D22">
        <w:t xml:space="preserve"> which requires that the discount rate be based on Commonwealth bond yields. To ensure consistency with the market-based discount rate, the inflation rate assumed by the actuary reflects market expectations of price inflation</w:t>
      </w:r>
      <w:r>
        <w:t>,</w:t>
      </w:r>
      <w:r w:rsidRPr="00D87D22">
        <w:t xml:space="preserve"> as implied by the relationship between the yields on nominal and inflation linked Commonwealth bonds. Therefore, these assumptions differ from the key economic assumptions in this </w:t>
      </w:r>
      <w:r>
        <w:t>chapter,</w:t>
      </w:r>
      <w:r w:rsidRPr="00D87D22">
        <w:t xml:space="preserve"> which reflect the expected change in consumer prices in Melbourne and movements in wages and salaries in the Victorian labour market.</w:t>
      </w:r>
    </w:p>
    <w:p w:rsidR="00B32D50" w:rsidRPr="00D87D22" w:rsidRDefault="00B32D50" w:rsidP="00F17BCD">
      <w:pPr>
        <w:pStyle w:val="Note"/>
      </w:pPr>
      <w:r w:rsidRPr="00D87D22">
        <w:t>(e)</w:t>
      </w:r>
      <w:r w:rsidRPr="00D87D22">
        <w:tab/>
        <w:t>The expected return on assets stated is gross of tax. Estimated tax payments are explicitly allowed for in the calculation process.</w:t>
      </w:r>
    </w:p>
    <w:p w:rsidR="00B32D50" w:rsidRDefault="00B32D50" w:rsidP="00F17BCD">
      <w:pPr>
        <w:pStyle w:val="Note"/>
      </w:pPr>
      <w:r w:rsidRPr="00D87D22">
        <w:t>(f)</w:t>
      </w:r>
      <w:r w:rsidRPr="00D87D22">
        <w:tab/>
        <w:t>Pensions payable from constitutionally protected schemes are paid from the Consolidated Fund. These schemes hold no assets so there is no expected return on assets.</w:t>
      </w:r>
    </w:p>
    <w:p w:rsidR="00B32D50" w:rsidRPr="00D87D22" w:rsidRDefault="00B32D50" w:rsidP="00F17BCD"/>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46" w:name="_Toc496606576"/>
      <w:bookmarkStart w:id="47" w:name="_Toc528247444"/>
      <w:r w:rsidRPr="004E4D8E">
        <w:t>Grant</w:t>
      </w:r>
      <w:r>
        <w:t xml:space="preserve"> expense</w:t>
      </w:r>
      <w:r>
        <w:tab/>
        <w:t>($ million)</w:t>
      </w:r>
      <w:bookmarkEnd w:id="46"/>
      <w:bookmarkEnd w:id="47"/>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71"/>
        <w:gridCol w:w="679"/>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5369A5">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p>
        </w:tc>
        <w:tc>
          <w:tcPr>
            <w:tcW w:w="850" w:type="dxa"/>
            <w:gridSpan w:val="2"/>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Current grant expense</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Commonwealth Government </w:t>
            </w:r>
            <w:r w:rsidRPr="00BC4D8D">
              <w:rPr>
                <w:rFonts w:eastAsiaTheme="minorEastAsia" w:cs="Calibri"/>
                <w:color w:val="000000"/>
                <w:szCs w:val="16"/>
                <w:vertAlign w:val="superscript"/>
                <w:lang w:eastAsia="en-AU"/>
              </w:rPr>
              <w:t>(a)</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1 755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1 778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2 852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2 957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3 034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686" w:type="dxa"/>
            <w:gridSpan w:val="2"/>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Local government (including grants for on-passing)</w:t>
            </w:r>
          </w:p>
        </w:tc>
        <w:tc>
          <w:tcPr>
            <w:tcW w:w="67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1 212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726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Private sector and not-for-profit for on-passing</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3 404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3 427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3 598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3 813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4 038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private sector and not-for-profit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2 534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2 624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2 769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2 600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2 809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Grants within the Victorian Government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3 707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3 840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3 728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3 679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3 642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Grants to other state governments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current grant expense</w:t>
            </w:r>
          </w:p>
        </w:tc>
        <w:tc>
          <w:tcPr>
            <w:tcW w:w="850" w:type="dxa"/>
            <w:gridSpan w:val="2"/>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12 633</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12 417</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13 626</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13 716</w:t>
            </w:r>
          </w:p>
        </w:tc>
        <w:tc>
          <w:tcPr>
            <w:tcW w:w="850" w:type="dxa"/>
            <w:tcBorders>
              <w:top w:val="single" w:sz="6" w:space="0" w:color="000000"/>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sidRPr="00BC4D8D">
              <w:rPr>
                <w:rFonts w:eastAsiaTheme="minorEastAsia" w:cs="Arial"/>
                <w:b/>
                <w:bCs/>
                <w:color w:val="000000"/>
                <w:szCs w:val="18"/>
                <w:lang w:eastAsia="en-AU"/>
              </w:rPr>
              <w:t>14 195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Capital grant expense</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Commonwealth Government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686" w:type="dxa"/>
            <w:gridSpan w:val="2"/>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Local government (including grants for on-passing)</w:t>
            </w:r>
          </w:p>
        </w:tc>
        <w:tc>
          <w:tcPr>
            <w:tcW w:w="67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Private sector and not-for-profit on-passing</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private sector and not-for-profit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Grants within the Victorian Government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grants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capital grant expense</w:t>
            </w:r>
          </w:p>
        </w:tc>
        <w:tc>
          <w:tcPr>
            <w:tcW w:w="850" w:type="dxa"/>
            <w:gridSpan w:val="2"/>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268</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368</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419</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292</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8"/>
                <w:lang w:eastAsia="en-AU"/>
              </w:rPr>
            </w:pPr>
            <w:r>
              <w:rPr>
                <w:rFonts w:eastAsiaTheme="minorEastAsia" w:cs="Arial"/>
                <w:b/>
                <w:bCs/>
                <w:color w:val="000000"/>
                <w:szCs w:val="18"/>
                <w:lang w:eastAsia="en-AU"/>
              </w:rPr>
              <w:t>216</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grant expense</w:t>
            </w:r>
          </w:p>
        </w:tc>
        <w:tc>
          <w:tcPr>
            <w:tcW w:w="850" w:type="dxa"/>
            <w:gridSpan w:val="2"/>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12 901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12 785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14 045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14 007</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14 411</w:t>
            </w:r>
          </w:p>
        </w:tc>
      </w:tr>
    </w:tbl>
    <w:p w:rsidR="00B32D50" w:rsidRPr="00D87D22" w:rsidRDefault="00B32D50" w:rsidP="00F17BCD">
      <w:pPr>
        <w:pStyle w:val="Source"/>
      </w:pPr>
      <w:r w:rsidRPr="00D87D22">
        <w:t>Source: Department of Treasury and Finance</w:t>
      </w:r>
    </w:p>
    <w:p w:rsidR="00B32D50" w:rsidRPr="00697AD9" w:rsidRDefault="00B32D50" w:rsidP="00F17BCD">
      <w:pPr>
        <w:spacing w:before="20"/>
        <w:ind w:left="284" w:hanging="284"/>
        <w:contextualSpacing/>
        <w:rPr>
          <w:rFonts w:asciiTheme="majorHAnsi" w:hAnsiTheme="majorHAnsi"/>
          <w:i/>
          <w:spacing w:val="-2"/>
          <w:sz w:val="14"/>
        </w:rPr>
      </w:pPr>
      <w:r>
        <w:rPr>
          <w:rFonts w:asciiTheme="majorHAnsi" w:hAnsiTheme="majorHAnsi"/>
          <w:i/>
          <w:spacing w:val="-2"/>
          <w:sz w:val="14"/>
        </w:rPr>
        <w:t>Note</w:t>
      </w:r>
      <w:r w:rsidRPr="00697AD9">
        <w:rPr>
          <w:rFonts w:asciiTheme="majorHAnsi" w:hAnsiTheme="majorHAnsi"/>
          <w:i/>
          <w:spacing w:val="-2"/>
          <w:sz w:val="14"/>
        </w:rPr>
        <w:t>:</w:t>
      </w:r>
    </w:p>
    <w:p w:rsidR="00B32D50" w:rsidRDefault="00B32D50" w:rsidP="00F17BCD">
      <w:pPr>
        <w:spacing w:before="20"/>
        <w:ind w:left="284" w:hanging="284"/>
        <w:contextualSpacing/>
        <w:rPr>
          <w:rFonts w:asciiTheme="majorHAnsi" w:hAnsiTheme="majorHAnsi"/>
          <w:i/>
          <w:spacing w:val="-2"/>
          <w:sz w:val="14"/>
        </w:rPr>
      </w:pPr>
      <w:r w:rsidRPr="00697AD9">
        <w:rPr>
          <w:rFonts w:asciiTheme="majorHAnsi" w:hAnsiTheme="majorHAnsi"/>
          <w:i/>
          <w:spacing w:val="-2"/>
          <w:sz w:val="14"/>
        </w:rPr>
        <w:t>(a)</w:t>
      </w:r>
      <w:r w:rsidRPr="00697AD9">
        <w:rPr>
          <w:rFonts w:asciiTheme="majorHAnsi" w:hAnsiTheme="majorHAnsi"/>
          <w:i/>
          <w:spacing w:val="-2"/>
          <w:sz w:val="14"/>
        </w:rPr>
        <w:tab/>
      </w:r>
      <w:r>
        <w:rPr>
          <w:rFonts w:asciiTheme="majorHAnsi" w:hAnsiTheme="majorHAnsi"/>
          <w:i/>
          <w:spacing w:val="-2"/>
          <w:sz w:val="14"/>
        </w:rPr>
        <w:t>The increase in Commonwealth grant expense is largely due to the State’s contribution to the National Disability Insurance Scheme (NDIS).</w:t>
      </w:r>
      <w:r w:rsidRPr="00697AD9">
        <w:rPr>
          <w:rFonts w:asciiTheme="majorHAnsi" w:hAnsiTheme="majorHAnsi"/>
          <w:i/>
          <w:spacing w:val="-2"/>
          <w:sz w:val="14"/>
        </w:rPr>
        <w:t xml:space="preserve"> </w:t>
      </w: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48" w:name="_Toc496606577"/>
      <w:bookmarkStart w:id="49" w:name="_Toc528247445"/>
      <w:r>
        <w:lastRenderedPageBreak/>
        <w:t xml:space="preserve">Other </w:t>
      </w:r>
      <w:r w:rsidRPr="004E4D8E">
        <w:t>operating</w:t>
      </w:r>
      <w:r>
        <w:t xml:space="preserve"> expenses </w:t>
      </w:r>
      <w:r>
        <w:tab/>
        <w:t>($ million)</w:t>
      </w:r>
      <w:bookmarkEnd w:id="48"/>
      <w:bookmarkEnd w:id="49"/>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Purchase of supplies and consumables </w:t>
            </w:r>
            <w:r w:rsidRPr="00BC4D8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6 159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6 091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5 992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6 094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6 655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Cost of goods sold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Finance expenses and fees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Purchase of services </w:t>
            </w:r>
            <w:r w:rsidRPr="00BC4D8D">
              <w:rPr>
                <w:rFonts w:eastAsiaTheme="minorEastAsia" w:cs="Calibri"/>
                <w:color w:val="000000"/>
                <w:szCs w:val="16"/>
                <w:vertAlign w:val="superscript"/>
                <w:lang w:eastAsia="en-AU"/>
              </w:rPr>
              <w:t>(a)(b)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12 702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12 809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11 896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11 433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11 373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Insurance claims expense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277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285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Maintenance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919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Operating lease payments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355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848</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other operating expenses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21 264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21 296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20 305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20 016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20 498</w:t>
            </w:r>
          </w:p>
        </w:tc>
      </w:tr>
    </w:tbl>
    <w:p w:rsidR="00B32D50" w:rsidRPr="00697AD9" w:rsidRDefault="00B32D50" w:rsidP="00F17BCD">
      <w:pPr>
        <w:pStyle w:val="Source"/>
      </w:pPr>
      <w:r w:rsidRPr="00697AD9">
        <w:t>Source: Department of Treasury and Finance</w:t>
      </w:r>
    </w:p>
    <w:p w:rsidR="00B32D50" w:rsidRPr="00697AD9" w:rsidRDefault="00B32D50" w:rsidP="00F17BCD">
      <w:pPr>
        <w:pStyle w:val="Note"/>
      </w:pPr>
      <w:r w:rsidRPr="00697AD9">
        <w:t>Notes:</w:t>
      </w:r>
    </w:p>
    <w:p w:rsidR="00B32D50" w:rsidRDefault="00B32D50" w:rsidP="00F17BCD">
      <w:pPr>
        <w:pStyle w:val="Note"/>
      </w:pPr>
      <w:r>
        <w:t>(</w:t>
      </w:r>
      <w:r w:rsidRPr="00697AD9">
        <w:t>a)</w:t>
      </w:r>
      <w:r w:rsidRPr="00697AD9">
        <w:tab/>
      </w:r>
      <w:r>
        <w:t xml:space="preserve">The following two tables breakdown the </w:t>
      </w:r>
      <w:r w:rsidRPr="00697AD9">
        <w:t xml:space="preserve">purchase of supplies and consumables and </w:t>
      </w:r>
      <w:r>
        <w:t>the purchase of services.</w:t>
      </w:r>
    </w:p>
    <w:p w:rsidR="00B32D50" w:rsidRDefault="00B32D50" w:rsidP="00F17BCD">
      <w:pPr>
        <w:pStyle w:val="Note"/>
      </w:pPr>
      <w:r w:rsidRPr="00556322">
        <w:t>(b)</w:t>
      </w:r>
      <w:r w:rsidRPr="00556322">
        <w:tab/>
        <w:t xml:space="preserve">The reduction in </w:t>
      </w:r>
      <w:r>
        <w:t xml:space="preserve">the </w:t>
      </w:r>
      <w:r w:rsidRPr="00556322">
        <w:t>purchase of services</w:t>
      </w:r>
      <w:r>
        <w:t xml:space="preserve"> in 2019-20 </w:t>
      </w:r>
      <w:r w:rsidRPr="00556322">
        <w:t xml:space="preserve">is largely </w:t>
      </w:r>
      <w:r>
        <w:t>due to</w:t>
      </w:r>
      <w:r w:rsidRPr="00556322">
        <w:t xml:space="preserve"> the State’s existing expenditure on disability services, including payments to disability service providers, being allocated towards the State’s contribution to the NDIS. These services will be funded by the NDIS</w:t>
      </w:r>
      <w:r>
        <w:t>.</w:t>
      </w:r>
    </w:p>
    <w:p w:rsidR="00B32D50" w:rsidRPr="00090B3E" w:rsidRDefault="00B32D50" w:rsidP="00F17BCD"/>
    <w:p w:rsidR="00B32D50" w:rsidRPr="00BC4D8D" w:rsidRDefault="00B32D50" w:rsidP="00F17BCD">
      <w:pPr>
        <w:pStyle w:val="TableHeading"/>
        <w:rPr>
          <w:bCs/>
          <w:lang w:val="en-US"/>
        </w:rPr>
      </w:pPr>
      <w:r>
        <w:t>Purchase of supplies and consumables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Medicinal pharmacy and medical supplies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1 545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1 514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1 541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1 572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1 604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Office supplies and consumables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Specialised operational supplies and consumables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purchase of supplies and consumables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4 295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4 235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4 129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4 189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4 716</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purchase of supplies and consumables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6 159</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6 091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5 992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6 094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6 655</w:t>
            </w:r>
          </w:p>
        </w:tc>
      </w:tr>
    </w:tbl>
    <w:p w:rsidR="00B32D50" w:rsidRPr="00D87D22" w:rsidRDefault="00B32D50" w:rsidP="00F17BCD">
      <w:pPr>
        <w:pStyle w:val="Source"/>
      </w:pPr>
      <w:r w:rsidRPr="00D87D22">
        <w:t>Source: Department of Treasury and Finance</w:t>
      </w:r>
    </w:p>
    <w:p w:rsidR="00B32D50" w:rsidRPr="00AC4FDA" w:rsidRDefault="00B32D50" w:rsidP="00F17BCD"/>
    <w:p w:rsidR="00B32D50" w:rsidRPr="00BC4D8D" w:rsidRDefault="00B32D50" w:rsidP="00F17BCD">
      <w:pPr>
        <w:pStyle w:val="TableHeading"/>
        <w:rPr>
          <w:bCs/>
          <w:lang w:val="en-US"/>
        </w:rPr>
      </w:pPr>
      <w:r>
        <w:t>Purchase of services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Service contracts </w:t>
            </w:r>
            <w:r w:rsidRPr="00BC4D8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7 196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7 188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6 861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6 684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6 839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Accommodation/occupancy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855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815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Medical and client care services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397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401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Staff related expenses (non-labour related)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Other purchase of services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4 012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4 117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3 569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3 277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3 058</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 xml:space="preserve">Total purchase of </w:t>
            </w:r>
            <w:r>
              <w:rPr>
                <w:rFonts w:eastAsiaTheme="minorEastAsia" w:cs="Calibri"/>
                <w:bCs/>
                <w:color w:val="000000"/>
                <w:szCs w:val="16"/>
                <w:lang w:eastAsia="en-AU"/>
              </w:rPr>
              <w:t>services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12 702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12 809</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11 896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11 433</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11 373</w:t>
            </w:r>
          </w:p>
        </w:tc>
      </w:tr>
    </w:tbl>
    <w:p w:rsidR="00B32D50" w:rsidRPr="00D87D22" w:rsidRDefault="00B32D50" w:rsidP="00F17BCD">
      <w:pPr>
        <w:pStyle w:val="Source"/>
      </w:pPr>
      <w:r w:rsidRPr="00D87D22">
        <w:t>Source: Department of Treasury and Finance</w:t>
      </w:r>
    </w:p>
    <w:p w:rsidR="00B32D50" w:rsidRPr="00697AD9" w:rsidRDefault="00B32D50" w:rsidP="00F17BCD">
      <w:pPr>
        <w:pStyle w:val="Note"/>
      </w:pPr>
      <w:r>
        <w:t>Note</w:t>
      </w:r>
      <w:r w:rsidRPr="00697AD9">
        <w:t>:</w:t>
      </w:r>
    </w:p>
    <w:p w:rsidR="00B32D50" w:rsidRDefault="00B32D50" w:rsidP="00F17BCD">
      <w:pPr>
        <w:pStyle w:val="Note"/>
      </w:pPr>
      <w:r w:rsidRPr="00697AD9">
        <w:t>(a)</w:t>
      </w:r>
      <w:r w:rsidRPr="00697AD9">
        <w:tab/>
      </w:r>
      <w:r w:rsidRPr="0095755C">
        <w:t xml:space="preserve">The reduction in </w:t>
      </w:r>
      <w:r>
        <w:t>service contracts in 2019-20 is</w:t>
      </w:r>
      <w:r w:rsidRPr="0095755C">
        <w:t xml:space="preserve"> largely </w:t>
      </w:r>
      <w:r>
        <w:t>due to</w:t>
      </w:r>
      <w:r w:rsidRPr="0095755C">
        <w:t xml:space="preserve"> the State</w:t>
      </w:r>
      <w:r>
        <w:t>’</w:t>
      </w:r>
      <w:r w:rsidRPr="0095755C">
        <w:t>s existing expenditure on disability services, including payments to disability service providers, being allocated towards the State</w:t>
      </w:r>
      <w:r>
        <w:t>’</w:t>
      </w:r>
      <w:r w:rsidRPr="0095755C">
        <w:t xml:space="preserve">s contribution to the </w:t>
      </w:r>
      <w:r>
        <w:t>NDIS.</w:t>
      </w:r>
      <w:r w:rsidRPr="0095755C">
        <w:t xml:space="preserve"> These services will be funded by the NDIS.</w:t>
      </w:r>
    </w:p>
    <w:p w:rsidR="00B32D50" w:rsidRDefault="00B32D50" w:rsidP="005369A5">
      <w:bookmarkStart w:id="50" w:name="_Toc496606578"/>
    </w:p>
    <w:p w:rsidR="00B32D50" w:rsidRDefault="00B32D50" w:rsidP="00B32D50">
      <w:pPr>
        <w:pStyle w:val="Heading3"/>
        <w:numPr>
          <w:ilvl w:val="2"/>
          <w:numId w:val="21"/>
        </w:numPr>
        <w:tabs>
          <w:tab w:val="clear" w:pos="9582"/>
          <w:tab w:val="left" w:pos="850"/>
          <w:tab w:val="right" w:pos="7710"/>
        </w:tabs>
        <w:spacing w:after="60"/>
      </w:pPr>
      <w:bookmarkStart w:id="51" w:name="_Toc528247446"/>
      <w:r>
        <w:lastRenderedPageBreak/>
        <w:t xml:space="preserve">Total expenses by classification of the functions of government and by portfolio </w:t>
      </w:r>
      <w:r w:rsidRPr="004E4D8E">
        <w:t>department</w:t>
      </w:r>
      <w:bookmarkEnd w:id="50"/>
      <w:bookmarkEnd w:id="51"/>
    </w:p>
    <w:p w:rsidR="00B32D50" w:rsidRPr="00BC4D8D" w:rsidRDefault="00B32D50" w:rsidP="00F17BCD">
      <w:pPr>
        <w:pStyle w:val="TableHeading"/>
        <w:rPr>
          <w:bCs/>
          <w:lang w:val="en-US"/>
        </w:rPr>
      </w:pPr>
      <w:r>
        <w:t xml:space="preserve">Expenses by classification of the functions of government </w:t>
      </w:r>
      <w:r w:rsidRPr="0095755C">
        <w:rPr>
          <w:vertAlign w:val="superscript"/>
        </w:rPr>
        <w:t>(a)</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szCs w:val="16"/>
                <w:lang w:eastAsia="en-AU"/>
              </w:rPr>
            </w:pPr>
            <w:r w:rsidRPr="00BC4D8D">
              <w:rPr>
                <w:rFonts w:eastAsiaTheme="minorEastAsia" w:cs="Calibri"/>
                <w:iCs/>
                <w:color w:val="FFFFFF"/>
                <w:szCs w:val="16"/>
                <w:lang w:eastAsia="en-AU"/>
              </w:rPr>
              <w:t xml:space="preserve">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General public services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3 968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3 877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3 784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3 750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3 861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Public order and safety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8 144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8 290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8 250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8 409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8 545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Economic affairs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1 951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2 115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1 405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1 052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942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Environmental protection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Housing and community amenities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2 421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2 196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2 212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2 117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2 017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Health</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19 634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19 449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20 079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21 044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21 960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Recreation, culture and religion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552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Education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16 436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16 454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16 522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16 954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18 172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Social protection </w:t>
            </w:r>
            <w:r w:rsidRPr="00BC4D8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6 136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6 450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7 017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7 059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7 047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Transport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8 260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8 343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8 059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8 188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8 087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Not allocated by purpose </w:t>
            </w:r>
            <w:r w:rsidRPr="00BC4D8D">
              <w:rPr>
                <w:rFonts w:eastAsiaTheme="minorEastAsia" w:cs="Calibri"/>
                <w:color w:val="000000"/>
                <w:szCs w:val="16"/>
                <w:vertAlign w:val="superscript"/>
                <w:lang w:eastAsia="en-AU"/>
              </w:rPr>
              <w:t>(c)</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(1 476)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970</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expenses by COFOG</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68 108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67 480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69 420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70 565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72 827</w:t>
            </w:r>
          </w:p>
        </w:tc>
      </w:tr>
    </w:tbl>
    <w:p w:rsidR="00B32D50" w:rsidRDefault="00B32D50" w:rsidP="00F17BCD">
      <w:pPr>
        <w:pStyle w:val="Source"/>
      </w:pPr>
      <w:r w:rsidRPr="00D87D22">
        <w:t>Source: Department of Treasury and Finance</w:t>
      </w:r>
    </w:p>
    <w:p w:rsidR="00B32D50" w:rsidRPr="00697AD9" w:rsidRDefault="00B32D50" w:rsidP="00F17BCD">
      <w:pPr>
        <w:pStyle w:val="Note"/>
      </w:pPr>
      <w:r w:rsidRPr="00697AD9">
        <w:t>Notes:</w:t>
      </w:r>
    </w:p>
    <w:p w:rsidR="00B32D50" w:rsidRDefault="00B32D50" w:rsidP="00F17BCD">
      <w:pPr>
        <w:pStyle w:val="Note"/>
      </w:pPr>
      <w:r w:rsidRPr="00791993">
        <w:t>(a)</w:t>
      </w:r>
      <w:r w:rsidRPr="00791993">
        <w:tab/>
      </w:r>
      <w:r w:rsidRPr="0007131F">
        <w:t>The classification of the functions of government (COFOG) framework has replaced the former Government Purpose Classification (GPC) framework under the new ABS GFS Manual.</w:t>
      </w:r>
      <w:r>
        <w:t xml:space="preserve"> </w:t>
      </w:r>
      <w:r w:rsidRPr="0007131F">
        <w:t xml:space="preserve">This </w:t>
      </w:r>
      <w:r>
        <w:t>was</w:t>
      </w:r>
      <w:r w:rsidRPr="0007131F">
        <w:t xml:space="preserve"> implemented for the first time in the </w:t>
      </w:r>
      <w:r w:rsidRPr="00F3055C">
        <w:rPr>
          <w:i w:val="0"/>
        </w:rPr>
        <w:t>2018-19 Budget</w:t>
      </w:r>
      <w:r w:rsidRPr="0007131F">
        <w:t xml:space="preserve">. </w:t>
      </w:r>
      <w:r>
        <w:t xml:space="preserve">Note 1.7.5 of Budget Paper No.5 of the </w:t>
      </w:r>
      <w:r>
        <w:rPr>
          <w:i w:val="0"/>
        </w:rPr>
        <w:t>2018-19</w:t>
      </w:r>
      <w:r w:rsidRPr="00812D30">
        <w:rPr>
          <w:i w:val="0"/>
        </w:rPr>
        <w:t xml:space="preserve"> </w:t>
      </w:r>
      <w:r>
        <w:rPr>
          <w:i w:val="0"/>
        </w:rPr>
        <w:t>Budget</w:t>
      </w:r>
      <w:r>
        <w:t xml:space="preserve"> provides definitions and descriptions of the COFOG.</w:t>
      </w:r>
    </w:p>
    <w:p w:rsidR="00B32D50" w:rsidRPr="007A2894" w:rsidRDefault="00B32D50" w:rsidP="00F17BCD">
      <w:pPr>
        <w:pStyle w:val="Note"/>
      </w:pPr>
      <w:r>
        <w:t>(b)</w:t>
      </w:r>
      <w:r>
        <w:tab/>
      </w:r>
      <w:r w:rsidRPr="00697AD9">
        <w:t>Th</w:t>
      </w:r>
      <w:r>
        <w:t>e State’s contribution to the NDIS transition is expected to increase over the next four years as more clients transition into the scheme.</w:t>
      </w:r>
    </w:p>
    <w:p w:rsidR="00B32D50" w:rsidRDefault="00B32D50" w:rsidP="00F17BCD">
      <w:pPr>
        <w:pStyle w:val="Note"/>
      </w:pPr>
      <w:r>
        <w:t>(c</w:t>
      </w:r>
      <w:r w:rsidRPr="00697AD9">
        <w:t>)</w:t>
      </w:r>
      <w:r w:rsidRPr="00697AD9">
        <w:tab/>
      </w:r>
      <w:r>
        <w:t xml:space="preserve">Mainly comprising provision for future demand growth, departmental underspending, eliminated purchases of supplies and consumables between government entities, and items not yet formalised at the time of publication. </w:t>
      </w:r>
      <w:r>
        <w:tab/>
      </w:r>
    </w:p>
    <w:p w:rsidR="00B32D50" w:rsidRPr="0095755C" w:rsidRDefault="00B32D50" w:rsidP="00F17BCD">
      <w:pPr>
        <w:keepLines w:val="0"/>
        <w:rPr>
          <w:rFonts w:asciiTheme="majorHAnsi" w:hAnsiTheme="majorHAnsi"/>
          <w:i/>
          <w:spacing w:val="-2"/>
          <w:sz w:val="14"/>
        </w:rPr>
      </w:pPr>
      <w:r>
        <w:rPr>
          <w:rFonts w:asciiTheme="majorHAnsi" w:hAnsiTheme="majorHAnsi"/>
          <w:i/>
          <w:spacing w:val="-2"/>
          <w:sz w:val="14"/>
        </w:rPr>
        <w:br w:type="page"/>
      </w:r>
    </w:p>
    <w:p w:rsidR="00B32D50" w:rsidRPr="00BC4D8D" w:rsidRDefault="00B32D50" w:rsidP="00F17BCD">
      <w:pPr>
        <w:pStyle w:val="TableHeading"/>
        <w:rPr>
          <w:bCs/>
          <w:lang w:val="en-US"/>
        </w:rPr>
      </w:pPr>
      <w:r>
        <w:lastRenderedPageBreak/>
        <w:t>Total expenses by portfolio department</w:t>
      </w:r>
      <w:r>
        <w:tab/>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szCs w:val="16"/>
                <w:lang w:eastAsia="en-AU"/>
              </w:rPr>
            </w:pPr>
            <w:r w:rsidRPr="00BC4D8D">
              <w:rPr>
                <w:rFonts w:eastAsiaTheme="minorEastAsia" w:cs="Calibri"/>
                <w:iCs/>
                <w:color w:val="FFFFFF"/>
                <w:szCs w:val="16"/>
                <w:lang w:eastAsia="en-AU"/>
              </w:rPr>
              <w:t xml:space="preserve">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Expenses from transactions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Economic Development, Jobs, Transport and Resources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10 645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10 834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9 923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9 760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9 522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Education and Training</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18 345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18 494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18 502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18 572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19 260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Environment, Land, Water and Planning</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3 581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3 799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3 286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2 925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2 762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Health and Human Services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26 926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27 236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27 928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28 280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28 708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Justice and Regulation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7 616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7 787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7 734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7 931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8 062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Premier and Cabinet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Treasury and Finance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7 444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7 618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7 315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7 520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7 825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Parliament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Pr>
                <w:rFonts w:eastAsiaTheme="minorEastAsia" w:cs="Calibri"/>
                <w:color w:val="000000"/>
                <w:szCs w:val="16"/>
                <w:lang w:eastAsia="en-AU"/>
              </w:rPr>
              <w:t>Courts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729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Regulatory bodies and other part funded agencies </w:t>
            </w:r>
            <w:r w:rsidRPr="00BC4D8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2 268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2 451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2 344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2 349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2 360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Output contingencies not allocated to departments </w:t>
            </w:r>
            <w:r w:rsidRPr="00BC4D8D">
              <w:rPr>
                <w:rFonts w:eastAsiaTheme="minorEastAsia" w:cs="Calibri"/>
                <w:color w:val="000000"/>
                <w:szCs w:val="16"/>
                <w:vertAlign w:val="superscript"/>
                <w:lang w:eastAsia="en-AU"/>
              </w:rPr>
              <w:t>(b)</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1 325</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837</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2 185</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3 128</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4 347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6"/>
                <w:lang w:eastAsia="en-AU"/>
              </w:rPr>
            </w:pPr>
            <w:r w:rsidRPr="00BC4D8D">
              <w:rPr>
                <w:rFonts w:eastAsiaTheme="minorEastAsia" w:cs="Calibri"/>
                <w:b/>
                <w:bCs/>
                <w:color w:val="000000"/>
                <w:szCs w:val="16"/>
                <w:lang w:eastAsia="en-AU"/>
              </w:rPr>
              <w:t>Total expenses by department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79 801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80 783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80 703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81 859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BC4D8D">
              <w:rPr>
                <w:rFonts w:eastAsiaTheme="minorEastAsia" w:cs="Calibri"/>
                <w:b/>
                <w:bCs/>
                <w:color w:val="000000"/>
                <w:szCs w:val="16"/>
                <w:lang w:eastAsia="en-AU"/>
              </w:rPr>
              <w:t>84 216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i/>
                <w:iCs/>
                <w:color w:val="000000"/>
                <w:szCs w:val="16"/>
                <w:lang w:eastAsia="en-AU"/>
              </w:rPr>
            </w:pPr>
            <w:r w:rsidRPr="00BC4D8D">
              <w:rPr>
                <w:rFonts w:eastAsiaTheme="minorEastAsia" w:cs="Calibri"/>
                <w:i/>
                <w:iCs/>
                <w:color w:val="000000"/>
                <w:szCs w:val="16"/>
                <w:lang w:eastAsia="en-AU"/>
              </w:rPr>
              <w:t xml:space="preserve">Less eliminations and adjustments </w:t>
            </w:r>
            <w:r w:rsidRPr="00BC4D8D">
              <w:rPr>
                <w:rFonts w:eastAsiaTheme="minorEastAsia" w:cs="Calibri"/>
                <w:i/>
                <w:iCs/>
                <w:color w:val="000000"/>
                <w:szCs w:val="16"/>
                <w:vertAlign w:val="superscript"/>
                <w:lang w:eastAsia="en-AU"/>
              </w:rPr>
              <w:t>(c)</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r>
              <w:rPr>
                <w:rFonts w:eastAsiaTheme="minorEastAsia" w:cs="Calibri"/>
                <w:i/>
                <w:iCs/>
                <w:color w:val="000000"/>
                <w:szCs w:val="16"/>
                <w:lang w:eastAsia="en-AU"/>
              </w:rPr>
              <w:t>(11 693)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r>
              <w:rPr>
                <w:rFonts w:eastAsiaTheme="minorEastAsia" w:cs="Calibri"/>
                <w:i/>
                <w:iCs/>
                <w:color w:val="000000"/>
                <w:szCs w:val="16"/>
                <w:lang w:eastAsia="en-AU"/>
              </w:rPr>
              <w:t>(13 303)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r>
              <w:rPr>
                <w:rFonts w:eastAsiaTheme="minorEastAsia" w:cs="Calibri"/>
                <w:i/>
                <w:iCs/>
                <w:color w:val="000000"/>
                <w:szCs w:val="16"/>
                <w:lang w:eastAsia="en-AU"/>
              </w:rPr>
              <w:t>(11 283)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r>
              <w:rPr>
                <w:rFonts w:eastAsiaTheme="minorEastAsia" w:cs="Calibri"/>
                <w:i/>
                <w:iCs/>
                <w:color w:val="000000"/>
                <w:szCs w:val="16"/>
                <w:lang w:eastAsia="en-AU"/>
              </w:rPr>
              <w:t>(11 295)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16"/>
                <w:lang w:eastAsia="en-AU"/>
              </w:rPr>
            </w:pPr>
            <w:r>
              <w:rPr>
                <w:rFonts w:eastAsiaTheme="minorEastAsia" w:cs="Calibri"/>
                <w:i/>
                <w:iCs/>
                <w:color w:val="000000"/>
                <w:szCs w:val="16"/>
                <w:lang w:eastAsia="en-AU"/>
              </w:rPr>
              <w:t>(11 389)</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expenses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68 108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67 480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69 420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70 565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72 827</w:t>
            </w:r>
          </w:p>
        </w:tc>
      </w:tr>
    </w:tbl>
    <w:p w:rsidR="00B32D50" w:rsidRDefault="00B32D50" w:rsidP="00F17BCD">
      <w:pPr>
        <w:pStyle w:val="Source"/>
      </w:pPr>
      <w:r w:rsidRPr="00D87D22">
        <w:t>Source: Department of Treasury and Finance</w:t>
      </w:r>
    </w:p>
    <w:p w:rsidR="00B32D50" w:rsidRPr="00697AD9" w:rsidRDefault="00B32D50" w:rsidP="00F17BCD">
      <w:pPr>
        <w:pStyle w:val="Note"/>
      </w:pPr>
      <w:r w:rsidRPr="00697AD9">
        <w:t>Notes:</w:t>
      </w:r>
    </w:p>
    <w:p w:rsidR="00B32D50" w:rsidRPr="00697AD9" w:rsidRDefault="00B32D50" w:rsidP="00F17BCD">
      <w:pPr>
        <w:pStyle w:val="Note"/>
      </w:pPr>
      <w:r w:rsidRPr="00697AD9">
        <w:t>(a)</w:t>
      </w:r>
      <w:r w:rsidRPr="00697AD9">
        <w:tab/>
      </w:r>
      <w:r>
        <w:t>Other general government sector agencies not allocated to departmental portfolios.</w:t>
      </w:r>
    </w:p>
    <w:p w:rsidR="00B32D50" w:rsidRDefault="00B32D50" w:rsidP="00F17BCD">
      <w:pPr>
        <w:pStyle w:val="Note"/>
      </w:pPr>
      <w:r w:rsidRPr="00697AD9">
        <w:t>(b)</w:t>
      </w:r>
      <w:r w:rsidRPr="00697AD9">
        <w:tab/>
      </w:r>
      <w:r>
        <w:t>The following table provides a breakdown of the general government output contingencies not allocated to departments.</w:t>
      </w:r>
    </w:p>
    <w:p w:rsidR="00B32D50" w:rsidRPr="008D4DE0" w:rsidRDefault="00B32D50" w:rsidP="00F17BCD">
      <w:pPr>
        <w:pStyle w:val="Note"/>
      </w:pPr>
      <w:r>
        <w:t>(c)</w:t>
      </w:r>
      <w:r>
        <w:tab/>
        <w:t>Mainly comprising payroll tax, capital asset charge, departmental underspend estimates and inter-departmental transfers.</w:t>
      </w:r>
    </w:p>
    <w:p w:rsidR="00B32D50" w:rsidRDefault="00B32D50" w:rsidP="00F17BCD"/>
    <w:p w:rsidR="00B32D50" w:rsidRPr="00BC4D8D" w:rsidRDefault="00B32D50" w:rsidP="00F17BCD">
      <w:pPr>
        <w:pStyle w:val="TableHeading"/>
        <w:rPr>
          <w:bCs/>
          <w:lang w:val="en-US"/>
        </w:rPr>
      </w:pPr>
      <w:r>
        <w:t>General government output contingencies not allocated to departments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szCs w:val="16"/>
                <w:lang w:eastAsia="en-AU"/>
              </w:rPr>
            </w:pPr>
            <w:r w:rsidRPr="00BC4D8D">
              <w:rPr>
                <w:rFonts w:eastAsiaTheme="minorEastAsia" w:cs="Calibri"/>
                <w:iCs/>
                <w:color w:val="FFFFFF"/>
                <w:szCs w:val="16"/>
                <w:lang w:eastAsia="en-AU"/>
              </w:rPr>
              <w:t xml:space="preserve">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Decisions made but not yet allocated </w:t>
            </w:r>
            <w:r w:rsidRPr="00BC4D8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1 225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1 335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2 328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3 447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Funding not allocated to specific purposes </w:t>
            </w:r>
            <w:r w:rsidRPr="00BC4D8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900</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general government output contingencies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1 325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837</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2 185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3 128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4 347</w:t>
            </w:r>
          </w:p>
        </w:tc>
      </w:tr>
    </w:tbl>
    <w:p w:rsidR="00B32D50" w:rsidRDefault="00B32D50" w:rsidP="00F17BCD">
      <w:pPr>
        <w:pStyle w:val="Source"/>
      </w:pPr>
      <w:r w:rsidRPr="00D87D22">
        <w:t>Source: Department of Treasury and Finance</w:t>
      </w:r>
    </w:p>
    <w:p w:rsidR="00B32D50" w:rsidRPr="00697AD9" w:rsidRDefault="00B32D50" w:rsidP="00F17BCD">
      <w:pPr>
        <w:pStyle w:val="Note"/>
      </w:pPr>
      <w:r w:rsidRPr="00697AD9">
        <w:t>Notes:</w:t>
      </w:r>
    </w:p>
    <w:p w:rsidR="00B32D50" w:rsidRDefault="00B32D50" w:rsidP="00F17BCD">
      <w:pPr>
        <w:pStyle w:val="Note"/>
      </w:pPr>
      <w:r w:rsidRPr="00697AD9">
        <w:t>(</w:t>
      </w:r>
      <w:r>
        <w:t>a)</w:t>
      </w:r>
      <w:r>
        <w:tab/>
        <w:t>Reflects existing government policy decisions for which funding has yet to be allocated to departments; provisions not yet allocated to meet additional price and demand growth for health, disability services and education; and a provision for estimated depreciation expense associated with the general government unallocated asset contingency.</w:t>
      </w:r>
    </w:p>
    <w:p w:rsidR="00B32D50" w:rsidRDefault="00B32D50" w:rsidP="00F17BCD">
      <w:pPr>
        <w:pStyle w:val="Note"/>
      </w:pPr>
      <w:r>
        <w:t>(b)</w:t>
      </w:r>
      <w:r>
        <w:tab/>
        <w:t>An unallocated provision available to contribute to future government policy decisions and commitments, including for decisions to extend lapsing programs across the budget and forward estimates.</w:t>
      </w:r>
    </w:p>
    <w:p w:rsidR="00B32D50" w:rsidRPr="004D2883" w:rsidRDefault="00B32D50" w:rsidP="00F17BCD">
      <w:pPr>
        <w:keepLines w:val="0"/>
      </w:pPr>
      <w:r>
        <w:br w:type="page"/>
      </w:r>
    </w:p>
    <w:p w:rsidR="00B32D50" w:rsidRDefault="00B32D50" w:rsidP="00B32D50">
      <w:pPr>
        <w:pStyle w:val="Heading3"/>
        <w:numPr>
          <w:ilvl w:val="2"/>
          <w:numId w:val="21"/>
        </w:numPr>
        <w:tabs>
          <w:tab w:val="clear" w:pos="9582"/>
          <w:tab w:val="left" w:pos="850"/>
          <w:tab w:val="right" w:pos="7710"/>
        </w:tabs>
        <w:spacing w:after="60"/>
      </w:pPr>
      <w:r>
        <w:lastRenderedPageBreak/>
        <w:tab/>
      </w:r>
      <w:bookmarkStart w:id="52" w:name="_Toc496606579"/>
      <w:bookmarkStart w:id="53" w:name="_Toc528247447"/>
      <w:r w:rsidRPr="004E4D8E">
        <w:t>Purchases</w:t>
      </w:r>
      <w:r>
        <w:t xml:space="preserve"> of non-financial assets by classification of the functions of government and by portfolio department</w:t>
      </w:r>
      <w:bookmarkEnd w:id="52"/>
      <w:bookmarkEnd w:id="53"/>
    </w:p>
    <w:p w:rsidR="005369A5" w:rsidRDefault="00B32D50" w:rsidP="00F17BCD">
      <w:pPr>
        <w:pStyle w:val="TableHeading"/>
      </w:pPr>
      <w:r>
        <w:t xml:space="preserve">Purchases of non-financial assets by classification of the functions of government </w:t>
      </w:r>
      <w:r w:rsidRPr="00C64F5C">
        <w:rPr>
          <w:vertAlign w:val="superscript"/>
        </w:rPr>
        <w:t>(a)</w:t>
      </w:r>
      <w:r w:rsidRPr="007C04D5">
        <w:rPr>
          <w:vertAlign w:val="superscript"/>
        </w:rPr>
        <w:t xml:space="preserve"> </w:t>
      </w:r>
    </w:p>
    <w:p w:rsidR="00B32D50" w:rsidRPr="00BC4D8D" w:rsidRDefault="00B32D50" w:rsidP="005369A5">
      <w:pPr>
        <w:pStyle w:val="TableUnits"/>
        <w:rPr>
          <w:bCs/>
          <w:lang w:val="en-US"/>
        </w:rPr>
      </w:pPr>
      <w:r>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szCs w:val="16"/>
                <w:lang w:eastAsia="en-AU"/>
              </w:rPr>
            </w:pPr>
            <w:r w:rsidRPr="00BC4D8D">
              <w:rPr>
                <w:rFonts w:eastAsiaTheme="minorEastAsia" w:cs="Calibri"/>
                <w:iCs/>
                <w:color w:val="FFFFFF"/>
                <w:szCs w:val="16"/>
                <w:lang w:eastAsia="en-AU"/>
              </w:rPr>
              <w:t xml:space="preserve">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General public services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Public order and safety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1 099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1 275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Economic affairs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Environmental protection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Housing and community amenities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Health</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1 019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1 119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Recreation, culture and religion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Education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1 580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1 603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Social protection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Transport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7 008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6 215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6 264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4 094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2 677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Not allocated by purpose </w:t>
            </w:r>
            <w:r w:rsidRPr="00BC4D8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(1 508)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2 136</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purchases of non-financial assets</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10 091</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9 361</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8 896</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7 333</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6 598</w:t>
            </w:r>
          </w:p>
        </w:tc>
      </w:tr>
    </w:tbl>
    <w:p w:rsidR="00B32D50" w:rsidRPr="00D72444" w:rsidRDefault="00B32D50" w:rsidP="00F17BCD">
      <w:pPr>
        <w:pStyle w:val="Source"/>
      </w:pPr>
      <w:r w:rsidRPr="00D87D22">
        <w:t>Source: Department of Treasury and Finance</w:t>
      </w:r>
    </w:p>
    <w:p w:rsidR="00B32D50" w:rsidRDefault="00B32D50" w:rsidP="00F17BCD">
      <w:pPr>
        <w:pStyle w:val="Note"/>
      </w:pPr>
      <w:r>
        <w:t>Notes:</w:t>
      </w:r>
    </w:p>
    <w:p w:rsidR="00B32D50" w:rsidRDefault="00B32D50" w:rsidP="00F17BCD">
      <w:pPr>
        <w:pStyle w:val="Note"/>
      </w:pPr>
      <w:r>
        <w:t>(a)</w:t>
      </w:r>
      <w:r>
        <w:tab/>
      </w:r>
      <w:r w:rsidRPr="0007131F">
        <w:t xml:space="preserve">The </w:t>
      </w:r>
      <w:r>
        <w:t>COFOG</w:t>
      </w:r>
      <w:r w:rsidRPr="0007131F">
        <w:t xml:space="preserve"> framework</w:t>
      </w:r>
      <w:r>
        <w:t xml:space="preserve"> has replaced the former GPC</w:t>
      </w:r>
      <w:r w:rsidRPr="0007131F">
        <w:t xml:space="preserve"> framework under the new ABS GFS Manual.</w:t>
      </w:r>
      <w:r>
        <w:t xml:space="preserve"> </w:t>
      </w:r>
      <w:r w:rsidRPr="0007131F">
        <w:t xml:space="preserve">This </w:t>
      </w:r>
      <w:r>
        <w:t>was</w:t>
      </w:r>
      <w:r w:rsidRPr="0007131F">
        <w:t xml:space="preserve"> implemented for the first time in the </w:t>
      </w:r>
      <w:r w:rsidRPr="00F3055C">
        <w:rPr>
          <w:i w:val="0"/>
        </w:rPr>
        <w:t>2018-19 Budget</w:t>
      </w:r>
      <w:r w:rsidRPr="0007131F">
        <w:t xml:space="preserve">. </w:t>
      </w:r>
      <w:r>
        <w:t xml:space="preserve">Note 1.7.5 of Budget Paper No.5 of the </w:t>
      </w:r>
      <w:r>
        <w:rPr>
          <w:i w:val="0"/>
        </w:rPr>
        <w:t>2018-19</w:t>
      </w:r>
      <w:r w:rsidRPr="00812D30">
        <w:rPr>
          <w:i w:val="0"/>
        </w:rPr>
        <w:t xml:space="preserve"> </w:t>
      </w:r>
      <w:r>
        <w:rPr>
          <w:i w:val="0"/>
        </w:rPr>
        <w:t>Budget</w:t>
      </w:r>
      <w:r>
        <w:t xml:space="preserve"> provides definitions and descriptions of the COFOG.</w:t>
      </w:r>
    </w:p>
    <w:p w:rsidR="00B32D50" w:rsidRPr="00D72444" w:rsidRDefault="00B32D50" w:rsidP="00F17BCD">
      <w:pPr>
        <w:pStyle w:val="Note"/>
      </w:pPr>
      <w:r>
        <w:t>(b)</w:t>
      </w:r>
      <w:r>
        <w:tab/>
        <w:t>Estimated amount available to be allocated to departments and projects in future budgets, including major capital investment. It also includes departmental spending, which may be subject to carryover.</w:t>
      </w:r>
    </w:p>
    <w:p w:rsidR="00B32D50" w:rsidRDefault="00B32D50" w:rsidP="00F17BCD"/>
    <w:p w:rsidR="00B32D50" w:rsidRPr="00BC4D8D" w:rsidRDefault="00B32D50" w:rsidP="00F17BCD">
      <w:pPr>
        <w:pStyle w:val="TableHeading"/>
        <w:rPr>
          <w:bCs/>
          <w:lang w:val="en-US"/>
        </w:rPr>
      </w:pPr>
      <w:r>
        <w:t>Purchases of non-financial assets by portfolio department</w:t>
      </w:r>
      <w:r>
        <w:tab/>
        <w:t xml:space="preserve">($ million) </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223"/>
        <w:gridCol w:w="627"/>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szCs w:val="16"/>
                <w:lang w:eastAsia="en-AU"/>
              </w:rPr>
            </w:pPr>
            <w:r w:rsidRPr="00BC4D8D">
              <w:rPr>
                <w:rFonts w:eastAsiaTheme="minorEastAsia" w:cs="Calibri"/>
                <w:iCs/>
                <w:color w:val="FFFFFF"/>
                <w:szCs w:val="16"/>
                <w:lang w:eastAsia="en-AU"/>
              </w:rPr>
              <w:t xml:space="preserve">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w:t>
            </w:r>
          </w:p>
        </w:tc>
        <w:tc>
          <w:tcPr>
            <w:tcW w:w="850" w:type="dxa"/>
            <w:gridSpan w:val="2"/>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Economic Development, Jobs, Transport and Resources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5 590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6 185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4 367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2 382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1 122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Education and Training</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1 637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1 660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Environment, Land, Water and Planning</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Health and Human Services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1 207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1 351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Justice and Regulation</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782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Premier and Cabinet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Treasury and Finance</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Parliament</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Courts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w:t>
            </w:r>
          </w:p>
        </w:tc>
      </w:tr>
      <w:tr w:rsidR="00B32D50" w:rsidRPr="00BC4D8D" w:rsidTr="005369A5">
        <w:tc>
          <w:tcPr>
            <w:cnfStyle w:val="001000000000" w:firstRow="0" w:lastRow="0" w:firstColumn="1" w:lastColumn="0" w:oddVBand="0" w:evenVBand="0" w:oddHBand="0" w:evenHBand="0" w:firstRowFirstColumn="0" w:firstRowLastColumn="0" w:lastRowFirstColumn="0" w:lastRowLastColumn="0"/>
            <w:tcW w:w="3738" w:type="dxa"/>
            <w:gridSpan w:val="2"/>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Regulatory bodies and other part funded agencies </w:t>
            </w:r>
            <w:r w:rsidRPr="00BC4D8D">
              <w:rPr>
                <w:rFonts w:eastAsiaTheme="minorEastAsia" w:cs="Calibri"/>
                <w:color w:val="000000"/>
                <w:szCs w:val="16"/>
                <w:vertAlign w:val="superscript"/>
                <w:lang w:eastAsia="en-AU"/>
              </w:rPr>
              <w:t>(a)</w:t>
            </w:r>
          </w:p>
        </w:tc>
        <w:tc>
          <w:tcPr>
            <w:tcW w:w="62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110</w:t>
            </w:r>
          </w:p>
        </w:tc>
      </w:tr>
      <w:tr w:rsidR="00B32D50" w:rsidRPr="00BC4D8D" w:rsidTr="005369A5">
        <w:tc>
          <w:tcPr>
            <w:cnfStyle w:val="001000000000" w:firstRow="0" w:lastRow="0" w:firstColumn="1" w:lastColumn="0" w:oddVBand="0" w:evenVBand="0" w:oddHBand="0" w:evenHBand="0" w:firstRowFirstColumn="0" w:firstRowLastColumn="0" w:lastRowFirstColumn="0" w:lastRowLastColumn="0"/>
            <w:tcW w:w="3738" w:type="dxa"/>
            <w:gridSpan w:val="2"/>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Asset contingencies not allocated to departments </w:t>
            </w:r>
            <w:r w:rsidRPr="00BC4D8D">
              <w:rPr>
                <w:rFonts w:eastAsiaTheme="minorEastAsia" w:cs="Calibri"/>
                <w:color w:val="000000"/>
                <w:szCs w:val="16"/>
                <w:vertAlign w:val="superscript"/>
                <w:lang w:eastAsia="en-AU"/>
              </w:rPr>
              <w:t>(b)</w:t>
            </w:r>
          </w:p>
        </w:tc>
        <w:tc>
          <w:tcPr>
            <w:tcW w:w="627"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1 640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2 611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3 183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3 539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Adjustments </w:t>
            </w:r>
            <w:r w:rsidRPr="00BC4D8D">
              <w:rPr>
                <w:rFonts w:eastAsiaTheme="minorEastAsia" w:cs="Calibri"/>
                <w:color w:val="000000"/>
                <w:szCs w:val="16"/>
                <w:vertAlign w:val="superscript"/>
                <w:lang w:eastAsia="en-AU"/>
              </w:rPr>
              <w:t>(c)</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(1 660)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997</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purchases of non-financial assets</w:t>
            </w:r>
          </w:p>
        </w:tc>
        <w:tc>
          <w:tcPr>
            <w:tcW w:w="850" w:type="dxa"/>
            <w:gridSpan w:val="2"/>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10 091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9 361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8 896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7 333</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6 598</w:t>
            </w:r>
          </w:p>
        </w:tc>
      </w:tr>
    </w:tbl>
    <w:p w:rsidR="00B32D50" w:rsidRPr="00D72444" w:rsidRDefault="00B32D50" w:rsidP="00F17BCD">
      <w:pPr>
        <w:pStyle w:val="Source"/>
      </w:pPr>
      <w:r w:rsidRPr="00D87D22">
        <w:t>Source: Department of Treasury and Finance</w:t>
      </w:r>
    </w:p>
    <w:p w:rsidR="00B32D50" w:rsidRPr="00697AD9" w:rsidRDefault="00B32D50" w:rsidP="00F17BCD">
      <w:pPr>
        <w:pStyle w:val="Note"/>
      </w:pPr>
      <w:r w:rsidRPr="00697AD9">
        <w:t>Notes:</w:t>
      </w:r>
    </w:p>
    <w:p w:rsidR="00B32D50" w:rsidRPr="00697AD9" w:rsidRDefault="00B32D50" w:rsidP="00F17BCD">
      <w:pPr>
        <w:pStyle w:val="Note"/>
      </w:pPr>
      <w:r w:rsidRPr="00697AD9">
        <w:t>(a)</w:t>
      </w:r>
      <w:r w:rsidRPr="00697AD9">
        <w:tab/>
      </w:r>
      <w:r>
        <w:t>Other general government sector agencies not allocated to departmental portfolios.</w:t>
      </w:r>
    </w:p>
    <w:p w:rsidR="00B32D50" w:rsidRDefault="00B32D50" w:rsidP="00F17BCD">
      <w:pPr>
        <w:pStyle w:val="Note"/>
      </w:pPr>
      <w:r w:rsidRPr="00697AD9">
        <w:t>(b)</w:t>
      </w:r>
      <w:r w:rsidRPr="00697AD9">
        <w:tab/>
      </w:r>
      <w:r>
        <w:t>The following table provides a breakdown of the general government asset contingencies not allocated to departments.</w:t>
      </w:r>
    </w:p>
    <w:p w:rsidR="00B32D50" w:rsidRPr="00D72444" w:rsidRDefault="00B32D50" w:rsidP="00F17BCD">
      <w:pPr>
        <w:pStyle w:val="Note"/>
      </w:pPr>
      <w:r>
        <w:t>(c)</w:t>
      </w:r>
      <w:r>
        <w:tab/>
        <w:t>Mainly comprises estimated general government underspend, which may be subject to carryover.</w:t>
      </w:r>
    </w:p>
    <w:p w:rsidR="00B32D50" w:rsidRPr="00BC4D8D" w:rsidRDefault="00B32D50" w:rsidP="00F17BCD">
      <w:pPr>
        <w:pStyle w:val="TableHeading"/>
        <w:rPr>
          <w:bCs/>
          <w:lang w:val="en-US"/>
        </w:rPr>
      </w:pPr>
      <w:r>
        <w:lastRenderedPageBreak/>
        <w:t xml:space="preserve">General government asset contingencies not allocated to departments </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szCs w:val="16"/>
                <w:lang w:eastAsia="en-AU"/>
              </w:rPr>
            </w:pPr>
            <w:r w:rsidRPr="00BC4D8D">
              <w:rPr>
                <w:rFonts w:eastAsiaTheme="minorEastAsia" w:cs="Calibri"/>
                <w:iCs/>
                <w:color w:val="FFFFFF"/>
                <w:szCs w:val="16"/>
                <w:lang w:eastAsia="en-AU"/>
              </w:rPr>
              <w:t xml:space="preserve">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Decisions made but not yet allocated </w:t>
            </w:r>
            <w:r w:rsidRPr="00BC4D8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1 640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2 224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2 475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1 889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Funding not allocated to specific purposes </w:t>
            </w:r>
            <w:r w:rsidRPr="00BC4D8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1 650</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general government asset contingencies</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1 640</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349</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2 611</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3 183</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3 539</w:t>
            </w:r>
          </w:p>
        </w:tc>
      </w:tr>
    </w:tbl>
    <w:p w:rsidR="00B32D50" w:rsidRPr="00D72444" w:rsidRDefault="00B32D50" w:rsidP="00F17BCD">
      <w:pPr>
        <w:pStyle w:val="Source"/>
      </w:pPr>
      <w:r w:rsidRPr="00D87D22">
        <w:t>Source: Department of Treasury and Finance</w:t>
      </w:r>
    </w:p>
    <w:p w:rsidR="00B32D50" w:rsidRPr="00697AD9" w:rsidRDefault="00B32D50" w:rsidP="00F17BCD">
      <w:pPr>
        <w:pStyle w:val="Note"/>
      </w:pPr>
      <w:r w:rsidRPr="00697AD9">
        <w:t>Notes:</w:t>
      </w:r>
    </w:p>
    <w:p w:rsidR="00B32D50" w:rsidRDefault="00B32D50" w:rsidP="00F17BCD">
      <w:pPr>
        <w:pStyle w:val="Note"/>
      </w:pPr>
      <w:r w:rsidRPr="00697AD9">
        <w:t>(</w:t>
      </w:r>
      <w:r>
        <w:t>a)</w:t>
      </w:r>
      <w:r>
        <w:tab/>
        <w:t>A provision to account for asset policy decisions for which the funding has yet to be allocated to departments.</w:t>
      </w:r>
    </w:p>
    <w:p w:rsidR="00B32D50" w:rsidRDefault="00B32D50" w:rsidP="00F17BCD">
      <w:pPr>
        <w:pStyle w:val="Note"/>
      </w:pPr>
      <w:r>
        <w:t>(b)</w:t>
      </w:r>
      <w:r>
        <w:tab/>
        <w:t>An unallocated provision available for future government asset investment decisions.</w:t>
      </w:r>
    </w:p>
    <w:p w:rsidR="00B32D50" w:rsidRDefault="00B32D50" w:rsidP="00F17BCD">
      <w:pPr>
        <w:rPr>
          <w:rStyle w:val="Heading2Char0"/>
          <w:b w:val="0"/>
          <w:sz w:val="20"/>
          <w:szCs w:val="20"/>
        </w:rPr>
      </w:pP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54" w:name="_Toc528247448"/>
      <w:r w:rsidRPr="00833B8D">
        <w:t xml:space="preserve">Net </w:t>
      </w:r>
      <w:r w:rsidRPr="004E4D8E">
        <w:t>acquisition</w:t>
      </w:r>
      <w:r w:rsidRPr="00833B8D">
        <w:t xml:space="preserve"> of non-financial assets from transactions</w:t>
      </w:r>
      <w:r w:rsidRPr="00833B8D">
        <w:tab/>
        <w:t>($ million)</w:t>
      </w:r>
      <w:bookmarkEnd w:id="54"/>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71"/>
        <w:gridCol w:w="679"/>
        <w:gridCol w:w="850"/>
        <w:gridCol w:w="850"/>
        <w:gridCol w:w="850"/>
        <w:gridCol w:w="850"/>
      </w:tblGrid>
      <w:tr w:rsidR="005369A5" w:rsidRPr="00BC4D8D" w:rsidTr="00536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69A5" w:rsidRPr="00BC4D8D" w:rsidRDefault="005369A5"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gridSpan w:val="2"/>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 xml:space="preserve">2018-19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 xml:space="preserve">2018-19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 xml:space="preserve">2019-20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 xml:space="preserve">2020-21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5369A5" w:rsidRPr="00BC4D8D" w:rsidRDefault="005369A5"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 xml:space="preserve">2021-22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Purchases of non-financial assets </w:t>
            </w:r>
            <w:r>
              <w:rPr>
                <w:rFonts w:eastAsiaTheme="minorEastAsia" w:cs="Calibri"/>
                <w:color w:val="000000"/>
                <w:szCs w:val="16"/>
                <w:lang w:eastAsia="en-AU"/>
              </w:rPr>
              <w:br/>
            </w:r>
            <w:r w:rsidRPr="00BC4D8D">
              <w:rPr>
                <w:rFonts w:eastAsiaTheme="minorEastAsia" w:cs="Calibri"/>
                <w:color w:val="000000"/>
                <w:szCs w:val="16"/>
                <w:lang w:eastAsia="en-AU"/>
              </w:rPr>
              <w:t>(including change in inventories)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10 095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9 366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8 900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7 337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6 603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Less: Sales of non-financial assets</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(368)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Less: Depreciation and amortisation</w:t>
            </w:r>
          </w:p>
        </w:tc>
        <w:tc>
          <w:tcPr>
            <w:tcW w:w="850" w:type="dxa"/>
            <w:gridSpan w:val="2"/>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(2 876)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(2 884)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(3 050)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(3 521)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686" w:type="dxa"/>
            <w:gridSpan w:val="2"/>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Less: Other movements in non-financial assets </w:t>
            </w:r>
            <w:r w:rsidRPr="00BC4D8D">
              <w:rPr>
                <w:rFonts w:eastAsiaTheme="minorEastAsia" w:cs="Calibri"/>
                <w:color w:val="000000"/>
                <w:szCs w:val="16"/>
                <w:vertAlign w:val="superscript"/>
                <w:lang w:eastAsia="en-AU"/>
              </w:rPr>
              <w:t>(a)(b)</w:t>
            </w:r>
          </w:p>
        </w:tc>
        <w:tc>
          <w:tcPr>
            <w:tcW w:w="679"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(4 931)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(4 053)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(815)</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net acquisition of non-financial assets from transactions</w:t>
            </w:r>
          </w:p>
        </w:tc>
        <w:tc>
          <w:tcPr>
            <w:tcW w:w="850" w:type="dxa"/>
            <w:gridSpan w:val="2"/>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1 921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2 063</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3 062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2 324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1 920</w:t>
            </w:r>
          </w:p>
        </w:tc>
      </w:tr>
    </w:tbl>
    <w:p w:rsidR="00B32D50" w:rsidRDefault="00B32D50" w:rsidP="00F17BCD">
      <w:pPr>
        <w:pStyle w:val="Source"/>
      </w:pPr>
      <w:r w:rsidRPr="00D87D22">
        <w:t>Source: Department of Treasury and Finance</w:t>
      </w:r>
    </w:p>
    <w:p w:rsidR="00B32D50" w:rsidRDefault="00B32D50" w:rsidP="00F17BCD">
      <w:pPr>
        <w:pStyle w:val="Note"/>
      </w:pPr>
      <w:r>
        <w:t>Notes:</w:t>
      </w:r>
    </w:p>
    <w:p w:rsidR="00B32D50" w:rsidRDefault="00B32D50" w:rsidP="00F17BCD">
      <w:pPr>
        <w:pStyle w:val="Note"/>
      </w:pPr>
      <w:r>
        <w:t>(a)</w:t>
      </w:r>
      <w:r>
        <w:tab/>
        <w:t>The other movements in non-financial assets includes the transfer of fixed assets to other sectors of government, State capital contributions to major projects and recognising finance lease arrangements, including from public private partnerships.</w:t>
      </w:r>
    </w:p>
    <w:p w:rsidR="00B32D50" w:rsidRDefault="00B32D50" w:rsidP="00F17BCD">
      <w:pPr>
        <w:pStyle w:val="Note"/>
      </w:pPr>
      <w:r>
        <w:t>(b)</w:t>
      </w:r>
      <w:r>
        <w:tab/>
      </w:r>
      <w:r w:rsidRPr="005367E0">
        <w:t xml:space="preserve">The finance lease acquisitions across the forward estimates relate to </w:t>
      </w:r>
      <w:r>
        <w:t xml:space="preserve">the High Capacity Metro Trains </w:t>
      </w:r>
      <w:r w:rsidRPr="005367E0">
        <w:t>Project, the Western Roads Upgrade, the Melbourne Co</w:t>
      </w:r>
      <w:r>
        <w:t xml:space="preserve">nvention and Exhibition Centre – Stage 2 development, </w:t>
      </w:r>
      <w:r w:rsidRPr="005367E0">
        <w:t>the Casey Hospital expansion, the Northern Roads Upgrade and the South Eastern Roads Upgrade.</w:t>
      </w:r>
    </w:p>
    <w:p w:rsidR="00B32D50" w:rsidRDefault="00B32D50" w:rsidP="00F17BCD"/>
    <w:p w:rsidR="00B32D50" w:rsidRDefault="00B32D50" w:rsidP="00F17BCD"/>
    <w:bookmarkEnd w:id="43"/>
    <w:p w:rsidR="00B32D50" w:rsidRDefault="00B32D50">
      <w:pPr>
        <w:keepLines w:val="0"/>
        <w:rPr>
          <w:rFonts w:asciiTheme="majorHAnsi" w:eastAsiaTheme="majorEastAsia" w:hAnsiTheme="majorHAnsi" w:cstheme="majorBidi"/>
          <w:b/>
          <w:spacing w:val="-2"/>
          <w:sz w:val="26"/>
          <w:szCs w:val="26"/>
        </w:rPr>
      </w:pPr>
      <w:r>
        <w:br w:type="page"/>
      </w:r>
    </w:p>
    <w:p w:rsidR="00B32D50" w:rsidRDefault="00B32D50" w:rsidP="00B32D50">
      <w:pPr>
        <w:pStyle w:val="Heading2"/>
        <w:numPr>
          <w:ilvl w:val="1"/>
          <w:numId w:val="21"/>
        </w:numPr>
        <w:sectPr w:rsidR="00B32D50" w:rsidSect="00F17BCD">
          <w:headerReference w:type="even" r:id="rId59"/>
          <w:headerReference w:type="default" r:id="rId60"/>
          <w:headerReference w:type="first" r:id="rId61"/>
          <w:footerReference w:type="first" r:id="rId62"/>
          <w:type w:val="continuous"/>
          <w:pgSz w:w="9979" w:h="14175" w:code="9"/>
          <w:pgMar w:top="850" w:right="1134" w:bottom="850" w:left="1134" w:header="624" w:footer="567" w:gutter="0"/>
          <w:cols w:space="567"/>
          <w:titlePg/>
          <w:docGrid w:linePitch="360"/>
        </w:sectPr>
      </w:pPr>
      <w:r>
        <w:lastRenderedPageBreak/>
        <w:t>MAJOR ASSETS AND INVESTMENTS</w:t>
      </w:r>
    </w:p>
    <w:p w:rsidR="00B32D50" w:rsidRDefault="00B32D50" w:rsidP="00F17BCD">
      <w:pPr>
        <w:pStyle w:val="Heading30"/>
        <w:pBdr>
          <w:bottom w:val="single" w:sz="4" w:space="1" w:color="auto"/>
        </w:pBdr>
      </w:pPr>
      <w:r>
        <w:t>Introduction</w:t>
      </w:r>
    </w:p>
    <w:p w:rsidR="00B32D50" w:rsidRDefault="00B32D50" w:rsidP="00F17BCD">
      <w:r>
        <w:t>This section outlines the major assets that the general government sector controls from investing activities in the prior, current, and future years.</w:t>
      </w:r>
    </w:p>
    <w:p w:rsidR="00B32D50" w:rsidRDefault="00B32D50" w:rsidP="00F17BCD">
      <w:pPr>
        <w:pStyle w:val="Heading30"/>
        <w:pBdr>
          <w:bottom w:val="single" w:sz="4" w:space="1" w:color="auto"/>
        </w:pBdr>
      </w:pPr>
      <w:r>
        <w:br w:type="column"/>
      </w:r>
      <w:r>
        <w:t>Structure</w:t>
      </w:r>
    </w:p>
    <w:p w:rsidR="00B32D50" w:rsidRDefault="00B32D50">
      <w:pPr>
        <w:pStyle w:val="TOC9"/>
        <w:rPr>
          <w:rFonts w:eastAsiaTheme="minorEastAsia"/>
          <w:noProof/>
          <w:spacing w:val="0"/>
          <w:lang w:eastAsia="en-AU"/>
        </w:rPr>
      </w:pPr>
      <w:r>
        <w:fldChar w:fldCharType="begin"/>
      </w:r>
      <w:r>
        <w:instrText xml:space="preserve"> TOC \h \z \t "Heading 3 (#),9" \b Section_4 \* MERGEFORMAT </w:instrText>
      </w:r>
      <w:r>
        <w:fldChar w:fldCharType="separate"/>
      </w:r>
      <w:hyperlink w:anchor="_Toc528247481" w:history="1">
        <w:r w:rsidRPr="002733E7">
          <w:rPr>
            <w:rStyle w:val="Hyperlink"/>
            <w:noProof/>
            <w:lang w:val="en-US"/>
          </w:rPr>
          <w:t>3.4.1</w:t>
        </w:r>
        <w:r>
          <w:rPr>
            <w:rFonts w:eastAsiaTheme="minorEastAsia"/>
            <w:noProof/>
            <w:spacing w:val="0"/>
            <w:lang w:eastAsia="en-AU"/>
          </w:rPr>
          <w:tab/>
        </w:r>
        <w:r w:rsidRPr="002733E7">
          <w:rPr>
            <w:rStyle w:val="Hyperlink"/>
            <w:noProof/>
          </w:rPr>
          <w:t>Total land, buildings, infrastructure,</w:t>
        </w:r>
        <w:r>
          <w:rPr>
            <w:rStyle w:val="Hyperlink"/>
            <w:noProof/>
          </w:rPr>
          <w:t xml:space="preserve"> plant and equipment</w:t>
        </w:r>
        <w:r>
          <w:rPr>
            <w:noProof/>
            <w:webHidden/>
          </w:rPr>
          <w:tab/>
        </w:r>
        <w:r>
          <w:rPr>
            <w:noProof/>
            <w:webHidden/>
          </w:rPr>
          <w:fldChar w:fldCharType="begin"/>
        </w:r>
        <w:r>
          <w:rPr>
            <w:noProof/>
            <w:webHidden/>
          </w:rPr>
          <w:instrText xml:space="preserve"> PAGEREF _Toc528247481 \h </w:instrText>
        </w:r>
        <w:r>
          <w:rPr>
            <w:noProof/>
            <w:webHidden/>
          </w:rPr>
        </w:r>
        <w:r>
          <w:rPr>
            <w:noProof/>
            <w:webHidden/>
          </w:rPr>
          <w:fldChar w:fldCharType="separate"/>
        </w:r>
        <w:r w:rsidR="00132FE0">
          <w:rPr>
            <w:noProof/>
            <w:webHidden/>
          </w:rPr>
          <w:t>48</w:t>
        </w:r>
        <w:r>
          <w:rPr>
            <w:noProof/>
            <w:webHidden/>
          </w:rPr>
          <w:fldChar w:fldCharType="end"/>
        </w:r>
      </w:hyperlink>
    </w:p>
    <w:p w:rsidR="00B32D50" w:rsidRDefault="00132FE0">
      <w:pPr>
        <w:pStyle w:val="TOC9"/>
        <w:rPr>
          <w:rFonts w:eastAsiaTheme="minorEastAsia"/>
          <w:noProof/>
          <w:spacing w:val="0"/>
          <w:lang w:eastAsia="en-AU"/>
        </w:rPr>
      </w:pPr>
      <w:hyperlink w:anchor="_Toc528247482" w:history="1">
        <w:r w:rsidR="00B32D50" w:rsidRPr="002733E7">
          <w:rPr>
            <w:rStyle w:val="Hyperlink"/>
            <w:noProof/>
            <w:lang w:val="en-US"/>
          </w:rPr>
          <w:t>3.4.2</w:t>
        </w:r>
        <w:r w:rsidR="00B32D50">
          <w:rPr>
            <w:rFonts w:eastAsiaTheme="minorEastAsia"/>
            <w:noProof/>
            <w:spacing w:val="0"/>
            <w:lang w:eastAsia="en-AU"/>
          </w:rPr>
          <w:tab/>
        </w:r>
        <w:r w:rsidR="00B32D50" w:rsidRPr="002733E7">
          <w:rPr>
            <w:rStyle w:val="Hyperlink"/>
            <w:noProof/>
          </w:rPr>
          <w:t>Depreciation</w:t>
        </w:r>
        <w:r w:rsidR="00B32D50">
          <w:rPr>
            <w:noProof/>
            <w:webHidden/>
          </w:rPr>
          <w:tab/>
        </w:r>
        <w:r w:rsidR="00B32D50">
          <w:rPr>
            <w:noProof/>
            <w:webHidden/>
          </w:rPr>
          <w:fldChar w:fldCharType="begin"/>
        </w:r>
        <w:r w:rsidR="00B32D50">
          <w:rPr>
            <w:noProof/>
            <w:webHidden/>
          </w:rPr>
          <w:instrText xml:space="preserve"> PAGEREF _Toc528247482 \h </w:instrText>
        </w:r>
        <w:r w:rsidR="00B32D50">
          <w:rPr>
            <w:noProof/>
            <w:webHidden/>
          </w:rPr>
        </w:r>
        <w:r w:rsidR="00B32D50">
          <w:rPr>
            <w:noProof/>
            <w:webHidden/>
          </w:rPr>
          <w:fldChar w:fldCharType="separate"/>
        </w:r>
        <w:r>
          <w:rPr>
            <w:noProof/>
            <w:webHidden/>
          </w:rPr>
          <w:t>49</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83" w:history="1">
        <w:r w:rsidR="00B32D50" w:rsidRPr="002733E7">
          <w:rPr>
            <w:rStyle w:val="Hyperlink"/>
            <w:noProof/>
            <w:lang w:val="en-US"/>
          </w:rPr>
          <w:t>3.4.3</w:t>
        </w:r>
        <w:r w:rsidR="00B32D50">
          <w:rPr>
            <w:rFonts w:eastAsiaTheme="minorEastAsia"/>
            <w:noProof/>
            <w:spacing w:val="0"/>
            <w:lang w:eastAsia="en-AU"/>
          </w:rPr>
          <w:tab/>
        </w:r>
        <w:r w:rsidR="00B32D50" w:rsidRPr="002733E7">
          <w:rPr>
            <w:rStyle w:val="Hyperlink"/>
            <w:noProof/>
          </w:rPr>
          <w:t>Reconciliation of movements in land, buildings, infrastructure,  plant and equipment</w:t>
        </w:r>
        <w:r w:rsidR="00B32D50">
          <w:rPr>
            <w:noProof/>
            <w:webHidden/>
          </w:rPr>
          <w:tab/>
        </w:r>
        <w:r w:rsidR="00B32D50">
          <w:rPr>
            <w:noProof/>
            <w:webHidden/>
          </w:rPr>
          <w:fldChar w:fldCharType="begin"/>
        </w:r>
        <w:r w:rsidR="00B32D50">
          <w:rPr>
            <w:noProof/>
            <w:webHidden/>
          </w:rPr>
          <w:instrText xml:space="preserve"> PAGEREF _Toc528247483 \h </w:instrText>
        </w:r>
        <w:r w:rsidR="00B32D50">
          <w:rPr>
            <w:noProof/>
            <w:webHidden/>
          </w:rPr>
        </w:r>
        <w:r w:rsidR="00B32D50">
          <w:rPr>
            <w:noProof/>
            <w:webHidden/>
          </w:rPr>
          <w:fldChar w:fldCharType="separate"/>
        </w:r>
        <w:r>
          <w:rPr>
            <w:noProof/>
            <w:webHidden/>
          </w:rPr>
          <w:t>49</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84" w:history="1">
        <w:r w:rsidR="00B32D50" w:rsidRPr="002733E7">
          <w:rPr>
            <w:rStyle w:val="Hyperlink"/>
            <w:noProof/>
            <w:lang w:val="en-US"/>
          </w:rPr>
          <w:t>3.4.4</w:t>
        </w:r>
        <w:r w:rsidR="00B32D50">
          <w:rPr>
            <w:rFonts w:eastAsiaTheme="minorEastAsia"/>
            <w:noProof/>
            <w:spacing w:val="0"/>
            <w:lang w:eastAsia="en-AU"/>
          </w:rPr>
          <w:tab/>
        </w:r>
        <w:r w:rsidR="00B32D50" w:rsidRPr="002733E7">
          <w:rPr>
            <w:rStyle w:val="Hyperlink"/>
            <w:noProof/>
          </w:rPr>
          <w:t>Other non-financial assets</w:t>
        </w:r>
        <w:r w:rsidR="00B32D50">
          <w:rPr>
            <w:noProof/>
            <w:webHidden/>
          </w:rPr>
          <w:tab/>
        </w:r>
        <w:r w:rsidR="00B32D50">
          <w:rPr>
            <w:noProof/>
            <w:webHidden/>
          </w:rPr>
          <w:fldChar w:fldCharType="begin"/>
        </w:r>
        <w:r w:rsidR="00B32D50">
          <w:rPr>
            <w:noProof/>
            <w:webHidden/>
          </w:rPr>
          <w:instrText xml:space="preserve"> PAGEREF _Toc528247484 \h </w:instrText>
        </w:r>
        <w:r w:rsidR="00B32D50">
          <w:rPr>
            <w:noProof/>
            <w:webHidden/>
          </w:rPr>
        </w:r>
        <w:r w:rsidR="00B32D50">
          <w:rPr>
            <w:noProof/>
            <w:webHidden/>
          </w:rPr>
          <w:fldChar w:fldCharType="separate"/>
        </w:r>
        <w:r>
          <w:rPr>
            <w:noProof/>
            <w:webHidden/>
          </w:rPr>
          <w:t>50</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485" w:history="1">
        <w:r w:rsidR="00B32D50" w:rsidRPr="002733E7">
          <w:rPr>
            <w:rStyle w:val="Hyperlink"/>
            <w:noProof/>
            <w:lang w:val="en-US"/>
          </w:rPr>
          <w:t>3.4.5</w:t>
        </w:r>
        <w:r w:rsidR="00B32D50">
          <w:rPr>
            <w:rFonts w:eastAsiaTheme="minorEastAsia"/>
            <w:noProof/>
            <w:spacing w:val="0"/>
            <w:lang w:eastAsia="en-AU"/>
          </w:rPr>
          <w:tab/>
        </w:r>
        <w:r w:rsidR="00B32D50" w:rsidRPr="002733E7">
          <w:rPr>
            <w:rStyle w:val="Hyperlink"/>
            <w:noProof/>
          </w:rPr>
          <w:t>Total assets by classification of the functions of government</w:t>
        </w:r>
        <w:r w:rsidR="00B32D50">
          <w:rPr>
            <w:noProof/>
            <w:webHidden/>
          </w:rPr>
          <w:tab/>
        </w:r>
        <w:r w:rsidR="00B32D50">
          <w:rPr>
            <w:noProof/>
            <w:webHidden/>
          </w:rPr>
          <w:fldChar w:fldCharType="begin"/>
        </w:r>
        <w:r w:rsidR="00B32D50">
          <w:rPr>
            <w:noProof/>
            <w:webHidden/>
          </w:rPr>
          <w:instrText xml:space="preserve"> PAGEREF _Toc528247485 \h </w:instrText>
        </w:r>
        <w:r w:rsidR="00B32D50">
          <w:rPr>
            <w:noProof/>
            <w:webHidden/>
          </w:rPr>
        </w:r>
        <w:r w:rsidR="00B32D50">
          <w:rPr>
            <w:noProof/>
            <w:webHidden/>
          </w:rPr>
          <w:fldChar w:fldCharType="separate"/>
        </w:r>
        <w:r>
          <w:rPr>
            <w:noProof/>
            <w:webHidden/>
          </w:rPr>
          <w:t>50</w:t>
        </w:r>
        <w:r w:rsidR="00B32D50">
          <w:rPr>
            <w:noProof/>
            <w:webHidden/>
          </w:rPr>
          <w:fldChar w:fldCharType="end"/>
        </w:r>
      </w:hyperlink>
    </w:p>
    <w:p w:rsidR="00B32D50" w:rsidRDefault="00B32D50" w:rsidP="00F17BCD">
      <w:pPr>
        <w:rPr>
          <w:b/>
          <w:bCs/>
          <w:noProof/>
          <w:lang w:val="en-US"/>
        </w:rPr>
        <w:sectPr w:rsidR="00B32D50" w:rsidSect="00F17BCD">
          <w:type w:val="continuous"/>
          <w:pgSz w:w="9979" w:h="14175" w:code="9"/>
          <w:pgMar w:top="850" w:right="1134" w:bottom="850" w:left="1134" w:header="624" w:footer="567" w:gutter="0"/>
          <w:cols w:num="2" w:space="567"/>
          <w:titlePg/>
          <w:docGrid w:linePitch="360"/>
        </w:sectPr>
      </w:pPr>
      <w:r>
        <w:rPr>
          <w:b/>
          <w:bCs/>
          <w:noProof/>
          <w:lang w:val="en-US"/>
        </w:rPr>
        <w:fldChar w:fldCharType="end"/>
      </w: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56" w:name="_Toc528247481"/>
      <w:bookmarkStart w:id="57" w:name="Section_4"/>
      <w:r>
        <w:t xml:space="preserve">Total land, </w:t>
      </w:r>
      <w:r w:rsidRPr="00232E5E">
        <w:t>buildings</w:t>
      </w:r>
      <w:r w:rsidRPr="00833B8D">
        <w:t>, infrastructure</w:t>
      </w:r>
      <w:r>
        <w:t>, plant and equipment</w:t>
      </w:r>
      <w:r>
        <w:tab/>
        <w:t>($ million)</w:t>
      </w:r>
      <w:bookmarkEnd w:id="56"/>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86570" w:rsidRPr="00BC4D8D" w:rsidTr="00A865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86570" w:rsidRPr="00BC4D8D" w:rsidRDefault="00A86570"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2020</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 xml:space="preserve"> 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2021</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2022</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Buildings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31 604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31 669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32 080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33 404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36 263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Leased buildings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5 424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5 462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5 291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5 113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4 929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Land and national parks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58 923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58 902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62 376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62 658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64 412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Infrastructure systems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1 408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1 407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1 424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1 393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1 350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Plant, equipment and vehicles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2 548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2 584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2 380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2 086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1 728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Leased plant, equipment and vehicles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Roads and road infrastructure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22 164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22 014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25 447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25 762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26 201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Leased roads and road infrastructure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1 355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1 506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1 554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Earthworks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8 290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8 279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9 506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9 646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9 703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Cultural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5 639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5 639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5 632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6 301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6 310</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8"/>
                <w:lang w:eastAsia="en-AU"/>
              </w:rPr>
            </w:pPr>
            <w:r w:rsidRPr="00BC4D8D">
              <w:rPr>
                <w:rFonts w:eastAsiaTheme="minorEastAsia" w:cs="Calibri"/>
                <w:bCs/>
                <w:color w:val="000000"/>
                <w:szCs w:val="18"/>
                <w:lang w:eastAsia="en-AU"/>
              </w:rPr>
              <w:t>Total land, buildings, infrastructure, plant and equipment</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136 801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136 758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145 696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148 058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152 620</w:t>
            </w:r>
          </w:p>
        </w:tc>
      </w:tr>
    </w:tbl>
    <w:p w:rsidR="00B32D50" w:rsidRDefault="00B32D50" w:rsidP="00F17BCD">
      <w:pPr>
        <w:pStyle w:val="Source"/>
      </w:pPr>
      <w:r w:rsidRPr="00D87D22">
        <w:t>Source: Department of Treasury and Finance</w:t>
      </w:r>
    </w:p>
    <w:p w:rsidR="00B32D50" w:rsidRDefault="00B32D50" w:rsidP="00F17BCD"/>
    <w:p w:rsidR="00B32D50" w:rsidRPr="00D72444" w:rsidRDefault="00B32D50" w:rsidP="00F17BCD">
      <w:pPr>
        <w:pStyle w:val="Heading10"/>
      </w:pPr>
      <w:r>
        <w:br w:type="page"/>
      </w: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58" w:name="_Toc528247482"/>
      <w:r w:rsidRPr="00232E5E">
        <w:lastRenderedPageBreak/>
        <w:t>Depreciation</w:t>
      </w:r>
      <w:r>
        <w:tab/>
        <w:t>($ million)</w:t>
      </w:r>
      <w:bookmarkEnd w:id="58"/>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86570" w:rsidRPr="00BC4D8D" w:rsidTr="00A865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86570" w:rsidRPr="00BC4D8D" w:rsidRDefault="00A86570"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Buildings </w:t>
            </w:r>
            <w:r w:rsidRPr="00BC4D8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1 198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1 198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1 291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1 378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1 467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Leased buildings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Infrastructure systems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50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Plant, equipment and vehicles </w:t>
            </w:r>
            <w:r w:rsidRPr="00BC4D8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659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Leased plant, equipment and vehicles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Roads and road networks </w:t>
            </w:r>
            <w:r w:rsidRPr="00BC4D8D">
              <w:rPr>
                <w:rFonts w:eastAsiaTheme="minorEastAsia" w:cs="Calibri"/>
                <w:color w:val="000000"/>
                <w:szCs w:val="16"/>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683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Leased roads and road infrastructure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Cultural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Intangible produced assets </w:t>
            </w:r>
            <w:r w:rsidRPr="00BC4D8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163</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depreciation</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2 876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2 884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3 050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3 352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3 521</w:t>
            </w:r>
          </w:p>
        </w:tc>
      </w:tr>
    </w:tbl>
    <w:p w:rsidR="00B32D50" w:rsidRDefault="00B32D50" w:rsidP="00F17BCD">
      <w:pPr>
        <w:pStyle w:val="Source"/>
      </w:pPr>
      <w:r w:rsidRPr="006F0BE1">
        <w:t>Source: Department of Treasury and Finance</w:t>
      </w:r>
    </w:p>
    <w:p w:rsidR="00B32D50" w:rsidRDefault="00B32D50" w:rsidP="00F17BCD">
      <w:pPr>
        <w:pStyle w:val="Note"/>
      </w:pPr>
      <w:r>
        <w:t>Notes:</w:t>
      </w:r>
    </w:p>
    <w:p w:rsidR="00B32D50" w:rsidRDefault="00B32D50" w:rsidP="00F17BCD">
      <w:pPr>
        <w:pStyle w:val="Note"/>
      </w:pPr>
      <w:r>
        <w:t>(a)</w:t>
      </w:r>
      <w:r>
        <w:tab/>
        <w:t>Includes estimated depreciation on amounts not yet allocated to projects in 2018-19 to 2021-22.</w:t>
      </w:r>
    </w:p>
    <w:p w:rsidR="00B32D50" w:rsidRDefault="00B32D50" w:rsidP="00F17BCD">
      <w:pPr>
        <w:pStyle w:val="Note"/>
      </w:pPr>
      <w:r>
        <w:t>(b)</w:t>
      </w:r>
      <w:r>
        <w:tab/>
        <w:t>Amortisation of intangible non-produced assets is included under other gains/(losses) from other economic flows.</w:t>
      </w:r>
    </w:p>
    <w:p w:rsidR="00B32D50" w:rsidRDefault="00B32D50" w:rsidP="00F17BCD"/>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59" w:name="_Toc528247483"/>
      <w:r w:rsidRPr="00232E5E">
        <w:t>Reconciliation</w:t>
      </w:r>
      <w:r>
        <w:t xml:space="preserve"> of movements in land, buildings, infrastructure, </w:t>
      </w:r>
      <w:r>
        <w:br/>
        <w:t xml:space="preserve">plant and equipment </w:t>
      </w:r>
      <w:r w:rsidRPr="002F552E">
        <w:rPr>
          <w:vertAlign w:val="superscript"/>
        </w:rPr>
        <w:t>(a)</w:t>
      </w:r>
      <w:r>
        <w:tab/>
        <w:t>($ million)</w:t>
      </w:r>
      <w:bookmarkEnd w:id="59"/>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86570" w:rsidRPr="00BC4D8D" w:rsidTr="00A865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86570" w:rsidRPr="00BC4D8D" w:rsidRDefault="00A86570"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Carrying amount at the start of the year</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134 141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134 141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136 758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145 696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148 058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Additions </w:t>
            </w:r>
            <w:r w:rsidRPr="00BC4D8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10 586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9 798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9 843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7 740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6 484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Disposals at written down value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Revaluations </w:t>
            </w:r>
            <w:r w:rsidRPr="00BC4D8D">
              <w:rPr>
                <w:rFonts w:eastAsiaTheme="minorEastAsia" w:cs="Calibri"/>
                <w:color w:val="000000"/>
                <w:szCs w:val="16"/>
                <w:vertAlign w:val="superscript"/>
                <w:lang w:eastAsia="en-AU"/>
              </w:rPr>
              <w:t>(c)</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6 860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1 441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3 797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Asset transfers </w:t>
            </w:r>
            <w:r w:rsidRPr="00BC4D8D">
              <w:rPr>
                <w:rFonts w:eastAsiaTheme="minorEastAsia" w:cs="Calibri"/>
                <w:color w:val="000000"/>
                <w:szCs w:val="16"/>
                <w:vertAlign w:val="superscript"/>
                <w:lang w:eastAsia="en-AU"/>
              </w:rPr>
              <w:t>(d)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(5 632)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(4 893)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(4 548)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(3 363)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(2 092)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Depreciation expense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(2 730)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(2 893)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(3 192)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(3 358)</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Carrying amount at the end of the year</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136 801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136 758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145 696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148 058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152 620</w:t>
            </w:r>
          </w:p>
        </w:tc>
      </w:tr>
    </w:tbl>
    <w:p w:rsidR="00B32D50" w:rsidRDefault="00B32D50" w:rsidP="00F17BCD">
      <w:pPr>
        <w:pStyle w:val="Source"/>
      </w:pPr>
      <w:r w:rsidRPr="00D87D22">
        <w:t>Source: Department of Treasury and Finance</w:t>
      </w:r>
    </w:p>
    <w:p w:rsidR="00B32D50" w:rsidRDefault="00B32D50" w:rsidP="00F17BCD">
      <w:pPr>
        <w:pStyle w:val="Note"/>
      </w:pPr>
      <w:r>
        <w:t>Notes:</w:t>
      </w:r>
    </w:p>
    <w:p w:rsidR="00B32D50" w:rsidRDefault="00B32D50" w:rsidP="00F17BCD">
      <w:pPr>
        <w:pStyle w:val="Note"/>
      </w:pPr>
      <w:r w:rsidRPr="002F552E">
        <w:t>(a</w:t>
      </w:r>
      <w:r>
        <w:t>)</w:t>
      </w:r>
      <w:r>
        <w:tab/>
        <w:t>The reconciliation of movements comprises land and buildings, infrastructure systems, plant, equipment, vehicles, roads, roads infrastructure and cultural assets and excludes intangible assets, investment properties and other non-financial assets.</w:t>
      </w:r>
    </w:p>
    <w:p w:rsidR="00B32D50" w:rsidRDefault="00B32D50" w:rsidP="00F17BCD">
      <w:pPr>
        <w:pStyle w:val="Note"/>
      </w:pPr>
      <w:r>
        <w:t>(b)</w:t>
      </w:r>
      <w:r>
        <w:tab/>
        <w:t>Includes assets acquired under finance lease arrangements.</w:t>
      </w:r>
    </w:p>
    <w:p w:rsidR="00B32D50" w:rsidRDefault="00B32D50" w:rsidP="00F17BCD">
      <w:pPr>
        <w:pStyle w:val="Note"/>
      </w:pPr>
      <w:r>
        <w:t>(c)</w:t>
      </w:r>
      <w:r>
        <w:tab/>
        <w:t>The 2019-20 amount mainly represents a forecast revaluation of transport assets consistent with the revaluation cycle per the State’s accounting policy.</w:t>
      </w:r>
    </w:p>
    <w:p w:rsidR="00B32D50" w:rsidRDefault="00B32D50" w:rsidP="00F17BCD">
      <w:pPr>
        <w:pStyle w:val="Note"/>
      </w:pPr>
      <w:r>
        <w:t>(d)</w:t>
      </w:r>
      <w:r>
        <w:tab/>
        <w:t xml:space="preserve">Represents the transfer of assets to the public non-financial corporations sector. </w:t>
      </w:r>
    </w:p>
    <w:p w:rsidR="00B32D50" w:rsidRPr="009E1E6A" w:rsidRDefault="00B32D50" w:rsidP="00F17BCD">
      <w:pPr>
        <w:keepLines w:val="0"/>
      </w:pPr>
      <w:r>
        <w:br w:type="page"/>
      </w: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60" w:name="_Toc528247484"/>
      <w:r>
        <w:lastRenderedPageBreak/>
        <w:t xml:space="preserve">Other </w:t>
      </w:r>
      <w:r w:rsidRPr="00232E5E">
        <w:t>non</w:t>
      </w:r>
      <w:r>
        <w:t>-financial assets</w:t>
      </w:r>
      <w:r>
        <w:tab/>
        <w:t>($ million)</w:t>
      </w:r>
      <w:bookmarkEnd w:id="60"/>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86570" w:rsidRPr="00BC4D8D" w:rsidTr="00A865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86570" w:rsidRPr="00BC4D8D" w:rsidRDefault="00A86570"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2020</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 xml:space="preserve"> 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2021</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2022</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 xml:space="preserve">Intangible produced assets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1 965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2 015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1 978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1 964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1 974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Accumulated depreciation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 xml:space="preserve">Intangible non-produced assets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Accumulated amortisation</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 xml:space="preserve">Total intangibles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Investment properties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Biological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Other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2 166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3 732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4 558</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8"/>
                <w:lang w:eastAsia="en-AU"/>
              </w:rPr>
            </w:pPr>
            <w:r w:rsidRPr="00BC4D8D">
              <w:rPr>
                <w:rFonts w:eastAsiaTheme="minorEastAsia" w:cs="Calibri"/>
                <w:bCs/>
                <w:color w:val="000000"/>
                <w:szCs w:val="18"/>
                <w:lang w:eastAsia="en-AU"/>
              </w:rPr>
              <w:t>Total other non-financial assets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1 978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2 130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3 157</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4 574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5 271</w:t>
            </w:r>
          </w:p>
        </w:tc>
      </w:tr>
    </w:tbl>
    <w:p w:rsidR="00B32D50" w:rsidRDefault="00B32D50" w:rsidP="00F17BCD">
      <w:pPr>
        <w:pStyle w:val="Source"/>
      </w:pPr>
      <w:r w:rsidRPr="00D87D22">
        <w:t>Source: Department of Treasury and Finance</w:t>
      </w:r>
    </w:p>
    <w:p w:rsidR="00B32D50" w:rsidRDefault="00B32D50" w:rsidP="00F17BCD"/>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61" w:name="_Toc528247485"/>
      <w:r>
        <w:t xml:space="preserve">Total assets by </w:t>
      </w:r>
      <w:r w:rsidRPr="00232E5E">
        <w:t>classification</w:t>
      </w:r>
      <w:r>
        <w:t xml:space="preserve"> of the functions of government</w:t>
      </w:r>
      <w:r w:rsidRPr="0084338A">
        <w:rPr>
          <w:vertAlign w:val="superscript"/>
        </w:rPr>
        <w:t xml:space="preserve"> (a)</w:t>
      </w:r>
      <w:r>
        <w:tab/>
        <w:t>($ million)</w:t>
      </w:r>
      <w:bookmarkEnd w:id="61"/>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A86570" w:rsidRPr="00BC4D8D" w:rsidTr="00A865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A86570" w:rsidRPr="00BC4D8D" w:rsidRDefault="00A86570" w:rsidP="00F17BCD">
            <w:pPr>
              <w:autoSpaceDE w:val="0"/>
              <w:autoSpaceDN w:val="0"/>
              <w:adjustRightInd w:val="0"/>
              <w:rPr>
                <w:rFonts w:eastAsiaTheme="minorEastAsia" w:cs="Calibri"/>
                <w:iCs/>
                <w:color w:val="FFFFFF"/>
                <w:szCs w:val="16"/>
                <w:lang w:eastAsia="en-AU"/>
              </w:rPr>
            </w:pPr>
            <w:r w:rsidRPr="00BC4D8D">
              <w:rPr>
                <w:rFonts w:eastAsiaTheme="minorEastAsia" w:cs="Calibri"/>
                <w:iCs/>
                <w:color w:val="FFFFFF"/>
                <w:szCs w:val="16"/>
                <w:lang w:eastAsia="en-AU"/>
              </w:rPr>
              <w:t xml:space="preserve"> </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 xml:space="preserve"> </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A86570" w:rsidRPr="00BC4D8D" w:rsidRDefault="00A8657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General public services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2 163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2 165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2 120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2 086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2 086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Public order and safety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10 050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10 249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10 885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11 346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11 473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Economic affairs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1 120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1 152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1 156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1 152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1 142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Environmental protection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11 926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11 948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13 075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13 424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13 410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Housing and community amenities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1 775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1 739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1 685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1 693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1 717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Health</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15 336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15 436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15 033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14 748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14 408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Recreation, culture and religion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7 420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7 415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7 476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7 515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7 537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Education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28 341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28 367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28 710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28 562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31 828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Social protection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3 305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3 346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3 423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3 471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3 478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Transport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59 283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59 411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67 881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71 303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71 810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Not allocated by purpose </w:t>
            </w:r>
            <w:r w:rsidRPr="00BC4D8D">
              <w:rPr>
                <w:rFonts w:eastAsiaTheme="minorEastAsia" w:cs="Calibri"/>
                <w:color w:val="000000"/>
                <w:szCs w:val="16"/>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130 995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128 016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131 104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132 853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BC4D8D">
              <w:rPr>
                <w:rFonts w:eastAsiaTheme="minorEastAsia" w:cs="Calibri"/>
                <w:color w:val="000000"/>
                <w:szCs w:val="16"/>
                <w:lang w:eastAsia="en-AU"/>
              </w:rPr>
              <w:t>136 038</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assets by COFOG</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271 712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269 244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282 548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288 154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BC4D8D">
              <w:rPr>
                <w:rFonts w:eastAsiaTheme="minorEastAsia" w:cs="Calibri"/>
                <w:bCs/>
                <w:color w:val="000000"/>
                <w:szCs w:val="16"/>
                <w:lang w:eastAsia="en-AU"/>
              </w:rPr>
              <w:t>294 929</w:t>
            </w:r>
          </w:p>
        </w:tc>
      </w:tr>
    </w:tbl>
    <w:p w:rsidR="00B32D50" w:rsidRPr="00006F5A" w:rsidRDefault="00B32D50" w:rsidP="00F17BCD">
      <w:pPr>
        <w:pStyle w:val="Source"/>
      </w:pPr>
      <w:r w:rsidRPr="00D87D22">
        <w:t>Source: Department of Treasury and Finance</w:t>
      </w:r>
    </w:p>
    <w:p w:rsidR="00B32D50" w:rsidRDefault="00B32D50" w:rsidP="00F17BCD">
      <w:pPr>
        <w:pStyle w:val="Note"/>
      </w:pPr>
      <w:r>
        <w:t>Notes:</w:t>
      </w:r>
    </w:p>
    <w:p w:rsidR="00B32D50" w:rsidRDefault="00B32D50" w:rsidP="00F17BCD">
      <w:pPr>
        <w:pStyle w:val="Note"/>
      </w:pPr>
      <w:r>
        <w:t>(a)</w:t>
      </w:r>
      <w:r>
        <w:tab/>
      </w:r>
      <w:r w:rsidRPr="0007131F">
        <w:t xml:space="preserve">The </w:t>
      </w:r>
      <w:r>
        <w:t>COFOG</w:t>
      </w:r>
      <w:r w:rsidRPr="0007131F">
        <w:t xml:space="preserve"> framework</w:t>
      </w:r>
      <w:r>
        <w:t xml:space="preserve"> has replaced the former GPC</w:t>
      </w:r>
      <w:r w:rsidRPr="0007131F">
        <w:t xml:space="preserve"> framework under the new ABS GFS Manual.</w:t>
      </w:r>
      <w:r>
        <w:t xml:space="preserve"> </w:t>
      </w:r>
      <w:r w:rsidRPr="0007131F">
        <w:t xml:space="preserve">This </w:t>
      </w:r>
      <w:r>
        <w:t>was</w:t>
      </w:r>
      <w:r w:rsidRPr="0007131F">
        <w:t xml:space="preserve"> implemented for the first time in the </w:t>
      </w:r>
      <w:r w:rsidRPr="00F3055C">
        <w:rPr>
          <w:i w:val="0"/>
        </w:rPr>
        <w:t>2018-19 Budget</w:t>
      </w:r>
      <w:r w:rsidRPr="0007131F">
        <w:t xml:space="preserve">. </w:t>
      </w:r>
      <w:r>
        <w:t xml:space="preserve">Note 1.7.5 of Budget Paper No.5 of the </w:t>
      </w:r>
      <w:r>
        <w:rPr>
          <w:i w:val="0"/>
        </w:rPr>
        <w:t>2018-19</w:t>
      </w:r>
      <w:r w:rsidRPr="00812D30">
        <w:rPr>
          <w:i w:val="0"/>
        </w:rPr>
        <w:t xml:space="preserve"> </w:t>
      </w:r>
      <w:r>
        <w:rPr>
          <w:i w:val="0"/>
        </w:rPr>
        <w:t>Budget</w:t>
      </w:r>
      <w:r>
        <w:t xml:space="preserve"> provides definitions and descriptions of the COFOG.</w:t>
      </w:r>
    </w:p>
    <w:p w:rsidR="00B32D50" w:rsidRPr="002F552E" w:rsidRDefault="00B32D50" w:rsidP="00F17BCD">
      <w:pPr>
        <w:pStyle w:val="Note"/>
      </w:pPr>
      <w:r>
        <w:t>(b)</w:t>
      </w:r>
      <w:r>
        <w:tab/>
        <w:t>Represents financial assets which are not able to be allocated by purpose. This mainly includes balances relating to the general government sector’s investment in other sector entities.</w:t>
      </w:r>
    </w:p>
    <w:bookmarkEnd w:id="57"/>
    <w:p w:rsidR="00B32D50" w:rsidRDefault="00B32D50">
      <w:pPr>
        <w:keepLines w:val="0"/>
      </w:pPr>
      <w:r>
        <w:br w:type="page"/>
      </w:r>
    </w:p>
    <w:p w:rsidR="00B32D50" w:rsidRDefault="00B32D50" w:rsidP="00B32D50">
      <w:pPr>
        <w:pStyle w:val="Heading2"/>
        <w:numPr>
          <w:ilvl w:val="1"/>
          <w:numId w:val="21"/>
        </w:numPr>
        <w:sectPr w:rsidR="00B32D50" w:rsidSect="00F17BCD">
          <w:type w:val="continuous"/>
          <w:pgSz w:w="9979" w:h="14175" w:code="9"/>
          <w:pgMar w:top="850" w:right="1134" w:bottom="850" w:left="1134" w:header="624" w:footer="567" w:gutter="0"/>
          <w:cols w:space="567"/>
          <w:titlePg/>
          <w:docGrid w:linePitch="360"/>
        </w:sectPr>
      </w:pPr>
      <w:r w:rsidRPr="00232E5E">
        <w:lastRenderedPageBreak/>
        <w:t>FINANCING STATE OPERATIONS</w:t>
      </w:r>
    </w:p>
    <w:p w:rsidR="00B32D50" w:rsidRPr="00FD555B" w:rsidRDefault="00B32D50" w:rsidP="00B607B3">
      <w:pPr>
        <w:pStyle w:val="Heading30"/>
        <w:pBdr>
          <w:bottom w:val="single" w:sz="6" w:space="1" w:color="auto"/>
        </w:pBdr>
      </w:pPr>
      <w:r w:rsidRPr="00FD555B">
        <w:t>Introduction</w:t>
      </w:r>
    </w:p>
    <w:p w:rsidR="00B32D50" w:rsidRDefault="00B32D50" w:rsidP="00F17BCD">
      <w:r>
        <w:t>State operations are financed through a variety of means. Recurrent operations are generally financed from cash flows from operating activities (see consolidated cash flow statement). Asset investment operations are generally financed from a combination of surplus cash flows from operating activities, asset sales, advances and borrowings.</w:t>
      </w:r>
    </w:p>
    <w:p w:rsidR="00B32D50" w:rsidRDefault="00B32D50" w:rsidP="00F17BCD">
      <w:r>
        <w:t>This section provides information on the balances related to the financing of the general government sector’s operations.</w:t>
      </w:r>
    </w:p>
    <w:p w:rsidR="00B32D50" w:rsidRPr="00FD555B" w:rsidRDefault="00B32D50" w:rsidP="00B607B3">
      <w:pPr>
        <w:pStyle w:val="Heading30"/>
        <w:pBdr>
          <w:bottom w:val="single" w:sz="6" w:space="1" w:color="auto"/>
        </w:pBdr>
      </w:pPr>
      <w:r>
        <w:br w:type="column"/>
      </w:r>
      <w:r w:rsidRPr="00FD555B">
        <w:t>Structure</w:t>
      </w:r>
    </w:p>
    <w:p w:rsidR="00B32D50" w:rsidRDefault="00B32D50">
      <w:pPr>
        <w:pStyle w:val="TOC9"/>
        <w:rPr>
          <w:rFonts w:eastAsiaTheme="minorEastAsia"/>
          <w:noProof/>
          <w:spacing w:val="0"/>
          <w:lang w:eastAsia="en-AU"/>
        </w:rPr>
      </w:pPr>
      <w:r>
        <w:fldChar w:fldCharType="begin"/>
      </w:r>
      <w:r>
        <w:instrText xml:space="preserve"> TOC \h \z \t "Heading 3 (#),9" \b Section_5 \* MERGEFORMAT </w:instrText>
      </w:r>
      <w:r>
        <w:fldChar w:fldCharType="separate"/>
      </w:r>
      <w:hyperlink w:anchor="_Toc528247524" w:history="1">
        <w:r w:rsidRPr="00786254">
          <w:rPr>
            <w:rStyle w:val="Hyperlink"/>
            <w:noProof/>
            <w:lang w:val="en-US"/>
          </w:rPr>
          <w:t>3.5.1</w:t>
        </w:r>
        <w:r>
          <w:rPr>
            <w:rFonts w:eastAsiaTheme="minorEastAsia"/>
            <w:noProof/>
            <w:spacing w:val="0"/>
            <w:lang w:eastAsia="en-AU"/>
          </w:rPr>
          <w:tab/>
        </w:r>
        <w:r w:rsidRPr="00786254">
          <w:rPr>
            <w:rStyle w:val="Hyperlink"/>
            <w:noProof/>
          </w:rPr>
          <w:t>Borrowings</w:t>
        </w:r>
        <w:r>
          <w:rPr>
            <w:noProof/>
            <w:webHidden/>
          </w:rPr>
          <w:tab/>
        </w:r>
        <w:r>
          <w:rPr>
            <w:noProof/>
            <w:webHidden/>
          </w:rPr>
          <w:fldChar w:fldCharType="begin"/>
        </w:r>
        <w:r>
          <w:rPr>
            <w:noProof/>
            <w:webHidden/>
          </w:rPr>
          <w:instrText xml:space="preserve"> PAGEREF _Toc528247524 \h </w:instrText>
        </w:r>
        <w:r>
          <w:rPr>
            <w:noProof/>
            <w:webHidden/>
          </w:rPr>
        </w:r>
        <w:r>
          <w:rPr>
            <w:noProof/>
            <w:webHidden/>
          </w:rPr>
          <w:fldChar w:fldCharType="separate"/>
        </w:r>
        <w:r w:rsidR="00132FE0">
          <w:rPr>
            <w:noProof/>
            <w:webHidden/>
          </w:rPr>
          <w:t>51</w:t>
        </w:r>
        <w:r>
          <w:rPr>
            <w:noProof/>
            <w:webHidden/>
          </w:rPr>
          <w:fldChar w:fldCharType="end"/>
        </w:r>
      </w:hyperlink>
    </w:p>
    <w:p w:rsidR="00B32D50" w:rsidRDefault="00132FE0">
      <w:pPr>
        <w:pStyle w:val="TOC9"/>
        <w:rPr>
          <w:rFonts w:eastAsiaTheme="minorEastAsia"/>
          <w:noProof/>
          <w:spacing w:val="0"/>
          <w:lang w:eastAsia="en-AU"/>
        </w:rPr>
      </w:pPr>
      <w:hyperlink w:anchor="_Toc528247525" w:history="1">
        <w:r w:rsidR="00B32D50" w:rsidRPr="00786254">
          <w:rPr>
            <w:rStyle w:val="Hyperlink"/>
            <w:noProof/>
            <w:lang w:val="en-US"/>
          </w:rPr>
          <w:t>3.5.2</w:t>
        </w:r>
        <w:r w:rsidR="00B32D50">
          <w:rPr>
            <w:rFonts w:eastAsiaTheme="minorEastAsia"/>
            <w:noProof/>
            <w:spacing w:val="0"/>
            <w:lang w:eastAsia="en-AU"/>
          </w:rPr>
          <w:tab/>
        </w:r>
        <w:r w:rsidR="00B32D50" w:rsidRPr="00786254">
          <w:rPr>
            <w:rStyle w:val="Hyperlink"/>
            <w:noProof/>
          </w:rPr>
          <w:t>Advances paid and i</w:t>
        </w:r>
        <w:r w:rsidR="00B32D50">
          <w:rPr>
            <w:rStyle w:val="Hyperlink"/>
            <w:noProof/>
          </w:rPr>
          <w:t>nvestments, loans and placement</w:t>
        </w:r>
        <w:r w:rsidR="00B32D50">
          <w:rPr>
            <w:noProof/>
            <w:webHidden/>
          </w:rPr>
          <w:tab/>
        </w:r>
        <w:r w:rsidR="00B32D50">
          <w:rPr>
            <w:noProof/>
            <w:webHidden/>
          </w:rPr>
          <w:fldChar w:fldCharType="begin"/>
        </w:r>
        <w:r w:rsidR="00B32D50">
          <w:rPr>
            <w:noProof/>
            <w:webHidden/>
          </w:rPr>
          <w:instrText xml:space="preserve"> PAGEREF _Toc528247525 \h </w:instrText>
        </w:r>
        <w:r w:rsidR="00B32D50">
          <w:rPr>
            <w:noProof/>
            <w:webHidden/>
          </w:rPr>
        </w:r>
        <w:r w:rsidR="00B32D50">
          <w:rPr>
            <w:noProof/>
            <w:webHidden/>
          </w:rPr>
          <w:fldChar w:fldCharType="separate"/>
        </w:r>
        <w:r>
          <w:rPr>
            <w:noProof/>
            <w:webHidden/>
          </w:rPr>
          <w:t>52</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526" w:history="1">
        <w:r w:rsidR="00B32D50" w:rsidRPr="00786254">
          <w:rPr>
            <w:rStyle w:val="Hyperlink"/>
            <w:noProof/>
            <w:lang w:val="en-US"/>
          </w:rPr>
          <w:t>3.5.3</w:t>
        </w:r>
        <w:r w:rsidR="00B32D50">
          <w:rPr>
            <w:rFonts w:eastAsiaTheme="minorEastAsia"/>
            <w:noProof/>
            <w:spacing w:val="0"/>
            <w:lang w:eastAsia="en-AU"/>
          </w:rPr>
          <w:tab/>
        </w:r>
        <w:r w:rsidR="00B32D50" w:rsidRPr="00786254">
          <w:rPr>
            <w:rStyle w:val="Hyperlink"/>
            <w:noProof/>
          </w:rPr>
          <w:t>Interest expense</w:t>
        </w:r>
        <w:r w:rsidR="00B32D50">
          <w:rPr>
            <w:noProof/>
            <w:webHidden/>
          </w:rPr>
          <w:tab/>
        </w:r>
        <w:r w:rsidR="00B32D50">
          <w:rPr>
            <w:noProof/>
            <w:webHidden/>
          </w:rPr>
          <w:fldChar w:fldCharType="begin"/>
        </w:r>
        <w:r w:rsidR="00B32D50">
          <w:rPr>
            <w:noProof/>
            <w:webHidden/>
          </w:rPr>
          <w:instrText xml:space="preserve"> PAGEREF _Toc528247526 \h </w:instrText>
        </w:r>
        <w:r w:rsidR="00B32D50">
          <w:rPr>
            <w:noProof/>
            <w:webHidden/>
          </w:rPr>
        </w:r>
        <w:r w:rsidR="00B32D50">
          <w:rPr>
            <w:noProof/>
            <w:webHidden/>
          </w:rPr>
          <w:fldChar w:fldCharType="separate"/>
        </w:r>
        <w:r>
          <w:rPr>
            <w:noProof/>
            <w:webHidden/>
          </w:rPr>
          <w:t>52</w:t>
        </w:r>
        <w:r w:rsidR="00B32D50">
          <w:rPr>
            <w:noProof/>
            <w:webHidden/>
          </w:rPr>
          <w:fldChar w:fldCharType="end"/>
        </w:r>
      </w:hyperlink>
    </w:p>
    <w:p w:rsidR="00B32D50" w:rsidRDefault="00B32D50" w:rsidP="00F17BCD">
      <w:pPr>
        <w:rPr>
          <w:b/>
          <w:bCs/>
          <w:noProof/>
          <w:lang w:val="en-US"/>
        </w:rPr>
        <w:sectPr w:rsidR="00B32D50" w:rsidSect="00F17BCD">
          <w:type w:val="continuous"/>
          <w:pgSz w:w="9979" w:h="14175" w:code="9"/>
          <w:pgMar w:top="850" w:right="1134" w:bottom="850" w:left="1134" w:header="624" w:footer="567" w:gutter="0"/>
          <w:cols w:num="2" w:space="567"/>
          <w:titlePg/>
          <w:docGrid w:linePitch="360"/>
        </w:sectPr>
      </w:pPr>
      <w:r>
        <w:rPr>
          <w:b/>
          <w:bCs/>
          <w:noProof/>
          <w:lang w:val="en-US"/>
        </w:rPr>
        <w:fldChar w:fldCharType="end"/>
      </w:r>
    </w:p>
    <w:p w:rsidR="00B32D50" w:rsidRDefault="00B32D50" w:rsidP="00F17BCD"/>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62" w:name="_Toc528247524"/>
      <w:bookmarkStart w:id="63" w:name="Section_5"/>
      <w:r w:rsidRPr="00564877">
        <w:rPr>
          <w:rStyle w:val="Heading3Char0"/>
          <w:b/>
          <w:bCs/>
        </w:rPr>
        <w:t>Borrowings</w:t>
      </w:r>
      <w:r>
        <w:tab/>
        <w:t>($ million)</w:t>
      </w:r>
      <w:bookmarkEnd w:id="62"/>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061A50" w:rsidRPr="00BC4D8D" w:rsidTr="00061A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061A50" w:rsidRPr="00BC4D8D" w:rsidRDefault="00061A50"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2020</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2021</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2022</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 xml:space="preserve"> 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Current borrowings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Domestic borrowings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3 613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1 113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 xml:space="preserve">Finance lease liabilities </w:t>
            </w:r>
            <w:r w:rsidRPr="00BC4D8D">
              <w:rPr>
                <w:rFonts w:eastAsiaTheme="minorEastAsia" w:cs="Calibri"/>
                <w:color w:val="000000"/>
                <w:szCs w:val="18"/>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Derivative financial instruments</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264</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330</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current borrowings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3 887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1 562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1 584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1 669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1 843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Non-current borrowings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Domestic borrowings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25 179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23 168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27 973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30 361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32 005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 xml:space="preserve">Finance lease liabilities </w:t>
            </w:r>
            <w:r w:rsidRPr="00BC4D8D">
              <w:rPr>
                <w:rFonts w:eastAsiaTheme="minorEastAsia" w:cs="Calibri"/>
                <w:color w:val="000000"/>
                <w:szCs w:val="18"/>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9 685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9 685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10 493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10 733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10 666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Derivative financial instruments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non-current borrowings</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34 971</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32 960</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38 574</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41 202</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42 778</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8"/>
                <w:lang w:eastAsia="en-AU"/>
              </w:rPr>
            </w:pPr>
            <w:r w:rsidRPr="00BC4D8D">
              <w:rPr>
                <w:rFonts w:eastAsiaTheme="minorEastAsia" w:cs="Calibri"/>
                <w:bCs/>
                <w:color w:val="000000"/>
                <w:szCs w:val="18"/>
                <w:lang w:eastAsia="en-AU"/>
              </w:rPr>
              <w:t>Total borrowings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38 859</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34 522</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40 158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42 870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44 621</w:t>
            </w:r>
          </w:p>
        </w:tc>
      </w:tr>
    </w:tbl>
    <w:p w:rsidR="00B32D50" w:rsidRDefault="00B32D50" w:rsidP="00F17BCD">
      <w:pPr>
        <w:pStyle w:val="Source"/>
      </w:pPr>
      <w:r w:rsidRPr="00D87D22">
        <w:t>Source: Department of Treasury and Finance</w:t>
      </w:r>
    </w:p>
    <w:p w:rsidR="00B32D50" w:rsidRDefault="00B32D50" w:rsidP="00F17BCD">
      <w:pPr>
        <w:pStyle w:val="Note"/>
      </w:pPr>
      <w:r>
        <w:t>Note:</w:t>
      </w:r>
    </w:p>
    <w:p w:rsidR="00B32D50" w:rsidRDefault="00B32D50" w:rsidP="00F17BCD">
      <w:pPr>
        <w:pStyle w:val="Note"/>
      </w:pPr>
      <w:r>
        <w:t>(a)</w:t>
      </w:r>
      <w:r>
        <w:tab/>
        <w:t xml:space="preserve">Further detailed disclosures on finance lease liabilities can be found in the </w:t>
      </w:r>
      <w:r>
        <w:rPr>
          <w:i w:val="0"/>
        </w:rPr>
        <w:t>2017-18</w:t>
      </w:r>
      <w:r w:rsidRPr="0020172C">
        <w:rPr>
          <w:i w:val="0"/>
        </w:rPr>
        <w:t xml:space="preserve"> Financial Report</w:t>
      </w:r>
      <w:r>
        <w:t xml:space="preserve"> for the State of Victoria.</w:t>
      </w:r>
    </w:p>
    <w:p w:rsidR="00B32D50" w:rsidRDefault="00B32D50" w:rsidP="00F17BCD"/>
    <w:p w:rsidR="00B32D50" w:rsidRPr="00B41AC3" w:rsidRDefault="00B32D50" w:rsidP="00F17BCD">
      <w:pPr>
        <w:pStyle w:val="Heading10"/>
      </w:pPr>
      <w:r>
        <w:br w:type="page"/>
      </w: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64" w:name="_Toc528247525"/>
      <w:r>
        <w:lastRenderedPageBreak/>
        <w:t>Advances paid and investments, loans and placements</w:t>
      </w:r>
      <w:r>
        <w:tab/>
        <w:t>($ million)</w:t>
      </w:r>
      <w:bookmarkEnd w:id="64"/>
    </w:p>
    <w:tbl>
      <w:tblPr>
        <w:tblStyle w:val="DTFTable"/>
        <w:tblW w:w="7765" w:type="dxa"/>
        <w:tblInd w:w="45" w:type="dxa"/>
        <w:tblLayout w:type="fixed"/>
        <w:tblCellMar>
          <w:left w:w="45" w:type="dxa"/>
          <w:right w:w="45" w:type="dxa"/>
        </w:tblCellMar>
        <w:tblLook w:val="06A0" w:firstRow="1" w:lastRow="0" w:firstColumn="1" w:lastColumn="0" w:noHBand="1" w:noVBand="1"/>
      </w:tblPr>
      <w:tblGrid>
        <w:gridCol w:w="3515"/>
        <w:gridCol w:w="850"/>
        <w:gridCol w:w="850"/>
        <w:gridCol w:w="850"/>
        <w:gridCol w:w="850"/>
        <w:gridCol w:w="850"/>
      </w:tblGrid>
      <w:tr w:rsidR="00061A50" w:rsidRPr="00BC4D8D" w:rsidTr="00061A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061A50" w:rsidRPr="00BC4D8D" w:rsidRDefault="00061A50"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2020</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2021</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2022</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 xml:space="preserve">Current advances paid and investments, </w:t>
            </w:r>
            <w:r>
              <w:rPr>
                <w:rFonts w:eastAsiaTheme="minorEastAsia" w:cs="Calibri"/>
                <w:b/>
                <w:bCs/>
                <w:color w:val="000000"/>
                <w:szCs w:val="18"/>
                <w:lang w:eastAsia="en-AU"/>
              </w:rPr>
              <w:br/>
            </w:r>
            <w:r w:rsidRPr="00BC4D8D">
              <w:rPr>
                <w:rFonts w:eastAsiaTheme="minorEastAsia" w:cs="Calibri"/>
                <w:b/>
                <w:bCs/>
                <w:color w:val="000000"/>
                <w:szCs w:val="18"/>
                <w:lang w:eastAsia="en-AU"/>
              </w:rPr>
              <w:t>loans and placements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Loans and advances paid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1 742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1 891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1 303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 xml:space="preserve">Equities and managed investment schemes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1 210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1 258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1 275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Australian dollar term deposits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1 159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1 127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1 154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Debt securities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Derivative financial instruments</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current advances paid and investments, loans and placements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4 084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4 251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3 685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3 074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2 636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Non-current advances paid and investments, loans and placements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Loans and advances paid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6 546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6 634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5 338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4 738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4 667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 xml:space="preserve">Equities and managed investment schemes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1 096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1 084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1 498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1 560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1 583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Australian dollar term deposits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1 131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Debt securities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Derivative financial instruments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non-current advances paid and investments, loans and placements</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8 402</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8 478</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7 663</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7 230</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7 413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 xml:space="preserve">Total advances paid and investments, </w:t>
            </w:r>
            <w:r>
              <w:rPr>
                <w:rFonts w:eastAsiaTheme="minorEastAsia" w:cs="Calibri"/>
                <w:b/>
                <w:bCs/>
                <w:color w:val="000000"/>
                <w:szCs w:val="18"/>
                <w:lang w:eastAsia="en-AU"/>
              </w:rPr>
              <w:br/>
            </w:r>
            <w:r w:rsidRPr="00BC4D8D">
              <w:rPr>
                <w:rFonts w:eastAsiaTheme="minorEastAsia" w:cs="Calibri"/>
                <w:b/>
                <w:bCs/>
                <w:color w:val="000000"/>
                <w:szCs w:val="18"/>
                <w:lang w:eastAsia="en-AU"/>
              </w:rPr>
              <w:t>loans and placements</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12 486</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12 729</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11 348</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10 304</w:t>
            </w:r>
          </w:p>
        </w:tc>
        <w:tc>
          <w:tcPr>
            <w:tcW w:w="850" w:type="dxa"/>
            <w:tcBorders>
              <w:top w:val="single" w:sz="6" w:space="0" w:color="000000"/>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10 049</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Represented by: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Advances paid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8 289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8 524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6 641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5 342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4 796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Investments, loans and placements</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4 197</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4 204</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4 707</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4 962</w:t>
            </w:r>
          </w:p>
        </w:tc>
        <w:tc>
          <w:tcPr>
            <w:tcW w:w="850" w:type="dxa"/>
            <w:tcBorders>
              <w:top w:val="nil"/>
              <w:left w:val="nil"/>
              <w:bottom w:val="single" w:sz="12"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5 253</w:t>
            </w:r>
          </w:p>
        </w:tc>
      </w:tr>
    </w:tbl>
    <w:p w:rsidR="00B32D50" w:rsidRDefault="00B32D50" w:rsidP="00F17BCD">
      <w:pPr>
        <w:pStyle w:val="Source"/>
      </w:pPr>
      <w:r w:rsidRPr="00D87D22">
        <w:t>Source: Department of Treasury and Finance</w:t>
      </w:r>
    </w:p>
    <w:p w:rsidR="00B32D50" w:rsidRPr="00B41AC3" w:rsidRDefault="00B32D50" w:rsidP="00F17BCD"/>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65" w:name="_Toc528247526"/>
      <w:r>
        <w:t>Interest expense</w:t>
      </w:r>
      <w:r>
        <w:tab/>
        <w:t>($ million)</w:t>
      </w:r>
      <w:bookmarkEnd w:id="65"/>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061A50" w:rsidRPr="00BC4D8D" w:rsidTr="00061A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061A50" w:rsidRPr="00BC4D8D" w:rsidRDefault="00061A50"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061A50" w:rsidRPr="00BC4D8D" w:rsidRDefault="00061A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Interest on interest-bearing liabilities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1 266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1 186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1 227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1 269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sidRPr="00BC4D8D">
              <w:rPr>
                <w:rFonts w:eastAsiaTheme="minorEastAsia" w:cs="Arial"/>
                <w:color w:val="000000"/>
                <w:szCs w:val="18"/>
                <w:lang w:eastAsia="en-AU"/>
              </w:rPr>
              <w:t>1 302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Finance charges on finance leases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867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870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906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921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Discount interest on payables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37</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interest expense</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2 167</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2 090</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2 133</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2 211</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sidRPr="00BC4D8D">
              <w:rPr>
                <w:rFonts w:eastAsiaTheme="minorEastAsia" w:cs="Arial"/>
                <w:bCs/>
                <w:color w:val="000000"/>
                <w:szCs w:val="18"/>
                <w:lang w:eastAsia="en-AU"/>
              </w:rPr>
              <w:t>2 260</w:t>
            </w:r>
          </w:p>
        </w:tc>
      </w:tr>
    </w:tbl>
    <w:p w:rsidR="00B32D50" w:rsidRDefault="00B32D50" w:rsidP="00F17BCD">
      <w:pPr>
        <w:pStyle w:val="Source"/>
      </w:pPr>
      <w:r w:rsidRPr="00D87D22">
        <w:t>Source: Department of Treasury and Finance</w:t>
      </w:r>
    </w:p>
    <w:p w:rsidR="00B32D50" w:rsidRDefault="00B32D50" w:rsidP="00F17BCD"/>
    <w:bookmarkEnd w:id="63"/>
    <w:p w:rsidR="00B32D50" w:rsidRDefault="00B32D50" w:rsidP="00F17BCD"/>
    <w:p w:rsidR="00B32D50" w:rsidRDefault="00B32D50">
      <w:pPr>
        <w:keepLines w:val="0"/>
        <w:rPr>
          <w:rFonts w:asciiTheme="majorHAnsi" w:eastAsiaTheme="majorEastAsia" w:hAnsiTheme="majorHAnsi" w:cstheme="majorBidi"/>
          <w:b/>
          <w:spacing w:val="-2"/>
          <w:sz w:val="26"/>
          <w:szCs w:val="26"/>
        </w:rPr>
      </w:pPr>
      <w:r>
        <w:br w:type="page"/>
      </w:r>
    </w:p>
    <w:p w:rsidR="00B32D50" w:rsidRDefault="00B32D50" w:rsidP="00B32D50">
      <w:pPr>
        <w:pStyle w:val="Heading2"/>
        <w:numPr>
          <w:ilvl w:val="1"/>
          <w:numId w:val="21"/>
        </w:numPr>
      </w:pPr>
      <w:r w:rsidRPr="00232E5E">
        <w:lastRenderedPageBreak/>
        <w:t>OTHER ASSETS AND LIABILITIES</w:t>
      </w:r>
    </w:p>
    <w:p w:rsidR="00B32D50" w:rsidRDefault="00B32D50" w:rsidP="00B32D50">
      <w:pPr>
        <w:pStyle w:val="Heading2"/>
        <w:numPr>
          <w:ilvl w:val="1"/>
          <w:numId w:val="21"/>
        </w:numPr>
        <w:sectPr w:rsidR="00B32D50" w:rsidSect="00F17BCD">
          <w:type w:val="continuous"/>
          <w:pgSz w:w="9979" w:h="14175" w:code="9"/>
          <w:pgMar w:top="850" w:right="1134" w:bottom="850" w:left="1134" w:header="624" w:footer="567" w:gutter="0"/>
          <w:cols w:space="567"/>
          <w:titlePg/>
          <w:docGrid w:linePitch="360"/>
        </w:sectPr>
      </w:pPr>
    </w:p>
    <w:p w:rsidR="00B32D50" w:rsidRDefault="00B32D50" w:rsidP="00F17BCD">
      <w:pPr>
        <w:pStyle w:val="Heading30"/>
        <w:pBdr>
          <w:bottom w:val="single" w:sz="4" w:space="1" w:color="auto"/>
        </w:pBdr>
      </w:pPr>
      <w:r>
        <w:t>Introduction</w:t>
      </w:r>
    </w:p>
    <w:p w:rsidR="00B32D50" w:rsidRDefault="00B32D50" w:rsidP="00F17BCD">
      <w:r>
        <w:t>This section sets out other assets and liabilities that arise from the general government’s operations.</w:t>
      </w:r>
    </w:p>
    <w:p w:rsidR="00B32D50" w:rsidRDefault="00B32D50" w:rsidP="00F17BCD">
      <w:pPr>
        <w:pStyle w:val="Heading30"/>
        <w:pBdr>
          <w:bottom w:val="single" w:sz="4" w:space="1" w:color="auto"/>
        </w:pBdr>
      </w:pPr>
      <w:r>
        <w:br w:type="column"/>
      </w:r>
      <w:r>
        <w:t>Structure</w:t>
      </w:r>
    </w:p>
    <w:p w:rsidR="00B32D50" w:rsidRDefault="00B32D50">
      <w:pPr>
        <w:pStyle w:val="TOC9"/>
        <w:rPr>
          <w:rFonts w:eastAsiaTheme="minorEastAsia"/>
          <w:noProof/>
          <w:spacing w:val="0"/>
          <w:lang w:eastAsia="en-AU"/>
        </w:rPr>
      </w:pPr>
      <w:r>
        <w:fldChar w:fldCharType="begin"/>
      </w:r>
      <w:r>
        <w:instrText xml:space="preserve"> TOC \h \z \t "Heading 3 (#),9" \b Section_6 \* MERGEFORMAT </w:instrText>
      </w:r>
      <w:r>
        <w:fldChar w:fldCharType="separate"/>
      </w:r>
      <w:hyperlink w:anchor="_Toc528247542" w:history="1">
        <w:r w:rsidRPr="002E3E84">
          <w:rPr>
            <w:rStyle w:val="Hyperlink"/>
            <w:noProof/>
            <w:lang w:val="en-US"/>
          </w:rPr>
          <w:t>3.6.1</w:t>
        </w:r>
        <w:r>
          <w:rPr>
            <w:rFonts w:eastAsiaTheme="minorEastAsia"/>
            <w:noProof/>
            <w:spacing w:val="0"/>
            <w:lang w:eastAsia="en-AU"/>
          </w:rPr>
          <w:tab/>
        </w:r>
        <w:r w:rsidRPr="002E3E84">
          <w:rPr>
            <w:rStyle w:val="Hyperlink"/>
            <w:noProof/>
          </w:rPr>
          <w:t>Investments in o</w:t>
        </w:r>
        <w:r>
          <w:rPr>
            <w:rStyle w:val="Hyperlink"/>
            <w:noProof/>
          </w:rPr>
          <w:t>ther sector entities</w:t>
        </w:r>
        <w:r>
          <w:rPr>
            <w:noProof/>
            <w:webHidden/>
          </w:rPr>
          <w:tab/>
        </w:r>
        <w:r>
          <w:rPr>
            <w:noProof/>
            <w:webHidden/>
          </w:rPr>
          <w:fldChar w:fldCharType="begin"/>
        </w:r>
        <w:r>
          <w:rPr>
            <w:noProof/>
            <w:webHidden/>
          </w:rPr>
          <w:instrText xml:space="preserve"> PAGEREF _Toc528247542 \h </w:instrText>
        </w:r>
        <w:r>
          <w:rPr>
            <w:noProof/>
            <w:webHidden/>
          </w:rPr>
        </w:r>
        <w:r>
          <w:rPr>
            <w:noProof/>
            <w:webHidden/>
          </w:rPr>
          <w:fldChar w:fldCharType="separate"/>
        </w:r>
        <w:r w:rsidR="00132FE0">
          <w:rPr>
            <w:noProof/>
            <w:webHidden/>
          </w:rPr>
          <w:t>53</w:t>
        </w:r>
        <w:r>
          <w:rPr>
            <w:noProof/>
            <w:webHidden/>
          </w:rPr>
          <w:fldChar w:fldCharType="end"/>
        </w:r>
      </w:hyperlink>
    </w:p>
    <w:p w:rsidR="00B32D50" w:rsidRDefault="00132FE0">
      <w:pPr>
        <w:pStyle w:val="TOC9"/>
        <w:rPr>
          <w:rFonts w:eastAsiaTheme="minorEastAsia"/>
          <w:noProof/>
          <w:spacing w:val="0"/>
          <w:lang w:eastAsia="en-AU"/>
        </w:rPr>
      </w:pPr>
      <w:hyperlink w:anchor="_Toc528247543" w:history="1">
        <w:r w:rsidR="00B32D50" w:rsidRPr="002E3E84">
          <w:rPr>
            <w:rStyle w:val="Hyperlink"/>
            <w:noProof/>
            <w:lang w:val="en-US"/>
          </w:rPr>
          <w:t>3.6.2</w:t>
        </w:r>
        <w:r w:rsidR="00B32D50">
          <w:rPr>
            <w:rFonts w:eastAsiaTheme="minorEastAsia"/>
            <w:noProof/>
            <w:spacing w:val="0"/>
            <w:lang w:eastAsia="en-AU"/>
          </w:rPr>
          <w:tab/>
        </w:r>
        <w:r w:rsidR="00B32D50" w:rsidRPr="002E3E84">
          <w:rPr>
            <w:rStyle w:val="Hyperlink"/>
            <w:noProof/>
          </w:rPr>
          <w:t>Payables</w:t>
        </w:r>
        <w:r w:rsidR="00B32D50">
          <w:rPr>
            <w:noProof/>
            <w:webHidden/>
          </w:rPr>
          <w:tab/>
        </w:r>
        <w:r w:rsidR="00B32D50">
          <w:rPr>
            <w:noProof/>
            <w:webHidden/>
          </w:rPr>
          <w:fldChar w:fldCharType="begin"/>
        </w:r>
        <w:r w:rsidR="00B32D50">
          <w:rPr>
            <w:noProof/>
            <w:webHidden/>
          </w:rPr>
          <w:instrText xml:space="preserve"> PAGEREF _Toc528247543 \h </w:instrText>
        </w:r>
        <w:r w:rsidR="00B32D50">
          <w:rPr>
            <w:noProof/>
            <w:webHidden/>
          </w:rPr>
        </w:r>
        <w:r w:rsidR="00B32D50">
          <w:rPr>
            <w:noProof/>
            <w:webHidden/>
          </w:rPr>
          <w:fldChar w:fldCharType="separate"/>
        </w:r>
        <w:r>
          <w:rPr>
            <w:noProof/>
            <w:webHidden/>
          </w:rPr>
          <w:t>53</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544" w:history="1">
        <w:r w:rsidR="00B32D50" w:rsidRPr="002E3E84">
          <w:rPr>
            <w:rStyle w:val="Hyperlink"/>
            <w:noProof/>
          </w:rPr>
          <w:t>3.6.3</w:t>
        </w:r>
        <w:r w:rsidR="00B32D50">
          <w:rPr>
            <w:rFonts w:eastAsiaTheme="minorEastAsia"/>
            <w:noProof/>
            <w:spacing w:val="0"/>
            <w:lang w:eastAsia="en-AU"/>
          </w:rPr>
          <w:tab/>
        </w:r>
        <w:r w:rsidR="00B32D50" w:rsidRPr="002E3E84">
          <w:rPr>
            <w:rStyle w:val="Hyperlink"/>
            <w:noProof/>
          </w:rPr>
          <w:t>Superannuation</w:t>
        </w:r>
        <w:r w:rsidR="00B32D50">
          <w:rPr>
            <w:noProof/>
            <w:webHidden/>
          </w:rPr>
          <w:tab/>
        </w:r>
        <w:r w:rsidR="00B32D50">
          <w:rPr>
            <w:noProof/>
            <w:webHidden/>
          </w:rPr>
          <w:fldChar w:fldCharType="begin"/>
        </w:r>
        <w:r w:rsidR="00B32D50">
          <w:rPr>
            <w:noProof/>
            <w:webHidden/>
          </w:rPr>
          <w:instrText xml:space="preserve"> PAGEREF _Toc528247544 \h </w:instrText>
        </w:r>
        <w:r w:rsidR="00B32D50">
          <w:rPr>
            <w:noProof/>
            <w:webHidden/>
          </w:rPr>
        </w:r>
        <w:r w:rsidR="00B32D50">
          <w:rPr>
            <w:noProof/>
            <w:webHidden/>
          </w:rPr>
          <w:fldChar w:fldCharType="separate"/>
        </w:r>
        <w:r>
          <w:rPr>
            <w:noProof/>
            <w:webHidden/>
          </w:rPr>
          <w:t>54</w:t>
        </w:r>
        <w:r w:rsidR="00B32D50">
          <w:rPr>
            <w:noProof/>
            <w:webHidden/>
          </w:rPr>
          <w:fldChar w:fldCharType="end"/>
        </w:r>
      </w:hyperlink>
    </w:p>
    <w:p w:rsidR="00B32D50" w:rsidRDefault="00B32D50" w:rsidP="00F17BCD">
      <w:pPr>
        <w:rPr>
          <w:b/>
          <w:bCs/>
          <w:noProof/>
          <w:lang w:val="en-US"/>
        </w:rPr>
        <w:sectPr w:rsidR="00B32D50" w:rsidSect="00F17BCD">
          <w:type w:val="continuous"/>
          <w:pgSz w:w="9979" w:h="14175" w:code="9"/>
          <w:pgMar w:top="850" w:right="1134" w:bottom="850" w:left="1134" w:header="624" w:footer="567" w:gutter="0"/>
          <w:cols w:num="2" w:space="567"/>
          <w:titlePg/>
          <w:docGrid w:linePitch="360"/>
        </w:sectPr>
      </w:pPr>
      <w:r>
        <w:rPr>
          <w:b/>
          <w:bCs/>
          <w:noProof/>
          <w:lang w:val="en-US"/>
        </w:rPr>
        <w:fldChar w:fldCharType="end"/>
      </w: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66" w:name="_Toc528247542"/>
      <w:bookmarkStart w:id="67" w:name="Section_6"/>
      <w:r>
        <w:t>Investments in other sector entities</w:t>
      </w:r>
      <w:r>
        <w:tab/>
        <w:t>($ million)</w:t>
      </w:r>
      <w:bookmarkEnd w:id="66"/>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7B254E" w:rsidRPr="00BC4D8D" w:rsidTr="007B25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7B254E" w:rsidRPr="00BC4D8D" w:rsidRDefault="007B254E"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2020</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2021</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2022</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Balance of investment in PNFC and PFC sectors at beginning of period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101 253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101 253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106 418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110 858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113 355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Net contributions to other sectors by owner</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5 749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5 130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3 528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2 205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1 846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Revaluation gain/(loss) for period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913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(446)</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8"/>
                <w:lang w:eastAsia="en-AU"/>
              </w:rPr>
            </w:pPr>
            <w:r w:rsidRPr="00BC4D8D">
              <w:rPr>
                <w:rFonts w:eastAsiaTheme="minorEastAsia" w:cs="Calibri"/>
                <w:bCs/>
                <w:color w:val="000000"/>
                <w:szCs w:val="18"/>
                <w:lang w:eastAsia="en-AU"/>
              </w:rPr>
              <w:t xml:space="preserve">Investment in other sector entities at </w:t>
            </w:r>
            <w:r>
              <w:rPr>
                <w:rFonts w:eastAsiaTheme="minorEastAsia" w:cs="Calibri"/>
                <w:bCs/>
                <w:color w:val="000000"/>
                <w:szCs w:val="18"/>
                <w:lang w:eastAsia="en-AU"/>
              </w:rPr>
              <w:br/>
            </w:r>
            <w:r w:rsidRPr="00BC4D8D">
              <w:rPr>
                <w:rFonts w:eastAsiaTheme="minorEastAsia" w:cs="Calibri"/>
                <w:bCs/>
                <w:color w:val="000000"/>
                <w:szCs w:val="18"/>
                <w:lang w:eastAsia="en-AU"/>
              </w:rPr>
              <w:t>end of period</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107 036</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106 418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110 858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113 355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114 755</w:t>
            </w:r>
          </w:p>
        </w:tc>
      </w:tr>
    </w:tbl>
    <w:p w:rsidR="00B32D50" w:rsidRDefault="00B32D50" w:rsidP="00F17BCD">
      <w:pPr>
        <w:pStyle w:val="Source"/>
      </w:pPr>
      <w:r w:rsidRPr="00D87D22">
        <w:t>Source: Department of Treasury and Finance</w:t>
      </w:r>
    </w:p>
    <w:p w:rsidR="00B32D50" w:rsidRPr="00B41AC3" w:rsidRDefault="00B32D50" w:rsidP="00F17BCD"/>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68" w:name="_Toc528247543"/>
      <w:r>
        <w:t>Payables</w:t>
      </w:r>
      <w:r>
        <w:tab/>
        <w:t>($ million)</w:t>
      </w:r>
      <w:bookmarkEnd w:id="68"/>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7B254E" w:rsidRPr="00BC4D8D" w:rsidTr="007B25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7B254E" w:rsidRPr="00BC4D8D" w:rsidRDefault="007B254E"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budget</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2019</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revised</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2020</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 xml:space="preserve"> estimate</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2021</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 xml:space="preserve"> estimate</w:t>
            </w:r>
          </w:p>
        </w:tc>
        <w:tc>
          <w:tcPr>
            <w:tcW w:w="850" w:type="dxa"/>
            <w:tcBorders>
              <w:top w:val="nil"/>
              <w:left w:val="nil"/>
              <w:right w:val="nil"/>
            </w:tcBorders>
            <w:shd w:val="solid" w:color="000000" w:fill="auto"/>
          </w:tcPr>
          <w:p w:rsidR="007B254E" w:rsidRPr="00BC4D8D" w:rsidRDefault="007B254E"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C4D8D">
              <w:rPr>
                <w:rFonts w:eastAsiaTheme="minorEastAsia" w:cs="Calibri"/>
                <w:iCs/>
                <w:color w:val="FFFFFF"/>
                <w:szCs w:val="18"/>
                <w:lang w:eastAsia="en-AU"/>
              </w:rPr>
              <w:t>2022</w:t>
            </w:r>
            <w:r>
              <w:rPr>
                <w:rFonts w:eastAsiaTheme="minorEastAsia" w:cs="Calibri"/>
                <w:i w:val="0"/>
                <w:iCs/>
                <w:color w:val="FFFFFF"/>
                <w:szCs w:val="18"/>
                <w:lang w:eastAsia="en-AU"/>
              </w:rPr>
              <w:t xml:space="preserve"> </w:t>
            </w:r>
            <w:r w:rsidRPr="00BC4D8D">
              <w:rPr>
                <w:rFonts w:eastAsiaTheme="minorEastAsia" w:cs="Calibri"/>
                <w:iCs/>
                <w:color w:val="FFFFFF"/>
                <w:szCs w:val="18"/>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Current payables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Accounts payable and accrued expenses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4 129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4 060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4 057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4 146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3 534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Accrued taxes payable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Unearned income</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663</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675</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670</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667</w:t>
            </w:r>
          </w:p>
        </w:tc>
        <w:tc>
          <w:tcPr>
            <w:tcW w:w="850" w:type="dxa"/>
            <w:tcBorders>
              <w:top w:val="nil"/>
              <w:left w:val="nil"/>
              <w:bottom w:val="single" w:sz="6" w:space="0" w:color="000000"/>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current payables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4 853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4 796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4 788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4 875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4 261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Non-current payables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BC4D8D">
              <w:rPr>
                <w:rFonts w:eastAsiaTheme="minorEastAsia" w:cs="Calibri"/>
                <w:b/>
                <w:bCs/>
                <w:color w:val="00000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Accounts payable and other payables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8"/>
                <w:lang w:eastAsia="en-AU"/>
              </w:rPr>
            </w:pPr>
            <w:r w:rsidRPr="00BC4D8D">
              <w:rPr>
                <w:rFonts w:eastAsiaTheme="minorEastAsia" w:cs="Calibri"/>
                <w:color w:val="000000"/>
                <w:szCs w:val="18"/>
                <w:lang w:eastAsia="en-AU"/>
              </w:rPr>
              <w:t>Unearned income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3 600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4 457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4 183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3 909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C4D8D">
              <w:rPr>
                <w:rFonts w:eastAsiaTheme="minorEastAsia" w:cs="Calibri"/>
                <w:color w:val="000000"/>
                <w:szCs w:val="18"/>
                <w:lang w:eastAsia="en-AU"/>
              </w:rPr>
              <w:t>3 635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18"/>
                <w:lang w:eastAsia="en-AU"/>
              </w:rPr>
            </w:pPr>
            <w:r w:rsidRPr="00BC4D8D">
              <w:rPr>
                <w:rFonts w:eastAsiaTheme="minorEastAsia" w:cs="Calibri"/>
                <w:b/>
                <w:bCs/>
                <w:color w:val="000000"/>
                <w:szCs w:val="18"/>
                <w:lang w:eastAsia="en-AU"/>
              </w:rPr>
              <w:t>Total non-current payables</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3 785</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4 642</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4 370</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3 989</w:t>
            </w:r>
          </w:p>
        </w:tc>
        <w:tc>
          <w:tcPr>
            <w:tcW w:w="850" w:type="dxa"/>
            <w:tcBorders>
              <w:top w:val="single" w:sz="6" w:space="0" w:color="000000"/>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BC4D8D">
              <w:rPr>
                <w:rFonts w:eastAsiaTheme="minorEastAsia" w:cs="Calibri"/>
                <w:b/>
                <w:bCs/>
                <w:color w:val="000000"/>
                <w:szCs w:val="18"/>
                <w:lang w:eastAsia="en-AU"/>
              </w:rPr>
              <w:t>3 711</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8"/>
                <w:lang w:eastAsia="en-AU"/>
              </w:rPr>
            </w:pPr>
            <w:r w:rsidRPr="00BC4D8D">
              <w:rPr>
                <w:rFonts w:eastAsiaTheme="minorEastAsia" w:cs="Calibri"/>
                <w:bCs/>
                <w:color w:val="000000"/>
                <w:szCs w:val="18"/>
                <w:lang w:eastAsia="en-AU"/>
              </w:rPr>
              <w:t>Total payables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8 638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9 438</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9 157</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8 864</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C4D8D">
              <w:rPr>
                <w:rFonts w:eastAsiaTheme="minorEastAsia" w:cs="Calibri"/>
                <w:bCs/>
                <w:color w:val="000000"/>
                <w:szCs w:val="18"/>
                <w:lang w:eastAsia="en-AU"/>
              </w:rPr>
              <w:t>7 972</w:t>
            </w:r>
          </w:p>
        </w:tc>
      </w:tr>
    </w:tbl>
    <w:p w:rsidR="00B32D50" w:rsidRDefault="00B32D50" w:rsidP="00F17BCD">
      <w:pPr>
        <w:pStyle w:val="Source"/>
      </w:pPr>
      <w:r w:rsidRPr="00D87D22">
        <w:t>Source: Department of Treasury and Finance</w:t>
      </w:r>
    </w:p>
    <w:p w:rsidR="00B32D50" w:rsidRDefault="00B32D50" w:rsidP="00F17BCD"/>
    <w:p w:rsidR="00B32D50" w:rsidRPr="00B41AC3" w:rsidRDefault="00B32D50" w:rsidP="00F17BCD">
      <w:pPr>
        <w:pStyle w:val="Heading10"/>
      </w:pPr>
      <w:r>
        <w:br w:type="page"/>
      </w:r>
    </w:p>
    <w:p w:rsidR="00B32D50" w:rsidRPr="00100807" w:rsidRDefault="00B32D50" w:rsidP="00B32D50">
      <w:pPr>
        <w:pStyle w:val="Heading3"/>
        <w:numPr>
          <w:ilvl w:val="2"/>
          <w:numId w:val="21"/>
        </w:numPr>
        <w:tabs>
          <w:tab w:val="clear" w:pos="9582"/>
          <w:tab w:val="left" w:pos="850"/>
          <w:tab w:val="right" w:pos="7710"/>
        </w:tabs>
        <w:spacing w:after="60"/>
      </w:pPr>
      <w:bookmarkStart w:id="69" w:name="_Toc528247544"/>
      <w:r w:rsidRPr="00100807">
        <w:lastRenderedPageBreak/>
        <w:t>Superannuation</w:t>
      </w:r>
      <w:bookmarkEnd w:id="69"/>
    </w:p>
    <w:p w:rsidR="00B32D50" w:rsidRPr="00BC4D8D" w:rsidRDefault="00B32D50" w:rsidP="00F17BCD">
      <w:pPr>
        <w:pStyle w:val="TableHeading"/>
        <w:rPr>
          <w:bCs/>
          <w:lang w:val="en-US"/>
        </w:rPr>
      </w:pPr>
      <w:r>
        <w:t>Reconciliation of the superannuation liabilities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351239" w:rsidRPr="00BC4D8D" w:rsidTr="003512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351239" w:rsidRPr="00BC4D8D" w:rsidRDefault="00351239" w:rsidP="00F17BCD">
            <w:pPr>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 xml:space="preserve"> </w:t>
            </w:r>
            <w:r>
              <w:rPr>
                <w:rFonts w:eastAsiaTheme="minorEastAsia" w:cs="Calibri"/>
                <w:i w:val="0"/>
                <w:color w:val="000000"/>
                <w:szCs w:val="20"/>
                <w:lang w:eastAsia="en-AU"/>
              </w:rPr>
              <w:t xml:space="preserve"> </w:t>
            </w:r>
            <w:r w:rsidRPr="00BC4D8D">
              <w:rPr>
                <w:rFonts w:eastAsiaTheme="minorEastAsia" w:cs="Calibri"/>
                <w:color w:val="000000"/>
                <w:szCs w:val="20"/>
                <w:lang w:eastAsia="en-AU"/>
              </w:rPr>
              <w:t xml:space="preserve"> </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2018-19</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budget</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2018-19</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revised</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2019-20</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2020-21</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2021-22</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estimate</w:t>
            </w:r>
          </w:p>
        </w:tc>
      </w:tr>
      <w:tr w:rsidR="00B32D50" w:rsidRPr="00BC4D8D" w:rsidTr="00351239">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Emergency Services and State Super</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Defined benefit obligation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43 001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42 119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41 710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41 262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40 795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 xml:space="preserve">Tax liability </w:t>
            </w:r>
            <w:r w:rsidRPr="00BC4D8D">
              <w:rPr>
                <w:rFonts w:eastAsiaTheme="minorEastAsia" w:cs="Calibri"/>
                <w:color w:val="000000"/>
                <w:szCs w:val="20"/>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2 438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2 438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2 338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2 235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2 140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Plan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(22 398)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(22 487)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(23 053)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(23 609)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(24 100)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Net liability/(asset)</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23 042</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22 071</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20 995</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19 888</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18 835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 xml:space="preserve">Other funds </w:t>
            </w:r>
            <w:r w:rsidRPr="00BC4D8D">
              <w:rPr>
                <w:rFonts w:eastAsiaTheme="minorEastAsia" w:cs="Calibri"/>
                <w:b/>
                <w:bCs/>
                <w:color w:val="000000"/>
                <w:szCs w:val="20"/>
                <w:vertAlign w:val="superscript"/>
                <w:lang w:eastAsia="en-AU"/>
              </w:rPr>
              <w:t>(b)</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Defined benefit obligation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2 125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2 157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2 161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2 164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2 183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 xml:space="preserve">Tax liability </w:t>
            </w:r>
            <w:r w:rsidRPr="00BC4D8D">
              <w:rPr>
                <w:rFonts w:eastAsiaTheme="minorEastAsia" w:cs="Calibri"/>
                <w:color w:val="000000"/>
                <w:szCs w:val="20"/>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Plan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(1 002)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(960)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(891)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Net liability/(asset)</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1 123</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1 197</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1 225</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1 251</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1 292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Total superannuation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Defined benefit obligation</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45 126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44 276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43 871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43 426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42 978</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 xml:space="preserve">Tax liability </w:t>
            </w:r>
            <w:r w:rsidRPr="00BC4D8D">
              <w:rPr>
                <w:rFonts w:eastAsiaTheme="minorEastAsia" w:cs="Calibri"/>
                <w:color w:val="000000"/>
                <w:szCs w:val="20"/>
                <w:vertAlign w:val="superscript"/>
                <w:lang w:eastAsia="en-AU"/>
              </w:rPr>
              <w:t>(a)</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2 438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2 438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2 338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2 235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2 140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Plan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(23 400)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(23 446)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(23 989)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(24 522)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(24 991)</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Superannuation liability</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24 16</w:t>
            </w:r>
            <w:r>
              <w:rPr>
                <w:rFonts w:eastAsiaTheme="minorEastAsia" w:cs="Calibri"/>
                <w:b/>
                <w:bCs/>
                <w:color w:val="000000"/>
                <w:szCs w:val="20"/>
                <w:lang w:eastAsia="en-AU"/>
              </w:rPr>
              <w:t>4</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23 268</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22 220</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21 139</w:t>
            </w:r>
          </w:p>
        </w:tc>
        <w:tc>
          <w:tcPr>
            <w:tcW w:w="850" w:type="dxa"/>
            <w:tcBorders>
              <w:top w:val="single" w:sz="6" w:space="0" w:color="auto"/>
              <w:left w:val="nil"/>
              <w:bottom w:val="single" w:sz="6" w:space="0" w:color="auto"/>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20 127</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Represented by: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Current liability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1 082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1 082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1 075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1 095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Non-current liability</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23 083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22 187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21 144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20 132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19 032</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shd w:val="solid" w:color="FFFFFF" w:fill="auto"/>
          </w:tcPr>
          <w:p w:rsidR="00B32D50" w:rsidRPr="00BC4D8D" w:rsidRDefault="00B32D50" w:rsidP="00F17BCD">
            <w:pPr>
              <w:keepLines w:val="0"/>
              <w:autoSpaceDE w:val="0"/>
              <w:autoSpaceDN w:val="0"/>
              <w:adjustRightInd w:val="0"/>
              <w:rPr>
                <w:rFonts w:eastAsiaTheme="minorEastAsia" w:cs="Calibri"/>
                <w:bCs/>
                <w:color w:val="000000"/>
                <w:szCs w:val="20"/>
                <w:lang w:eastAsia="en-AU"/>
              </w:rPr>
            </w:pPr>
            <w:r w:rsidRPr="00BC4D8D">
              <w:rPr>
                <w:rFonts w:eastAsiaTheme="minorEastAsia" w:cs="Calibri"/>
                <w:bCs/>
                <w:color w:val="000000"/>
                <w:szCs w:val="20"/>
                <w:lang w:eastAsia="en-AU"/>
              </w:rPr>
              <w:t>Total superannuation liability</w:t>
            </w:r>
          </w:p>
        </w:tc>
        <w:tc>
          <w:tcPr>
            <w:tcW w:w="850" w:type="dxa"/>
            <w:tcBorders>
              <w:top w:val="single" w:sz="6" w:space="0" w:color="auto"/>
              <w:bottom w:val="single" w:sz="12" w:space="0" w:color="auto"/>
            </w:tcBorders>
            <w:shd w:val="solid" w:color="FFFFFF" w:fill="auto"/>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Pr>
                <w:rFonts w:eastAsiaTheme="minorEastAsia" w:cs="Calibri"/>
                <w:bCs/>
                <w:color w:val="000000"/>
                <w:szCs w:val="20"/>
                <w:lang w:eastAsia="en-AU"/>
              </w:rPr>
              <w:t>24 164</w:t>
            </w:r>
          </w:p>
        </w:tc>
        <w:tc>
          <w:tcPr>
            <w:tcW w:w="850" w:type="dxa"/>
            <w:tcBorders>
              <w:top w:val="single" w:sz="6" w:space="0" w:color="auto"/>
              <w:bottom w:val="single" w:sz="12" w:space="0" w:color="auto"/>
            </w:tcBorders>
            <w:shd w:val="solid" w:color="FFFFFF" w:fill="auto"/>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23 268</w:t>
            </w:r>
          </w:p>
        </w:tc>
        <w:tc>
          <w:tcPr>
            <w:tcW w:w="850" w:type="dxa"/>
            <w:tcBorders>
              <w:top w:val="single" w:sz="6" w:space="0" w:color="auto"/>
              <w:bottom w:val="single" w:sz="12" w:space="0" w:color="auto"/>
            </w:tcBorders>
            <w:shd w:val="solid" w:color="FFFFFF" w:fill="auto"/>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22 220</w:t>
            </w:r>
          </w:p>
        </w:tc>
        <w:tc>
          <w:tcPr>
            <w:tcW w:w="850" w:type="dxa"/>
            <w:tcBorders>
              <w:top w:val="single" w:sz="6" w:space="0" w:color="auto"/>
              <w:bottom w:val="single" w:sz="12" w:space="0" w:color="auto"/>
            </w:tcBorders>
            <w:shd w:val="solid" w:color="FFFFFF" w:fill="auto"/>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21 139</w:t>
            </w:r>
          </w:p>
        </w:tc>
        <w:tc>
          <w:tcPr>
            <w:tcW w:w="850" w:type="dxa"/>
            <w:tcBorders>
              <w:top w:val="single" w:sz="6" w:space="0" w:color="auto"/>
              <w:bottom w:val="single" w:sz="12" w:space="0" w:color="auto"/>
            </w:tcBorders>
            <w:shd w:val="solid" w:color="FFFFFF" w:fill="auto"/>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20 127</w:t>
            </w:r>
          </w:p>
        </w:tc>
      </w:tr>
    </w:tbl>
    <w:p w:rsidR="00B32D50" w:rsidRDefault="00B32D50" w:rsidP="00F17BCD">
      <w:pPr>
        <w:pStyle w:val="Source"/>
      </w:pPr>
      <w:r w:rsidRPr="00D87D22">
        <w:t>Source: Department of Treasury and Finance</w:t>
      </w:r>
    </w:p>
    <w:p w:rsidR="00B32D50" w:rsidRDefault="00B32D50" w:rsidP="00F17BCD">
      <w:pPr>
        <w:pStyle w:val="Note"/>
      </w:pPr>
      <w:r>
        <w:t>Notes:</w:t>
      </w:r>
    </w:p>
    <w:p w:rsidR="00B32D50" w:rsidRDefault="00B32D50" w:rsidP="00F17BCD">
      <w:pPr>
        <w:pStyle w:val="Note"/>
      </w:pPr>
      <w:r>
        <w:t>(a)</w:t>
      </w:r>
      <w:r>
        <w:tab/>
        <w:t>Tax liability represents the present value of tax payments on contributions that are expected to be required to fund accrued benefits.</w:t>
      </w:r>
    </w:p>
    <w:p w:rsidR="00B32D50" w:rsidRPr="00AE2253" w:rsidRDefault="00B32D50" w:rsidP="00F17BCD">
      <w:pPr>
        <w:pStyle w:val="Note"/>
      </w:pPr>
      <w:r>
        <w:t>(b)</w:t>
      </w:r>
      <w:r>
        <w:tab/>
        <w:t>Other funds include constitutionally protected schemes and the State’s share of liabilities of the Defined Benefit Scheme of the Health Super Fund.</w:t>
      </w:r>
    </w:p>
    <w:p w:rsidR="00B32D50" w:rsidRDefault="00B32D50" w:rsidP="00F17BCD">
      <w:pPr>
        <w:keepLines w:val="0"/>
      </w:pPr>
    </w:p>
    <w:p w:rsidR="00B32D50" w:rsidRDefault="00B32D50" w:rsidP="00F17BCD">
      <w:r>
        <w:t xml:space="preserve">See Note 3.3.2 </w:t>
      </w:r>
      <w:r w:rsidRPr="006B42C1">
        <w:rPr>
          <w:i/>
        </w:rPr>
        <w:t xml:space="preserve">Superannuation expense and other superannuation expenses </w:t>
      </w:r>
      <w:r>
        <w:t>for further information on superannuation assumptions.</w:t>
      </w:r>
    </w:p>
    <w:p w:rsidR="00B32D50" w:rsidRDefault="00B32D50" w:rsidP="00F17BCD">
      <w:pPr>
        <w:keepLines w:val="0"/>
        <w:rPr>
          <w:rFonts w:asciiTheme="majorHAnsi" w:hAnsiTheme="majorHAnsi"/>
          <w:b/>
          <w:sz w:val="20"/>
          <w:szCs w:val="20"/>
        </w:rPr>
      </w:pPr>
      <w:r>
        <w:br w:type="page"/>
      </w:r>
    </w:p>
    <w:p w:rsidR="00B32D50" w:rsidRPr="00C45287" w:rsidRDefault="00B32D50" w:rsidP="00F17BCD">
      <w:pPr>
        <w:pStyle w:val="TableHeading"/>
        <w:rPr>
          <w:bCs/>
          <w:lang w:val="en-US"/>
        </w:rPr>
      </w:pPr>
      <w:r w:rsidRPr="00771D23">
        <w:lastRenderedPageBreak/>
        <w:t>Reconciliation of the present value of the defined benefit obligation</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351239" w:rsidRPr="00C45287" w:rsidTr="003512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351239" w:rsidRPr="00C45287" w:rsidRDefault="00351239" w:rsidP="00F17BCD">
            <w:pPr>
              <w:autoSpaceDE w:val="0"/>
              <w:autoSpaceDN w:val="0"/>
              <w:adjustRightInd w:val="0"/>
              <w:rPr>
                <w:rFonts w:eastAsiaTheme="minorEastAsia" w:cs="Calibri"/>
                <w:color w:val="000000"/>
                <w:szCs w:val="20"/>
                <w:lang w:eastAsia="en-AU"/>
              </w:rPr>
            </w:pPr>
            <w:r w:rsidRPr="00C45287">
              <w:rPr>
                <w:rFonts w:eastAsiaTheme="minorEastAsia" w:cs="Calibri"/>
                <w:color w:val="000000"/>
                <w:szCs w:val="20"/>
                <w:lang w:eastAsia="en-AU"/>
              </w:rPr>
              <w:t xml:space="preserve"> </w:t>
            </w:r>
            <w:r>
              <w:rPr>
                <w:rFonts w:eastAsiaTheme="minorEastAsia" w:cs="Calibri"/>
                <w:i w:val="0"/>
                <w:color w:val="000000"/>
                <w:szCs w:val="20"/>
                <w:lang w:eastAsia="en-AU"/>
              </w:rPr>
              <w:t xml:space="preserve"> </w:t>
            </w:r>
            <w:r w:rsidRPr="00C45287">
              <w:rPr>
                <w:rFonts w:eastAsiaTheme="minorEastAsia" w:cs="Calibri"/>
                <w:color w:val="000000"/>
                <w:szCs w:val="20"/>
                <w:lang w:eastAsia="en-AU"/>
              </w:rPr>
              <w:t xml:space="preserve"> </w:t>
            </w:r>
          </w:p>
        </w:tc>
        <w:tc>
          <w:tcPr>
            <w:tcW w:w="850" w:type="dxa"/>
            <w:tcBorders>
              <w:top w:val="nil"/>
              <w:left w:val="nil"/>
              <w:bottom w:val="nil"/>
              <w:right w:val="nil"/>
            </w:tcBorders>
            <w:shd w:val="solid" w:color="000000" w:fill="auto"/>
          </w:tcPr>
          <w:p w:rsidR="00351239" w:rsidRPr="00C45287"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C45287">
              <w:rPr>
                <w:rFonts w:eastAsiaTheme="minorEastAsia" w:cs="Calibri"/>
                <w:iCs/>
                <w:color w:val="FFFFFF"/>
                <w:szCs w:val="20"/>
                <w:lang w:eastAsia="en-AU"/>
              </w:rPr>
              <w:t>2018-19</w:t>
            </w:r>
            <w:r>
              <w:rPr>
                <w:rFonts w:eastAsiaTheme="minorEastAsia" w:cs="Calibri"/>
                <w:i w:val="0"/>
                <w:iCs/>
                <w:color w:val="FFFFFF"/>
                <w:szCs w:val="20"/>
                <w:lang w:eastAsia="en-AU"/>
              </w:rPr>
              <w:t xml:space="preserve"> </w:t>
            </w:r>
            <w:r w:rsidRPr="00C45287">
              <w:rPr>
                <w:rFonts w:eastAsiaTheme="minorEastAsia" w:cs="Calibri"/>
                <w:iCs/>
                <w:color w:val="FFFFFF"/>
                <w:szCs w:val="20"/>
                <w:lang w:eastAsia="en-AU"/>
              </w:rPr>
              <w:t>budget</w:t>
            </w:r>
          </w:p>
        </w:tc>
        <w:tc>
          <w:tcPr>
            <w:tcW w:w="850" w:type="dxa"/>
            <w:tcBorders>
              <w:top w:val="nil"/>
              <w:left w:val="nil"/>
              <w:bottom w:val="nil"/>
              <w:right w:val="nil"/>
            </w:tcBorders>
            <w:shd w:val="solid" w:color="000000" w:fill="auto"/>
          </w:tcPr>
          <w:p w:rsidR="00351239" w:rsidRPr="00C45287"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C45287">
              <w:rPr>
                <w:rFonts w:eastAsiaTheme="minorEastAsia" w:cs="Calibri"/>
                <w:iCs/>
                <w:color w:val="FFFFFF"/>
                <w:szCs w:val="20"/>
                <w:lang w:eastAsia="en-AU"/>
              </w:rPr>
              <w:t>2018-19</w:t>
            </w:r>
            <w:r>
              <w:rPr>
                <w:rFonts w:eastAsiaTheme="minorEastAsia" w:cs="Calibri"/>
                <w:i w:val="0"/>
                <w:iCs/>
                <w:color w:val="FFFFFF"/>
                <w:szCs w:val="20"/>
                <w:lang w:eastAsia="en-AU"/>
              </w:rPr>
              <w:t xml:space="preserve"> </w:t>
            </w:r>
            <w:r w:rsidRPr="00C45287">
              <w:rPr>
                <w:rFonts w:eastAsiaTheme="minorEastAsia" w:cs="Calibri"/>
                <w:iCs/>
                <w:color w:val="FFFFFF"/>
                <w:szCs w:val="20"/>
                <w:lang w:eastAsia="en-AU"/>
              </w:rPr>
              <w:t>revised</w:t>
            </w:r>
          </w:p>
        </w:tc>
        <w:tc>
          <w:tcPr>
            <w:tcW w:w="850" w:type="dxa"/>
            <w:tcBorders>
              <w:top w:val="nil"/>
              <w:left w:val="nil"/>
              <w:bottom w:val="nil"/>
              <w:right w:val="nil"/>
            </w:tcBorders>
            <w:shd w:val="solid" w:color="000000" w:fill="auto"/>
          </w:tcPr>
          <w:p w:rsidR="00351239" w:rsidRPr="00C45287"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C45287">
              <w:rPr>
                <w:rFonts w:eastAsiaTheme="minorEastAsia" w:cs="Calibri"/>
                <w:iCs/>
                <w:color w:val="FFFFFF"/>
                <w:szCs w:val="20"/>
                <w:lang w:eastAsia="en-AU"/>
              </w:rPr>
              <w:t>2019-20</w:t>
            </w:r>
            <w:r>
              <w:rPr>
                <w:rFonts w:eastAsiaTheme="minorEastAsia" w:cs="Calibri"/>
                <w:i w:val="0"/>
                <w:iCs/>
                <w:color w:val="FFFFFF"/>
                <w:szCs w:val="20"/>
                <w:lang w:eastAsia="en-AU"/>
              </w:rPr>
              <w:t xml:space="preserve"> </w:t>
            </w:r>
            <w:r w:rsidRPr="00C45287">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351239" w:rsidRPr="00C45287"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C45287">
              <w:rPr>
                <w:rFonts w:eastAsiaTheme="minorEastAsia" w:cs="Calibri"/>
                <w:iCs/>
                <w:color w:val="FFFFFF"/>
                <w:szCs w:val="20"/>
                <w:lang w:eastAsia="en-AU"/>
              </w:rPr>
              <w:t>2020-21</w:t>
            </w:r>
            <w:r>
              <w:rPr>
                <w:rFonts w:eastAsiaTheme="minorEastAsia" w:cs="Calibri"/>
                <w:i w:val="0"/>
                <w:iCs/>
                <w:color w:val="FFFFFF"/>
                <w:szCs w:val="20"/>
                <w:lang w:eastAsia="en-AU"/>
              </w:rPr>
              <w:t xml:space="preserve"> </w:t>
            </w:r>
            <w:r w:rsidRPr="00C45287">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351239" w:rsidRPr="00C45287"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C45287">
              <w:rPr>
                <w:rFonts w:eastAsiaTheme="minorEastAsia" w:cs="Calibri"/>
                <w:iCs/>
                <w:color w:val="FFFFFF"/>
                <w:szCs w:val="20"/>
                <w:lang w:eastAsia="en-AU"/>
              </w:rPr>
              <w:t>2021-22</w:t>
            </w:r>
            <w:r>
              <w:rPr>
                <w:rFonts w:eastAsiaTheme="minorEastAsia" w:cs="Calibri"/>
                <w:i w:val="0"/>
                <w:iCs/>
                <w:color w:val="FFFFFF"/>
                <w:szCs w:val="20"/>
                <w:lang w:eastAsia="en-AU"/>
              </w:rPr>
              <w:t xml:space="preserve"> </w:t>
            </w:r>
            <w:r w:rsidRPr="00C45287">
              <w:rPr>
                <w:rFonts w:eastAsiaTheme="minorEastAsia" w:cs="Calibri"/>
                <w:iCs/>
                <w:color w:val="FFFFFF"/>
                <w:szCs w:val="20"/>
                <w:lang w:eastAsia="en-AU"/>
              </w:rPr>
              <w:t>estimate</w:t>
            </w:r>
          </w:p>
        </w:tc>
      </w:tr>
      <w:tr w:rsidR="00B32D50" w:rsidRPr="00C45287" w:rsidTr="00351239">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C45287" w:rsidRDefault="00B32D50" w:rsidP="00F17BCD">
            <w:pPr>
              <w:keepLines w:val="0"/>
              <w:autoSpaceDE w:val="0"/>
              <w:autoSpaceDN w:val="0"/>
              <w:adjustRightInd w:val="0"/>
              <w:rPr>
                <w:rFonts w:eastAsiaTheme="minorEastAsia" w:cs="Calibri"/>
                <w:b/>
                <w:bCs/>
                <w:color w:val="000000"/>
                <w:szCs w:val="20"/>
                <w:lang w:eastAsia="en-AU"/>
              </w:rPr>
            </w:pPr>
            <w:r w:rsidRPr="00C45287">
              <w:rPr>
                <w:rFonts w:eastAsiaTheme="minorEastAsia" w:cs="Calibri"/>
                <w:b/>
                <w:bCs/>
                <w:color w:val="000000"/>
                <w:szCs w:val="20"/>
                <w:lang w:eastAsia="en-AU"/>
              </w:rPr>
              <w:t>Opening balance of defined benefit obligation</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C45287">
              <w:rPr>
                <w:rFonts w:eastAsiaTheme="minorEastAsia" w:cs="Calibri"/>
                <w:b/>
                <w:bCs/>
                <w:color w:val="000000"/>
                <w:szCs w:val="20"/>
                <w:lang w:eastAsia="en-AU"/>
              </w:rPr>
              <w:t>48 151</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C45287">
              <w:rPr>
                <w:rFonts w:eastAsiaTheme="minorEastAsia" w:cs="Calibri"/>
                <w:b/>
                <w:bCs/>
                <w:color w:val="000000"/>
                <w:szCs w:val="20"/>
                <w:lang w:eastAsia="en-AU"/>
              </w:rPr>
              <w:t>48 151</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C45287">
              <w:rPr>
                <w:rFonts w:eastAsiaTheme="minorEastAsia" w:cs="Calibri"/>
                <w:b/>
                <w:bCs/>
                <w:color w:val="000000"/>
                <w:szCs w:val="20"/>
                <w:lang w:eastAsia="en-AU"/>
              </w:rPr>
              <w:t>46 715</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C45287">
              <w:rPr>
                <w:rFonts w:eastAsiaTheme="minorEastAsia" w:cs="Calibri"/>
                <w:b/>
                <w:bCs/>
                <w:color w:val="000000"/>
                <w:szCs w:val="20"/>
                <w:lang w:eastAsia="en-AU"/>
              </w:rPr>
              <w:t>46 208</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C45287">
              <w:rPr>
                <w:rFonts w:eastAsiaTheme="minorEastAsia" w:cs="Calibri"/>
                <w:b/>
                <w:bCs/>
                <w:color w:val="000000"/>
                <w:szCs w:val="20"/>
                <w:lang w:eastAsia="en-AU"/>
              </w:rPr>
              <w:t>45 661</w:t>
            </w:r>
          </w:p>
        </w:tc>
      </w:tr>
      <w:tr w:rsidR="00B32D50" w:rsidRPr="00C45287"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C45287" w:rsidRDefault="00B32D50" w:rsidP="00F17BCD">
            <w:pPr>
              <w:keepLines w:val="0"/>
              <w:autoSpaceDE w:val="0"/>
              <w:autoSpaceDN w:val="0"/>
              <w:adjustRightInd w:val="0"/>
              <w:rPr>
                <w:rFonts w:eastAsiaTheme="minorEastAsia" w:cs="Calibri"/>
                <w:color w:val="000000"/>
                <w:szCs w:val="20"/>
                <w:lang w:eastAsia="en-AU"/>
              </w:rPr>
            </w:pPr>
            <w:r w:rsidRPr="00C45287">
              <w:rPr>
                <w:rFonts w:eastAsiaTheme="minorEastAsia" w:cs="Calibri"/>
                <w:color w:val="000000"/>
                <w:szCs w:val="20"/>
                <w:lang w:eastAsia="en-AU"/>
              </w:rPr>
              <w:t>Current service cost</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918</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1 000</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992</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1 002</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1 051</w:t>
            </w:r>
          </w:p>
        </w:tc>
      </w:tr>
      <w:tr w:rsidR="00B32D50" w:rsidRPr="00C45287"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C45287" w:rsidRDefault="00B32D50" w:rsidP="00F17BCD">
            <w:pPr>
              <w:keepLines w:val="0"/>
              <w:autoSpaceDE w:val="0"/>
              <w:autoSpaceDN w:val="0"/>
              <w:adjustRightInd w:val="0"/>
              <w:rPr>
                <w:rFonts w:eastAsiaTheme="minorEastAsia" w:cs="Calibri"/>
                <w:color w:val="000000"/>
                <w:szCs w:val="20"/>
                <w:lang w:eastAsia="en-AU"/>
              </w:rPr>
            </w:pPr>
            <w:r w:rsidRPr="00C45287">
              <w:rPr>
                <w:rFonts w:eastAsiaTheme="minorEastAsia" w:cs="Calibri"/>
                <w:color w:val="000000"/>
                <w:szCs w:val="20"/>
                <w:lang w:eastAsia="en-AU"/>
              </w:rPr>
              <w:t>Interest expense</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1 270</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1 314</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1 287</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1 272</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1 257</w:t>
            </w:r>
          </w:p>
        </w:tc>
      </w:tr>
      <w:tr w:rsidR="00B32D50" w:rsidRPr="00C45287"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C45287" w:rsidRDefault="00B32D50" w:rsidP="00F17BCD">
            <w:pPr>
              <w:keepLines w:val="0"/>
              <w:autoSpaceDE w:val="0"/>
              <w:autoSpaceDN w:val="0"/>
              <w:adjustRightInd w:val="0"/>
              <w:rPr>
                <w:rFonts w:eastAsiaTheme="minorEastAsia" w:cs="Calibri"/>
                <w:color w:val="000000"/>
                <w:szCs w:val="20"/>
                <w:lang w:eastAsia="en-AU"/>
              </w:rPr>
            </w:pPr>
            <w:r w:rsidRPr="00C45287">
              <w:rPr>
                <w:rFonts w:eastAsiaTheme="minorEastAsia" w:cs="Calibri"/>
                <w:color w:val="000000"/>
                <w:szCs w:val="20"/>
                <w:lang w:eastAsia="en-AU"/>
              </w:rPr>
              <w:t>Contributions by plan participants</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194</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203</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198</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195</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193</w:t>
            </w:r>
          </w:p>
        </w:tc>
      </w:tr>
      <w:tr w:rsidR="00B32D50" w:rsidRPr="00C45287"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C45287" w:rsidRDefault="00B32D50" w:rsidP="00F17BCD">
            <w:pPr>
              <w:keepLines w:val="0"/>
              <w:autoSpaceDE w:val="0"/>
              <w:autoSpaceDN w:val="0"/>
              <w:adjustRightInd w:val="0"/>
              <w:rPr>
                <w:rFonts w:eastAsiaTheme="minorEastAsia" w:cs="Calibri"/>
                <w:color w:val="000000"/>
                <w:szCs w:val="20"/>
                <w:lang w:eastAsia="en-AU"/>
              </w:rPr>
            </w:pPr>
            <w:r w:rsidRPr="00C45287">
              <w:rPr>
                <w:rFonts w:eastAsiaTheme="minorEastAsia" w:cs="Calibri"/>
                <w:color w:val="000000"/>
                <w:szCs w:val="20"/>
                <w:lang w:eastAsia="en-AU"/>
              </w:rPr>
              <w:t>Actuarial and other adjustments to unfunded superannuation liability</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(917)</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w:t>
            </w:r>
            <w:r w:rsidRPr="00C45287">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w:t>
            </w:r>
            <w:r w:rsidRPr="00C45287">
              <w:rPr>
                <w:rFonts w:eastAsiaTheme="minorEastAsia" w:cs="Calibri"/>
                <w:color w:val="000000"/>
                <w:szCs w:val="20"/>
                <w:lang w:eastAsia="en-AU"/>
              </w:rPr>
              <w:t xml:space="preserve"> </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w:t>
            </w:r>
            <w:r w:rsidRPr="00C45287">
              <w:rPr>
                <w:rFonts w:eastAsiaTheme="minorEastAsia" w:cs="Calibri"/>
                <w:color w:val="000000"/>
                <w:szCs w:val="20"/>
                <w:lang w:eastAsia="en-AU"/>
              </w:rPr>
              <w:t xml:space="preserve"> </w:t>
            </w:r>
          </w:p>
        </w:tc>
      </w:tr>
      <w:tr w:rsidR="00B32D50" w:rsidRPr="00C45287"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C45287" w:rsidRDefault="00B32D50" w:rsidP="00F17BCD">
            <w:pPr>
              <w:keepLines w:val="0"/>
              <w:autoSpaceDE w:val="0"/>
              <w:autoSpaceDN w:val="0"/>
              <w:adjustRightInd w:val="0"/>
              <w:rPr>
                <w:rFonts w:eastAsiaTheme="minorEastAsia" w:cs="Calibri"/>
                <w:color w:val="000000"/>
                <w:szCs w:val="20"/>
                <w:lang w:eastAsia="en-AU"/>
              </w:rPr>
            </w:pPr>
            <w:r w:rsidRPr="00C45287">
              <w:rPr>
                <w:rFonts w:eastAsiaTheme="minorEastAsia" w:cs="Calibri"/>
                <w:color w:val="000000"/>
                <w:szCs w:val="20"/>
                <w:lang w:eastAsia="en-AU"/>
              </w:rPr>
              <w:t>Benefits paid</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(2 968)</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(3 036)</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(2 984)</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(3 017)</w:t>
            </w:r>
          </w:p>
        </w:tc>
        <w:tc>
          <w:tcPr>
            <w:tcW w:w="850" w:type="dxa"/>
            <w:tcBorders>
              <w:top w:val="nil"/>
              <w:left w:val="nil"/>
              <w:bottom w:val="nil"/>
              <w:right w:val="nil"/>
            </w:tcBorders>
          </w:tcPr>
          <w:p w:rsidR="00B32D50" w:rsidRPr="00C45287"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C45287">
              <w:rPr>
                <w:rFonts w:eastAsiaTheme="minorEastAsia" w:cs="Calibri"/>
                <w:color w:val="000000"/>
                <w:szCs w:val="20"/>
                <w:lang w:eastAsia="en-AU"/>
              </w:rPr>
              <w:t>(3 044)</w:t>
            </w:r>
          </w:p>
        </w:tc>
      </w:tr>
      <w:tr w:rsidR="00B32D50" w:rsidRPr="00C45287"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B32D50" w:rsidRPr="00C45287" w:rsidRDefault="00B32D50" w:rsidP="00F17BCD">
            <w:pPr>
              <w:keepLines w:val="0"/>
              <w:autoSpaceDE w:val="0"/>
              <w:autoSpaceDN w:val="0"/>
              <w:adjustRightInd w:val="0"/>
              <w:rPr>
                <w:rFonts w:eastAsiaTheme="minorEastAsia" w:cs="Calibri"/>
                <w:bCs/>
                <w:color w:val="000000"/>
                <w:szCs w:val="20"/>
                <w:lang w:eastAsia="en-AU"/>
              </w:rPr>
            </w:pPr>
            <w:r w:rsidRPr="00C45287">
              <w:rPr>
                <w:rFonts w:eastAsiaTheme="minorEastAsia" w:cs="Calibri"/>
                <w:bCs/>
                <w:color w:val="000000"/>
                <w:szCs w:val="20"/>
                <w:lang w:eastAsia="en-AU"/>
              </w:rPr>
              <w:t>Closing balance of defined benefit obligation</w:t>
            </w:r>
          </w:p>
        </w:tc>
        <w:tc>
          <w:tcPr>
            <w:tcW w:w="850" w:type="dxa"/>
            <w:tcBorders>
              <w:top w:val="single" w:sz="6" w:space="0" w:color="auto"/>
              <w:bottom w:val="single" w:sz="12" w:space="0" w:color="auto"/>
            </w:tcBorders>
          </w:tcPr>
          <w:p w:rsidR="00B32D50" w:rsidRPr="00C45287"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C45287">
              <w:rPr>
                <w:rFonts w:eastAsiaTheme="minorEastAsia" w:cs="Calibri"/>
                <w:bCs/>
                <w:color w:val="000000"/>
                <w:szCs w:val="20"/>
                <w:lang w:eastAsia="en-AU"/>
              </w:rPr>
              <w:t>47 564</w:t>
            </w:r>
          </w:p>
        </w:tc>
        <w:tc>
          <w:tcPr>
            <w:tcW w:w="850" w:type="dxa"/>
            <w:tcBorders>
              <w:top w:val="single" w:sz="6" w:space="0" w:color="auto"/>
              <w:bottom w:val="single" w:sz="12" w:space="0" w:color="auto"/>
            </w:tcBorders>
          </w:tcPr>
          <w:p w:rsidR="00B32D50" w:rsidRPr="00C45287"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C45287">
              <w:rPr>
                <w:rFonts w:eastAsiaTheme="minorEastAsia" w:cs="Calibri"/>
                <w:bCs/>
                <w:color w:val="000000"/>
                <w:szCs w:val="20"/>
                <w:lang w:eastAsia="en-AU"/>
              </w:rPr>
              <w:t>46 715</w:t>
            </w:r>
          </w:p>
        </w:tc>
        <w:tc>
          <w:tcPr>
            <w:tcW w:w="850" w:type="dxa"/>
            <w:tcBorders>
              <w:top w:val="single" w:sz="6" w:space="0" w:color="auto"/>
              <w:bottom w:val="single" w:sz="12" w:space="0" w:color="auto"/>
            </w:tcBorders>
          </w:tcPr>
          <w:p w:rsidR="00B32D50" w:rsidRPr="00C45287"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C45287">
              <w:rPr>
                <w:rFonts w:eastAsiaTheme="minorEastAsia" w:cs="Calibri"/>
                <w:bCs/>
                <w:color w:val="000000"/>
                <w:szCs w:val="20"/>
                <w:lang w:eastAsia="en-AU"/>
              </w:rPr>
              <w:t>46 208</w:t>
            </w:r>
          </w:p>
        </w:tc>
        <w:tc>
          <w:tcPr>
            <w:tcW w:w="850" w:type="dxa"/>
            <w:tcBorders>
              <w:top w:val="single" w:sz="6" w:space="0" w:color="auto"/>
              <w:bottom w:val="single" w:sz="12" w:space="0" w:color="auto"/>
            </w:tcBorders>
          </w:tcPr>
          <w:p w:rsidR="00B32D50" w:rsidRPr="00C45287"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C45287">
              <w:rPr>
                <w:rFonts w:eastAsiaTheme="minorEastAsia" w:cs="Calibri"/>
                <w:bCs/>
                <w:color w:val="000000"/>
                <w:szCs w:val="20"/>
                <w:lang w:eastAsia="en-AU"/>
              </w:rPr>
              <w:t>45 661</w:t>
            </w:r>
          </w:p>
        </w:tc>
        <w:tc>
          <w:tcPr>
            <w:tcW w:w="850" w:type="dxa"/>
            <w:tcBorders>
              <w:top w:val="single" w:sz="6" w:space="0" w:color="auto"/>
              <w:bottom w:val="single" w:sz="12" w:space="0" w:color="auto"/>
            </w:tcBorders>
          </w:tcPr>
          <w:p w:rsidR="00B32D50" w:rsidRPr="00C45287"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C45287">
              <w:rPr>
                <w:rFonts w:eastAsiaTheme="minorEastAsia" w:cs="Calibri"/>
                <w:bCs/>
                <w:color w:val="000000"/>
                <w:szCs w:val="20"/>
                <w:lang w:eastAsia="en-AU"/>
              </w:rPr>
              <w:t>45 117</w:t>
            </w:r>
          </w:p>
        </w:tc>
      </w:tr>
    </w:tbl>
    <w:p w:rsidR="00B32D50" w:rsidRDefault="00B32D50" w:rsidP="00F17BCD">
      <w:pPr>
        <w:pStyle w:val="Source"/>
      </w:pPr>
      <w:r w:rsidRPr="00D87D22">
        <w:t>Source: Department of Treasury and Finance</w:t>
      </w:r>
    </w:p>
    <w:p w:rsidR="00B32D50" w:rsidRDefault="00B32D50" w:rsidP="00F17BCD"/>
    <w:p w:rsidR="00B32D50" w:rsidRPr="00BC4D8D" w:rsidRDefault="00B32D50" w:rsidP="00F17BCD">
      <w:pPr>
        <w:pStyle w:val="TableHeading"/>
        <w:rPr>
          <w:bCs/>
          <w:lang w:val="en-US"/>
        </w:rPr>
      </w:pPr>
      <w:r w:rsidRPr="00771D23">
        <w:t>Reconciliation of the fair value of superannuation plan assets</w:t>
      </w:r>
      <w: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351239" w:rsidRPr="00BC4D8D" w:rsidTr="003512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351239" w:rsidRPr="00BC4D8D" w:rsidRDefault="00351239" w:rsidP="00F17BCD">
            <w:pPr>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 xml:space="preserve"> </w:t>
            </w:r>
            <w:r>
              <w:rPr>
                <w:rFonts w:eastAsiaTheme="minorEastAsia" w:cs="Calibri"/>
                <w:i w:val="0"/>
                <w:color w:val="000000"/>
                <w:szCs w:val="20"/>
                <w:lang w:eastAsia="en-AU"/>
              </w:rPr>
              <w:t xml:space="preserve"> </w:t>
            </w:r>
            <w:r w:rsidRPr="00BC4D8D">
              <w:rPr>
                <w:rFonts w:eastAsiaTheme="minorEastAsia" w:cs="Calibri"/>
                <w:color w:val="000000"/>
                <w:szCs w:val="20"/>
                <w:lang w:eastAsia="en-AU"/>
              </w:rPr>
              <w:t xml:space="preserve"> </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2018-19</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budget</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2018-19</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revised</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2019-20</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2020-21</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estimate</w:t>
            </w:r>
          </w:p>
        </w:tc>
        <w:tc>
          <w:tcPr>
            <w:tcW w:w="850" w:type="dxa"/>
            <w:tcBorders>
              <w:top w:val="nil"/>
              <w:left w:val="nil"/>
              <w:bottom w:val="nil"/>
              <w:right w:val="nil"/>
            </w:tcBorders>
            <w:shd w:val="solid" w:color="000000" w:fill="auto"/>
          </w:tcPr>
          <w:p w:rsidR="00351239" w:rsidRPr="00BC4D8D" w:rsidRDefault="00351239"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BC4D8D">
              <w:rPr>
                <w:rFonts w:eastAsiaTheme="minorEastAsia" w:cs="Calibri"/>
                <w:iCs/>
                <w:color w:val="FFFFFF"/>
                <w:szCs w:val="20"/>
                <w:lang w:eastAsia="en-AU"/>
              </w:rPr>
              <w:t>2021-22</w:t>
            </w:r>
            <w:r>
              <w:rPr>
                <w:rFonts w:eastAsiaTheme="minorEastAsia" w:cs="Calibri"/>
                <w:i w:val="0"/>
                <w:iCs/>
                <w:color w:val="FFFFFF"/>
                <w:szCs w:val="20"/>
                <w:lang w:eastAsia="en-AU"/>
              </w:rPr>
              <w:t xml:space="preserve"> </w:t>
            </w:r>
            <w:r w:rsidRPr="00BC4D8D">
              <w:rPr>
                <w:rFonts w:eastAsiaTheme="minorEastAsia" w:cs="Calibri"/>
                <w:iCs/>
                <w:color w:val="FFFFFF"/>
                <w:szCs w:val="20"/>
                <w:lang w:eastAsia="en-AU"/>
              </w:rPr>
              <w:t>estimate</w:t>
            </w:r>
          </w:p>
        </w:tc>
      </w:tr>
      <w:tr w:rsidR="00B32D50" w:rsidRPr="00BC4D8D" w:rsidTr="00351239">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b/>
                <w:bCs/>
                <w:color w:val="000000"/>
                <w:szCs w:val="20"/>
                <w:lang w:eastAsia="en-AU"/>
              </w:rPr>
            </w:pPr>
            <w:r w:rsidRPr="00BC4D8D">
              <w:rPr>
                <w:rFonts w:eastAsiaTheme="minorEastAsia" w:cs="Calibri"/>
                <w:b/>
                <w:bCs/>
                <w:color w:val="000000"/>
                <w:szCs w:val="20"/>
                <w:lang w:eastAsia="en-AU"/>
              </w:rPr>
              <w:t>Opening balance of plan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22 946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22 946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23 446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23 989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0"/>
                <w:lang w:eastAsia="en-AU"/>
              </w:rPr>
            </w:pPr>
            <w:r w:rsidRPr="00BC4D8D">
              <w:rPr>
                <w:rFonts w:eastAsiaTheme="minorEastAsia" w:cs="Calibri"/>
                <w:b/>
                <w:bCs/>
                <w:color w:val="000000"/>
                <w:szCs w:val="20"/>
                <w:lang w:eastAsia="en-AU"/>
              </w:rPr>
              <w:t>24 522</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Interest income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626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648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663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676</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Return on plan assets not included in interest income</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1 014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1 080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1 053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1 074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1 094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Employer contributions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1 607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1 629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1 627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1 618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1 550</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Contributions by plan participants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203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195</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Pr>
                <w:rFonts w:eastAsiaTheme="minorEastAsia" w:cs="Calibri"/>
                <w:color w:val="000000"/>
                <w:szCs w:val="20"/>
                <w:lang w:eastAsia="en-AU"/>
              </w:rPr>
              <w:t>193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20"/>
                <w:lang w:eastAsia="en-AU"/>
              </w:rPr>
            </w:pPr>
            <w:r w:rsidRPr="00BC4D8D">
              <w:rPr>
                <w:rFonts w:eastAsiaTheme="minorEastAsia" w:cs="Calibri"/>
                <w:color w:val="000000"/>
                <w:szCs w:val="20"/>
                <w:lang w:eastAsia="en-AU"/>
              </w:rPr>
              <w:t>Benefits paid (including tax paid)</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(2 968)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(3 036)</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(2 984)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(3 017)</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0"/>
                <w:lang w:eastAsia="en-AU"/>
              </w:rPr>
            </w:pPr>
            <w:r w:rsidRPr="00BC4D8D">
              <w:rPr>
                <w:rFonts w:eastAsiaTheme="minorEastAsia" w:cs="Calibri"/>
                <w:color w:val="000000"/>
                <w:szCs w:val="20"/>
                <w:lang w:eastAsia="en-AU"/>
              </w:rPr>
              <w:t>(3 044)</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B32D50" w:rsidRPr="00BC4D8D" w:rsidRDefault="00B32D50" w:rsidP="00F17BCD">
            <w:pPr>
              <w:keepLines w:val="0"/>
              <w:autoSpaceDE w:val="0"/>
              <w:autoSpaceDN w:val="0"/>
              <w:adjustRightInd w:val="0"/>
              <w:rPr>
                <w:rFonts w:eastAsiaTheme="minorEastAsia" w:cs="Calibri"/>
                <w:bCs/>
                <w:color w:val="000000"/>
                <w:szCs w:val="20"/>
                <w:lang w:eastAsia="en-AU"/>
              </w:rPr>
            </w:pPr>
            <w:r w:rsidRPr="00BC4D8D">
              <w:rPr>
                <w:rFonts w:eastAsiaTheme="minorEastAsia" w:cs="Calibri"/>
                <w:bCs/>
                <w:color w:val="000000"/>
                <w:szCs w:val="20"/>
                <w:lang w:eastAsia="en-AU"/>
              </w:rPr>
              <w:t>Closing balance of plan assets</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23 400</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23 446</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23 989</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24 522</w:t>
            </w:r>
          </w:p>
        </w:tc>
        <w:tc>
          <w:tcPr>
            <w:tcW w:w="850" w:type="dxa"/>
            <w:tcBorders>
              <w:top w:val="single" w:sz="6" w:space="0" w:color="auto"/>
              <w:bottom w:val="single" w:sz="12" w:space="0" w:color="auto"/>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0"/>
                <w:lang w:eastAsia="en-AU"/>
              </w:rPr>
            </w:pPr>
            <w:r w:rsidRPr="00BC4D8D">
              <w:rPr>
                <w:rFonts w:eastAsiaTheme="minorEastAsia" w:cs="Calibri"/>
                <w:bCs/>
                <w:color w:val="000000"/>
                <w:szCs w:val="20"/>
                <w:lang w:eastAsia="en-AU"/>
              </w:rPr>
              <w:t>24 991</w:t>
            </w:r>
          </w:p>
        </w:tc>
      </w:tr>
    </w:tbl>
    <w:p w:rsidR="00B32D50" w:rsidRPr="00B41AC3" w:rsidRDefault="00B32D50" w:rsidP="00F17BCD">
      <w:pPr>
        <w:pStyle w:val="Source"/>
      </w:pPr>
      <w:r w:rsidRPr="00D87D22">
        <w:t>Source: Department of Treasury and Finance</w:t>
      </w:r>
    </w:p>
    <w:bookmarkEnd w:id="67"/>
    <w:p w:rsidR="00B32D50" w:rsidRDefault="00B32D50">
      <w:pPr>
        <w:keepLines w:val="0"/>
      </w:pPr>
      <w:r>
        <w:br w:type="page"/>
      </w:r>
    </w:p>
    <w:p w:rsidR="00B32D50" w:rsidRDefault="00B32D50" w:rsidP="00B32D50">
      <w:pPr>
        <w:pStyle w:val="Heading2"/>
        <w:numPr>
          <w:ilvl w:val="1"/>
          <w:numId w:val="21"/>
        </w:numPr>
        <w:sectPr w:rsidR="00B32D50" w:rsidSect="00F17BCD">
          <w:type w:val="continuous"/>
          <w:pgSz w:w="9979" w:h="14175" w:code="9"/>
          <w:pgMar w:top="850" w:right="1134" w:bottom="850" w:left="1134" w:header="624" w:footer="567" w:gutter="0"/>
          <w:cols w:space="567"/>
          <w:titlePg/>
          <w:docGrid w:linePitch="360"/>
        </w:sectPr>
      </w:pPr>
      <w:r>
        <w:lastRenderedPageBreak/>
        <w:t>OTHER DISCLOSURES</w:t>
      </w:r>
    </w:p>
    <w:p w:rsidR="00B32D50" w:rsidRDefault="00B32D50" w:rsidP="00B607B3">
      <w:pPr>
        <w:pStyle w:val="Heading30"/>
        <w:pBdr>
          <w:bottom w:val="single" w:sz="6" w:space="1" w:color="auto"/>
        </w:pBdr>
      </w:pPr>
      <w:r>
        <w:t>Introduction</w:t>
      </w:r>
    </w:p>
    <w:p w:rsidR="00B32D50" w:rsidRDefault="00B32D50" w:rsidP="00F17BCD">
      <w:r>
        <w:t>This section includes several additional disclosures that assist the understanding of the Estimated Financial Statements.</w:t>
      </w:r>
    </w:p>
    <w:p w:rsidR="00B32D50" w:rsidRDefault="00B32D50" w:rsidP="00F17BCD">
      <w:pPr>
        <w:pStyle w:val="Heading30"/>
        <w:pBdr>
          <w:bottom w:val="single" w:sz="4" w:space="1" w:color="auto"/>
        </w:pBdr>
      </w:pPr>
      <w:r>
        <w:br w:type="column"/>
      </w:r>
      <w:r>
        <w:t>Structure</w:t>
      </w:r>
    </w:p>
    <w:p w:rsidR="00B32D50" w:rsidRDefault="00B32D50">
      <w:pPr>
        <w:pStyle w:val="TOC9"/>
        <w:rPr>
          <w:rFonts w:eastAsiaTheme="minorEastAsia"/>
          <w:noProof/>
          <w:spacing w:val="0"/>
          <w:lang w:eastAsia="en-AU"/>
        </w:rPr>
      </w:pPr>
      <w:r>
        <w:fldChar w:fldCharType="begin"/>
      </w:r>
      <w:r>
        <w:instrText xml:space="preserve"> TOC \h \z \t "Heading 3 (#),9" \b Section_7 \* MERGEFORMAT </w:instrText>
      </w:r>
      <w:r>
        <w:fldChar w:fldCharType="separate"/>
      </w:r>
      <w:hyperlink w:anchor="_Toc528247556" w:history="1">
        <w:r w:rsidRPr="00576EA6">
          <w:rPr>
            <w:rStyle w:val="Hyperlink"/>
            <w:noProof/>
            <w:lang w:val="en-US"/>
          </w:rPr>
          <w:t>3.7.1</w:t>
        </w:r>
        <w:r>
          <w:rPr>
            <w:rFonts w:eastAsiaTheme="minorEastAsia"/>
            <w:noProof/>
            <w:spacing w:val="0"/>
            <w:lang w:eastAsia="en-AU"/>
          </w:rPr>
          <w:tab/>
        </w:r>
        <w:r w:rsidRPr="00576EA6">
          <w:rPr>
            <w:rStyle w:val="Hyperlink"/>
            <w:noProof/>
          </w:rPr>
          <w:t xml:space="preserve">Other gains/(losses) from </w:t>
        </w:r>
        <w:r>
          <w:rPr>
            <w:rStyle w:val="Hyperlink"/>
            <w:noProof/>
          </w:rPr>
          <w:t>other economic flows</w:t>
        </w:r>
        <w:r>
          <w:rPr>
            <w:noProof/>
            <w:webHidden/>
          </w:rPr>
          <w:tab/>
        </w:r>
        <w:r>
          <w:rPr>
            <w:noProof/>
            <w:webHidden/>
          </w:rPr>
          <w:fldChar w:fldCharType="begin"/>
        </w:r>
        <w:r>
          <w:rPr>
            <w:noProof/>
            <w:webHidden/>
          </w:rPr>
          <w:instrText xml:space="preserve"> PAGEREF _Toc528247556 \h </w:instrText>
        </w:r>
        <w:r>
          <w:rPr>
            <w:noProof/>
            <w:webHidden/>
          </w:rPr>
        </w:r>
        <w:r>
          <w:rPr>
            <w:noProof/>
            <w:webHidden/>
          </w:rPr>
          <w:fldChar w:fldCharType="separate"/>
        </w:r>
        <w:r w:rsidR="00132FE0">
          <w:rPr>
            <w:noProof/>
            <w:webHidden/>
          </w:rPr>
          <w:t>56</w:t>
        </w:r>
        <w:r>
          <w:rPr>
            <w:noProof/>
            <w:webHidden/>
          </w:rPr>
          <w:fldChar w:fldCharType="end"/>
        </w:r>
      </w:hyperlink>
    </w:p>
    <w:p w:rsidR="00B32D50" w:rsidRDefault="00132FE0">
      <w:pPr>
        <w:pStyle w:val="TOC9"/>
        <w:rPr>
          <w:rFonts w:eastAsiaTheme="minorEastAsia"/>
          <w:noProof/>
          <w:spacing w:val="0"/>
          <w:lang w:eastAsia="en-AU"/>
        </w:rPr>
      </w:pPr>
      <w:hyperlink w:anchor="_Toc528247557" w:history="1">
        <w:r w:rsidR="00B32D50" w:rsidRPr="00576EA6">
          <w:rPr>
            <w:rStyle w:val="Hyperlink"/>
            <w:noProof/>
            <w:lang w:val="en-US"/>
          </w:rPr>
          <w:t>3.7.2</w:t>
        </w:r>
        <w:r w:rsidR="00B32D50">
          <w:rPr>
            <w:rFonts w:eastAsiaTheme="minorEastAsia"/>
            <w:noProof/>
            <w:spacing w:val="0"/>
            <w:lang w:eastAsia="en-AU"/>
          </w:rPr>
          <w:tab/>
        </w:r>
        <w:r w:rsidR="00B32D50" w:rsidRPr="00576EA6">
          <w:rPr>
            <w:rStyle w:val="Hyperlink"/>
            <w:noProof/>
          </w:rPr>
          <w:t>Reconciliation t</w:t>
        </w:r>
        <w:r w:rsidR="00B32D50">
          <w:rPr>
            <w:rStyle w:val="Hyperlink"/>
            <w:noProof/>
          </w:rPr>
          <w:t>o Government Finance Statistics</w:t>
        </w:r>
        <w:r w:rsidR="00B32D50">
          <w:rPr>
            <w:noProof/>
            <w:webHidden/>
          </w:rPr>
          <w:tab/>
        </w:r>
        <w:r w:rsidR="00B32D50">
          <w:rPr>
            <w:noProof/>
            <w:webHidden/>
          </w:rPr>
          <w:fldChar w:fldCharType="begin"/>
        </w:r>
        <w:r w:rsidR="00B32D50">
          <w:rPr>
            <w:noProof/>
            <w:webHidden/>
          </w:rPr>
          <w:instrText xml:space="preserve"> PAGEREF _Toc528247557 \h </w:instrText>
        </w:r>
        <w:r w:rsidR="00B32D50">
          <w:rPr>
            <w:noProof/>
            <w:webHidden/>
          </w:rPr>
        </w:r>
        <w:r w:rsidR="00B32D50">
          <w:rPr>
            <w:noProof/>
            <w:webHidden/>
          </w:rPr>
          <w:fldChar w:fldCharType="separate"/>
        </w:r>
        <w:r>
          <w:rPr>
            <w:noProof/>
            <w:webHidden/>
          </w:rPr>
          <w:t>57</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558" w:history="1">
        <w:r w:rsidR="00B32D50" w:rsidRPr="00576EA6">
          <w:rPr>
            <w:rStyle w:val="Hyperlink"/>
            <w:noProof/>
          </w:rPr>
          <w:t>3.7.3</w:t>
        </w:r>
        <w:r w:rsidR="00B32D50">
          <w:rPr>
            <w:rFonts w:eastAsiaTheme="minorEastAsia"/>
            <w:noProof/>
            <w:spacing w:val="0"/>
            <w:lang w:eastAsia="en-AU"/>
          </w:rPr>
          <w:tab/>
        </w:r>
        <w:r w:rsidR="00B32D50" w:rsidRPr="00576EA6">
          <w:rPr>
            <w:rStyle w:val="Hyperlink"/>
            <w:noProof/>
          </w:rPr>
          <w:t>Financial instruments</w:t>
        </w:r>
        <w:r w:rsidR="00B32D50">
          <w:rPr>
            <w:noProof/>
            <w:webHidden/>
          </w:rPr>
          <w:tab/>
        </w:r>
        <w:r w:rsidR="00B32D50">
          <w:rPr>
            <w:noProof/>
            <w:webHidden/>
          </w:rPr>
          <w:fldChar w:fldCharType="begin"/>
        </w:r>
        <w:r w:rsidR="00B32D50">
          <w:rPr>
            <w:noProof/>
            <w:webHidden/>
          </w:rPr>
          <w:instrText xml:space="preserve"> PAGEREF _Toc528247558 \h </w:instrText>
        </w:r>
        <w:r w:rsidR="00B32D50">
          <w:rPr>
            <w:noProof/>
            <w:webHidden/>
          </w:rPr>
        </w:r>
        <w:r w:rsidR="00B32D50">
          <w:rPr>
            <w:noProof/>
            <w:webHidden/>
          </w:rPr>
          <w:fldChar w:fldCharType="separate"/>
        </w:r>
        <w:r>
          <w:rPr>
            <w:noProof/>
            <w:webHidden/>
          </w:rPr>
          <w:t>58</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559" w:history="1">
        <w:r w:rsidR="00B32D50" w:rsidRPr="00576EA6">
          <w:rPr>
            <w:rStyle w:val="Hyperlink"/>
            <w:noProof/>
          </w:rPr>
          <w:t>3.7.4</w:t>
        </w:r>
        <w:r w:rsidR="00B32D50">
          <w:rPr>
            <w:rFonts w:eastAsiaTheme="minorEastAsia"/>
            <w:noProof/>
            <w:spacing w:val="0"/>
            <w:lang w:eastAsia="en-AU"/>
          </w:rPr>
          <w:tab/>
        </w:r>
        <w:r w:rsidR="00B32D50" w:rsidRPr="00576EA6">
          <w:rPr>
            <w:rStyle w:val="Hyperlink"/>
            <w:noProof/>
          </w:rPr>
          <w:t>Prospective accounting and reporting changes</w:t>
        </w:r>
        <w:r w:rsidR="00B32D50">
          <w:rPr>
            <w:noProof/>
            <w:webHidden/>
          </w:rPr>
          <w:tab/>
        </w:r>
        <w:r w:rsidR="00B32D50">
          <w:rPr>
            <w:noProof/>
            <w:webHidden/>
          </w:rPr>
          <w:fldChar w:fldCharType="begin"/>
        </w:r>
        <w:r w:rsidR="00B32D50">
          <w:rPr>
            <w:noProof/>
            <w:webHidden/>
          </w:rPr>
          <w:instrText xml:space="preserve"> PAGEREF _Toc528247559 \h </w:instrText>
        </w:r>
        <w:r w:rsidR="00B32D50">
          <w:rPr>
            <w:noProof/>
            <w:webHidden/>
          </w:rPr>
        </w:r>
        <w:r w:rsidR="00B32D50">
          <w:rPr>
            <w:noProof/>
            <w:webHidden/>
          </w:rPr>
          <w:fldChar w:fldCharType="separate"/>
        </w:r>
        <w:r>
          <w:rPr>
            <w:noProof/>
            <w:webHidden/>
          </w:rPr>
          <w:t>58</w:t>
        </w:r>
        <w:r w:rsidR="00B32D50">
          <w:rPr>
            <w:noProof/>
            <w:webHidden/>
          </w:rPr>
          <w:fldChar w:fldCharType="end"/>
        </w:r>
      </w:hyperlink>
    </w:p>
    <w:p w:rsidR="00B32D50" w:rsidRDefault="00132FE0">
      <w:pPr>
        <w:pStyle w:val="TOC9"/>
        <w:rPr>
          <w:rFonts w:eastAsiaTheme="minorEastAsia"/>
          <w:noProof/>
          <w:spacing w:val="0"/>
          <w:lang w:eastAsia="en-AU"/>
        </w:rPr>
      </w:pPr>
      <w:hyperlink w:anchor="_Toc528247560" w:history="1">
        <w:r w:rsidR="00B32D50" w:rsidRPr="00576EA6">
          <w:rPr>
            <w:rStyle w:val="Hyperlink"/>
            <w:noProof/>
          </w:rPr>
          <w:t>3.7.5</w:t>
        </w:r>
        <w:r w:rsidR="00B32D50">
          <w:rPr>
            <w:rFonts w:eastAsiaTheme="minorEastAsia"/>
            <w:noProof/>
            <w:spacing w:val="0"/>
            <w:lang w:eastAsia="en-AU"/>
          </w:rPr>
          <w:tab/>
        </w:r>
        <w:r w:rsidR="00B32D50" w:rsidRPr="00576EA6">
          <w:rPr>
            <w:rStyle w:val="Hyperlink"/>
            <w:noProof/>
          </w:rPr>
          <w:t>Controlled entities</w:t>
        </w:r>
        <w:r w:rsidR="00B32D50">
          <w:rPr>
            <w:noProof/>
            <w:webHidden/>
          </w:rPr>
          <w:tab/>
        </w:r>
        <w:r w:rsidR="00B32D50">
          <w:rPr>
            <w:noProof/>
            <w:webHidden/>
          </w:rPr>
          <w:fldChar w:fldCharType="begin"/>
        </w:r>
        <w:r w:rsidR="00B32D50">
          <w:rPr>
            <w:noProof/>
            <w:webHidden/>
          </w:rPr>
          <w:instrText xml:space="preserve"> PAGEREF _Toc528247560 \h </w:instrText>
        </w:r>
        <w:r w:rsidR="00B32D50">
          <w:rPr>
            <w:noProof/>
            <w:webHidden/>
          </w:rPr>
        </w:r>
        <w:r w:rsidR="00B32D50">
          <w:rPr>
            <w:noProof/>
            <w:webHidden/>
          </w:rPr>
          <w:fldChar w:fldCharType="separate"/>
        </w:r>
        <w:r>
          <w:rPr>
            <w:noProof/>
            <w:webHidden/>
          </w:rPr>
          <w:t>59</w:t>
        </w:r>
        <w:r w:rsidR="00B32D50">
          <w:rPr>
            <w:noProof/>
            <w:webHidden/>
          </w:rPr>
          <w:fldChar w:fldCharType="end"/>
        </w:r>
      </w:hyperlink>
    </w:p>
    <w:p w:rsidR="00B32D50" w:rsidRDefault="00B32D50" w:rsidP="00F17BCD">
      <w:r>
        <w:rPr>
          <w:noProof/>
          <w:lang w:val="en-US"/>
        </w:rPr>
        <w:fldChar w:fldCharType="end"/>
      </w:r>
    </w:p>
    <w:p w:rsidR="00B32D50" w:rsidRDefault="00B32D50" w:rsidP="00F17BCD">
      <w:pPr>
        <w:sectPr w:rsidR="00B32D50" w:rsidSect="00F17BCD">
          <w:type w:val="continuous"/>
          <w:pgSz w:w="9979" w:h="14175" w:code="9"/>
          <w:pgMar w:top="850" w:right="1134" w:bottom="850" w:left="1134" w:header="624" w:footer="567" w:gutter="0"/>
          <w:cols w:num="2" w:space="567"/>
          <w:titlePg/>
          <w:docGrid w:linePitch="360"/>
        </w:sectPr>
      </w:pPr>
    </w:p>
    <w:p w:rsidR="00B32D50" w:rsidRPr="00BC4D8D" w:rsidRDefault="00B32D50" w:rsidP="00B32D50">
      <w:pPr>
        <w:pStyle w:val="Heading3"/>
        <w:numPr>
          <w:ilvl w:val="2"/>
          <w:numId w:val="21"/>
        </w:numPr>
        <w:tabs>
          <w:tab w:val="clear" w:pos="9582"/>
          <w:tab w:val="left" w:pos="850"/>
          <w:tab w:val="right" w:pos="7710"/>
        </w:tabs>
        <w:spacing w:after="60"/>
        <w:rPr>
          <w:lang w:val="en-US"/>
        </w:rPr>
      </w:pPr>
      <w:bookmarkStart w:id="70" w:name="_Toc496606682"/>
      <w:bookmarkStart w:id="71" w:name="_Toc528247556"/>
      <w:bookmarkStart w:id="72" w:name="Section_7"/>
      <w:r w:rsidRPr="0010447C">
        <w:rPr>
          <w:rStyle w:val="Heading3Char0"/>
          <w:b/>
          <w:bCs/>
        </w:rPr>
        <w:t>Other</w:t>
      </w:r>
      <w:r w:rsidRPr="00207ACA">
        <w:rPr>
          <w:rStyle w:val="Heading3Char0"/>
        </w:rPr>
        <w:t xml:space="preserve"> </w:t>
      </w:r>
      <w:r w:rsidRPr="0010447C">
        <w:t>gains/(losses) from other economic flows</w:t>
      </w:r>
      <w:r>
        <w:tab/>
        <w:t>($ million)</w:t>
      </w:r>
      <w:bookmarkEnd w:id="70"/>
      <w:bookmarkEnd w:id="71"/>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C10E02" w:rsidRPr="00BC4D8D" w:rsidTr="00C10E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C10E02" w:rsidRPr="00BC4D8D" w:rsidRDefault="00C10E02" w:rsidP="00F17BCD">
            <w:pPr>
              <w:autoSpaceDE w:val="0"/>
              <w:autoSpaceDN w:val="0"/>
              <w:adjustRightInd w:val="0"/>
              <w:rPr>
                <w:rFonts w:eastAsiaTheme="minorEastAsia" w:cs="Calibri"/>
                <w:iCs/>
                <w:color w:val="FFFFFF"/>
                <w:lang w:eastAsia="en-AU"/>
              </w:rPr>
            </w:pPr>
            <w:r w:rsidRPr="00BC4D8D">
              <w:rPr>
                <w:rFonts w:eastAsiaTheme="minorEastAsia" w:cs="Calibri"/>
                <w:iCs/>
                <w:color w:val="FFFFFF"/>
                <w:lang w:eastAsia="en-AU"/>
              </w:rPr>
              <w:t xml:space="preserve"> </w:t>
            </w:r>
            <w:r>
              <w:rPr>
                <w:rFonts w:eastAsiaTheme="minorEastAsia" w:cs="Calibri"/>
                <w:i w:val="0"/>
                <w:iCs/>
                <w:color w:val="FFFFFF"/>
                <w:lang w:eastAsia="en-AU"/>
              </w:rPr>
              <w:t xml:space="preserve"> </w:t>
            </w:r>
            <w:r w:rsidRPr="00BC4D8D">
              <w:rPr>
                <w:rFonts w:eastAsiaTheme="minorEastAsia" w:cs="Calibri"/>
                <w:iCs/>
                <w:color w:val="FFFFFF"/>
                <w:lang w:eastAsia="en-AU"/>
              </w:rPr>
              <w:t xml:space="preserve"> </w:t>
            </w:r>
          </w:p>
        </w:tc>
        <w:tc>
          <w:tcPr>
            <w:tcW w:w="850" w:type="dxa"/>
            <w:tcBorders>
              <w:top w:val="nil"/>
              <w:left w:val="nil"/>
              <w:right w:val="nil"/>
            </w:tcBorders>
            <w:shd w:val="solid" w:color="000000" w:fill="auto"/>
          </w:tcPr>
          <w:p w:rsidR="00C10E02" w:rsidRPr="00BC4D8D" w:rsidRDefault="00C10E02"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budget</w:t>
            </w:r>
          </w:p>
        </w:tc>
        <w:tc>
          <w:tcPr>
            <w:tcW w:w="850" w:type="dxa"/>
            <w:tcBorders>
              <w:top w:val="nil"/>
              <w:left w:val="nil"/>
              <w:right w:val="nil"/>
            </w:tcBorders>
            <w:shd w:val="solid" w:color="000000" w:fill="auto"/>
          </w:tcPr>
          <w:p w:rsidR="00C10E02" w:rsidRPr="00BC4D8D" w:rsidRDefault="00C10E02"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2018-19</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revised</w:t>
            </w:r>
          </w:p>
        </w:tc>
        <w:tc>
          <w:tcPr>
            <w:tcW w:w="850" w:type="dxa"/>
            <w:tcBorders>
              <w:top w:val="nil"/>
              <w:left w:val="nil"/>
              <w:right w:val="nil"/>
            </w:tcBorders>
            <w:shd w:val="solid" w:color="000000" w:fill="auto"/>
          </w:tcPr>
          <w:p w:rsidR="00C10E02" w:rsidRPr="00BC4D8D" w:rsidRDefault="00C10E02"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2019-20</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C10E02" w:rsidRPr="00BC4D8D" w:rsidRDefault="00C10E02"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2020-21</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c>
          <w:tcPr>
            <w:tcW w:w="850" w:type="dxa"/>
            <w:tcBorders>
              <w:top w:val="nil"/>
              <w:left w:val="nil"/>
              <w:right w:val="nil"/>
            </w:tcBorders>
            <w:shd w:val="solid" w:color="000000" w:fill="auto"/>
          </w:tcPr>
          <w:p w:rsidR="00C10E02" w:rsidRPr="00BC4D8D" w:rsidRDefault="00C10E02"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BC4D8D">
              <w:rPr>
                <w:rFonts w:eastAsiaTheme="minorEastAsia" w:cs="Calibri"/>
                <w:iCs/>
                <w:color w:val="FFFFFF"/>
                <w:szCs w:val="16"/>
                <w:lang w:eastAsia="en-AU"/>
              </w:rPr>
              <w:t>2021-22</w:t>
            </w:r>
            <w:r>
              <w:rPr>
                <w:rFonts w:eastAsiaTheme="minorEastAsia" w:cs="Calibri"/>
                <w:i w:val="0"/>
                <w:iCs/>
                <w:color w:val="FFFFFF"/>
                <w:szCs w:val="16"/>
                <w:lang w:eastAsia="en-AU"/>
              </w:rPr>
              <w:t xml:space="preserve"> </w:t>
            </w:r>
            <w:r w:rsidRPr="00BC4D8D">
              <w:rPr>
                <w:rFonts w:eastAsiaTheme="minorEastAsia" w:cs="Calibri"/>
                <w:iCs/>
                <w:color w:val="FFFFFF"/>
                <w:szCs w:val="16"/>
                <w:lang w:eastAsia="en-AU"/>
              </w:rPr>
              <w:t>estimate</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Net (increase)/decrease in provision for doubtful receivables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(212)</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(208)</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(230)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(225)</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Amortisation of intangible non-produced assets</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(4)</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Bad debts written off</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(129)</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(144)</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(110)</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(133)</w:t>
            </w:r>
          </w:p>
        </w:tc>
      </w:tr>
      <w:tr w:rsidR="00B32D50" w:rsidRPr="00BC4D8D"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BC4D8D" w:rsidRDefault="00B32D50" w:rsidP="00F17BCD">
            <w:pPr>
              <w:keepLines w:val="0"/>
              <w:autoSpaceDE w:val="0"/>
              <w:autoSpaceDN w:val="0"/>
              <w:adjustRightInd w:val="0"/>
              <w:rPr>
                <w:rFonts w:eastAsiaTheme="minorEastAsia" w:cs="Calibri"/>
                <w:color w:val="000000"/>
                <w:szCs w:val="16"/>
                <w:lang w:eastAsia="en-AU"/>
              </w:rPr>
            </w:pPr>
            <w:r w:rsidRPr="00BC4D8D">
              <w:rPr>
                <w:rFonts w:eastAsiaTheme="minorEastAsia" w:cs="Calibri"/>
                <w:color w:val="000000"/>
                <w:szCs w:val="16"/>
                <w:lang w:eastAsia="en-AU"/>
              </w:rPr>
              <w:t xml:space="preserve">Other gains/(losses) </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(3)</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1</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c>
          <w:tcPr>
            <w:tcW w:w="850" w:type="dxa"/>
            <w:tcBorders>
              <w:top w:val="nil"/>
              <w:left w:val="nil"/>
              <w:bottom w:val="nil"/>
              <w:right w:val="nil"/>
            </w:tcBorders>
          </w:tcPr>
          <w:p w:rsidR="00B32D50" w:rsidRPr="00BC4D8D"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8"/>
                <w:lang w:eastAsia="en-AU"/>
              </w:rPr>
            </w:pPr>
            <w:r>
              <w:rPr>
                <w:rFonts w:eastAsiaTheme="minorEastAsia" w:cs="Arial"/>
                <w:color w:val="000000"/>
                <w:szCs w:val="18"/>
                <w:lang w:eastAsia="en-AU"/>
              </w:rPr>
              <w:t>..</w:t>
            </w:r>
          </w:p>
        </w:tc>
      </w:tr>
      <w:tr w:rsidR="00B32D50" w:rsidRPr="00BC4D8D"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rPr>
                <w:rFonts w:eastAsiaTheme="minorEastAsia" w:cs="Calibri"/>
                <w:bCs/>
                <w:color w:val="000000"/>
                <w:szCs w:val="16"/>
                <w:lang w:eastAsia="en-AU"/>
              </w:rPr>
            </w:pPr>
            <w:r w:rsidRPr="00BC4D8D">
              <w:rPr>
                <w:rFonts w:eastAsiaTheme="minorEastAsia" w:cs="Calibri"/>
                <w:bCs/>
                <w:color w:val="000000"/>
                <w:szCs w:val="16"/>
                <w:lang w:eastAsia="en-AU"/>
              </w:rPr>
              <w:t>Total other gains/(losses) from other economic flows</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(345)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(347)</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(355)</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(343)</w:t>
            </w:r>
          </w:p>
        </w:tc>
        <w:tc>
          <w:tcPr>
            <w:tcW w:w="850" w:type="dxa"/>
            <w:tcBorders>
              <w:top w:val="single" w:sz="6" w:space="0" w:color="000000"/>
              <w:bottom w:val="single" w:sz="12" w:space="0" w:color="000000"/>
            </w:tcBorders>
          </w:tcPr>
          <w:p w:rsidR="00B32D50" w:rsidRPr="00BC4D8D"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Arial"/>
                <w:bCs/>
                <w:color w:val="000000"/>
                <w:szCs w:val="18"/>
                <w:lang w:eastAsia="en-AU"/>
              </w:rPr>
            </w:pPr>
            <w:r>
              <w:rPr>
                <w:rFonts w:eastAsiaTheme="minorEastAsia" w:cs="Arial"/>
                <w:bCs/>
                <w:color w:val="000000"/>
                <w:szCs w:val="18"/>
                <w:lang w:eastAsia="en-AU"/>
              </w:rPr>
              <w:t>(362)</w:t>
            </w:r>
          </w:p>
        </w:tc>
      </w:tr>
    </w:tbl>
    <w:p w:rsidR="00B32D50" w:rsidRDefault="00B32D50" w:rsidP="00F17BCD">
      <w:pPr>
        <w:pStyle w:val="Source"/>
      </w:pPr>
      <w:r w:rsidRPr="00D87D22">
        <w:t>Source: Department of Treasury and Finance</w:t>
      </w:r>
    </w:p>
    <w:p w:rsidR="00B32D50" w:rsidRPr="00B41AC3" w:rsidRDefault="00B32D50" w:rsidP="00F17BCD">
      <w:pPr>
        <w:keepLines w:val="0"/>
      </w:pPr>
      <w:r>
        <w:br w:type="page"/>
      </w:r>
    </w:p>
    <w:p w:rsidR="00B32D50" w:rsidRPr="00681DA9" w:rsidRDefault="00B32D50" w:rsidP="00B32D50">
      <w:pPr>
        <w:pStyle w:val="Heading3"/>
        <w:numPr>
          <w:ilvl w:val="2"/>
          <w:numId w:val="21"/>
        </w:numPr>
        <w:tabs>
          <w:tab w:val="clear" w:pos="9582"/>
          <w:tab w:val="left" w:pos="850"/>
          <w:tab w:val="right" w:pos="7710"/>
        </w:tabs>
        <w:spacing w:after="60"/>
        <w:rPr>
          <w:lang w:val="en-US"/>
        </w:rPr>
      </w:pPr>
      <w:bookmarkStart w:id="73" w:name="_Toc496606683"/>
      <w:bookmarkStart w:id="74" w:name="_Toc528247557"/>
      <w:r w:rsidRPr="00A35BCB">
        <w:lastRenderedPageBreak/>
        <w:t xml:space="preserve">Reconciliation to Government Finance Statistics </w:t>
      </w:r>
      <w:r w:rsidRPr="00A35BCB">
        <w:rPr>
          <w:vertAlign w:val="superscript"/>
        </w:rPr>
        <w:t>(a)(b)</w:t>
      </w:r>
      <w:r w:rsidRPr="00A35BCB">
        <w:tab/>
        <w:t>($ million)</w:t>
      </w:r>
      <w:bookmarkEnd w:id="73"/>
      <w:bookmarkEnd w:id="74"/>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3515"/>
        <w:gridCol w:w="171"/>
        <w:gridCol w:w="679"/>
        <w:gridCol w:w="850"/>
        <w:gridCol w:w="850"/>
        <w:gridCol w:w="850"/>
        <w:gridCol w:w="850"/>
      </w:tblGrid>
      <w:tr w:rsidR="005310BA" w:rsidRPr="00681DA9" w:rsidTr="005310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right w:val="nil"/>
            </w:tcBorders>
            <w:shd w:val="solid" w:color="000000" w:fill="auto"/>
          </w:tcPr>
          <w:p w:rsidR="005310BA" w:rsidRPr="00681DA9" w:rsidRDefault="005310BA" w:rsidP="005310BA">
            <w:pPr>
              <w:autoSpaceDE w:val="0"/>
              <w:autoSpaceDN w:val="0"/>
              <w:adjustRightInd w:val="0"/>
              <w:rPr>
                <w:rFonts w:eastAsiaTheme="minorEastAsia" w:cs="Calibri"/>
                <w:b/>
                <w:bCs/>
                <w:color w:val="FFFFFF"/>
                <w:lang w:eastAsia="en-AU"/>
              </w:rPr>
            </w:pPr>
            <w:r w:rsidRPr="00681DA9">
              <w:rPr>
                <w:rFonts w:eastAsiaTheme="minorEastAsia" w:cs="Calibri"/>
                <w:b/>
                <w:bCs/>
                <w:color w:val="FFFFFF"/>
                <w:lang w:eastAsia="en-AU"/>
              </w:rPr>
              <w:t xml:space="preserve"> </w:t>
            </w:r>
            <w:r>
              <w:rPr>
                <w:rFonts w:eastAsiaTheme="minorEastAsia" w:cs="Calibri"/>
                <w:b/>
                <w:bCs/>
                <w:i w:val="0"/>
                <w:color w:val="FFFFFF"/>
                <w:lang w:eastAsia="en-AU"/>
              </w:rPr>
              <w:t xml:space="preserve"> </w:t>
            </w:r>
            <w:r w:rsidRPr="00681DA9">
              <w:rPr>
                <w:rFonts w:eastAsiaTheme="minorEastAsia" w:cs="Calibri"/>
                <w:color w:val="FFFFFF"/>
                <w:lang w:eastAsia="en-AU"/>
              </w:rPr>
              <w:t xml:space="preserve"> </w:t>
            </w:r>
          </w:p>
        </w:tc>
        <w:tc>
          <w:tcPr>
            <w:tcW w:w="850" w:type="dxa"/>
            <w:gridSpan w:val="2"/>
            <w:tcBorders>
              <w:top w:val="nil"/>
              <w:left w:val="nil"/>
              <w:right w:val="nil"/>
            </w:tcBorders>
            <w:shd w:val="solid" w:color="000000" w:fill="auto"/>
          </w:tcPr>
          <w:p w:rsidR="005310BA" w:rsidRPr="00681DA9" w:rsidRDefault="005310BA" w:rsidP="005310B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681DA9">
              <w:rPr>
                <w:rFonts w:eastAsiaTheme="minorEastAsia" w:cs="Calibri"/>
                <w:iCs/>
                <w:color w:val="FFFFFF"/>
                <w:szCs w:val="20"/>
                <w:lang w:eastAsia="en-AU"/>
              </w:rPr>
              <w:t>2018-19</w:t>
            </w:r>
            <w:r>
              <w:rPr>
                <w:rFonts w:eastAsiaTheme="minorEastAsia" w:cs="Calibri"/>
                <w:i w:val="0"/>
                <w:iCs/>
                <w:color w:val="FFFFFF"/>
                <w:szCs w:val="20"/>
                <w:lang w:eastAsia="en-AU"/>
              </w:rPr>
              <w:t xml:space="preserve"> </w:t>
            </w:r>
            <w:r w:rsidRPr="00681DA9">
              <w:rPr>
                <w:rFonts w:eastAsiaTheme="minorEastAsia" w:cs="Calibri"/>
                <w:iCs/>
                <w:color w:val="FFFFFF"/>
                <w:szCs w:val="20"/>
                <w:lang w:eastAsia="en-AU"/>
              </w:rPr>
              <w:t>budget</w:t>
            </w:r>
          </w:p>
        </w:tc>
        <w:tc>
          <w:tcPr>
            <w:tcW w:w="850" w:type="dxa"/>
            <w:tcBorders>
              <w:top w:val="nil"/>
              <w:left w:val="nil"/>
              <w:right w:val="nil"/>
            </w:tcBorders>
            <w:shd w:val="solid" w:color="000000" w:fill="auto"/>
          </w:tcPr>
          <w:p w:rsidR="005310BA" w:rsidRPr="00681DA9" w:rsidRDefault="005310BA" w:rsidP="005310B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681DA9">
              <w:rPr>
                <w:rFonts w:eastAsiaTheme="minorEastAsia" w:cs="Calibri"/>
                <w:iCs/>
                <w:color w:val="FFFFFF"/>
                <w:szCs w:val="20"/>
                <w:lang w:eastAsia="en-AU"/>
              </w:rPr>
              <w:t>2018-19</w:t>
            </w:r>
            <w:r>
              <w:rPr>
                <w:rFonts w:eastAsiaTheme="minorEastAsia" w:cs="Calibri"/>
                <w:i w:val="0"/>
                <w:iCs/>
                <w:color w:val="FFFFFF"/>
                <w:szCs w:val="20"/>
                <w:lang w:eastAsia="en-AU"/>
              </w:rPr>
              <w:t xml:space="preserve"> </w:t>
            </w:r>
            <w:r w:rsidRPr="00681DA9">
              <w:rPr>
                <w:rFonts w:eastAsiaTheme="minorEastAsia" w:cs="Calibri"/>
                <w:iCs/>
                <w:color w:val="FFFFFF"/>
                <w:szCs w:val="20"/>
                <w:lang w:eastAsia="en-AU"/>
              </w:rPr>
              <w:t>revised</w:t>
            </w:r>
          </w:p>
        </w:tc>
        <w:tc>
          <w:tcPr>
            <w:tcW w:w="850" w:type="dxa"/>
            <w:tcBorders>
              <w:top w:val="nil"/>
              <w:left w:val="nil"/>
              <w:right w:val="nil"/>
            </w:tcBorders>
            <w:shd w:val="solid" w:color="000000" w:fill="auto"/>
          </w:tcPr>
          <w:p w:rsidR="005310BA" w:rsidRPr="00681DA9" w:rsidRDefault="005310BA" w:rsidP="005310B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681DA9">
              <w:rPr>
                <w:rFonts w:eastAsiaTheme="minorEastAsia" w:cs="Calibri"/>
                <w:iCs/>
                <w:color w:val="FFFFFF"/>
                <w:szCs w:val="20"/>
                <w:lang w:eastAsia="en-AU"/>
              </w:rPr>
              <w:t>2019-20</w:t>
            </w:r>
            <w:r>
              <w:rPr>
                <w:rFonts w:eastAsiaTheme="minorEastAsia" w:cs="Calibri"/>
                <w:i w:val="0"/>
                <w:iCs/>
                <w:color w:val="FFFFFF"/>
                <w:szCs w:val="20"/>
                <w:lang w:eastAsia="en-AU"/>
              </w:rPr>
              <w:t xml:space="preserve"> </w:t>
            </w:r>
            <w:r w:rsidRPr="00681DA9">
              <w:rPr>
                <w:rFonts w:eastAsiaTheme="minorEastAsia" w:cs="Calibri"/>
                <w:iCs/>
                <w:color w:val="FFFFFF"/>
                <w:szCs w:val="20"/>
                <w:lang w:eastAsia="en-AU"/>
              </w:rPr>
              <w:t>estimate</w:t>
            </w:r>
          </w:p>
        </w:tc>
        <w:tc>
          <w:tcPr>
            <w:tcW w:w="850" w:type="dxa"/>
            <w:tcBorders>
              <w:top w:val="nil"/>
              <w:left w:val="nil"/>
              <w:right w:val="nil"/>
            </w:tcBorders>
            <w:shd w:val="solid" w:color="000000" w:fill="auto"/>
          </w:tcPr>
          <w:p w:rsidR="005310BA" w:rsidRPr="00681DA9" w:rsidRDefault="005310BA" w:rsidP="005310B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681DA9">
              <w:rPr>
                <w:rFonts w:eastAsiaTheme="minorEastAsia" w:cs="Calibri"/>
                <w:iCs/>
                <w:color w:val="FFFFFF"/>
                <w:szCs w:val="20"/>
                <w:lang w:eastAsia="en-AU"/>
              </w:rPr>
              <w:t>2020-21</w:t>
            </w:r>
            <w:r>
              <w:rPr>
                <w:rFonts w:eastAsiaTheme="minorEastAsia" w:cs="Calibri"/>
                <w:i w:val="0"/>
                <w:iCs/>
                <w:color w:val="FFFFFF"/>
                <w:szCs w:val="20"/>
                <w:lang w:eastAsia="en-AU"/>
              </w:rPr>
              <w:t xml:space="preserve"> </w:t>
            </w:r>
            <w:r w:rsidRPr="00681DA9">
              <w:rPr>
                <w:rFonts w:eastAsiaTheme="minorEastAsia" w:cs="Calibri"/>
                <w:iCs/>
                <w:color w:val="FFFFFF"/>
                <w:szCs w:val="20"/>
                <w:lang w:eastAsia="en-AU"/>
              </w:rPr>
              <w:t>estimate</w:t>
            </w:r>
          </w:p>
        </w:tc>
        <w:tc>
          <w:tcPr>
            <w:tcW w:w="850" w:type="dxa"/>
            <w:tcBorders>
              <w:top w:val="nil"/>
              <w:left w:val="nil"/>
              <w:right w:val="nil"/>
            </w:tcBorders>
            <w:shd w:val="solid" w:color="000000" w:fill="auto"/>
          </w:tcPr>
          <w:p w:rsidR="005310BA" w:rsidRPr="00681DA9" w:rsidRDefault="005310BA" w:rsidP="005310B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0"/>
                <w:lang w:eastAsia="en-AU"/>
              </w:rPr>
            </w:pPr>
            <w:r w:rsidRPr="00681DA9">
              <w:rPr>
                <w:rFonts w:eastAsiaTheme="minorEastAsia" w:cs="Calibri"/>
                <w:iCs/>
                <w:color w:val="FFFFFF"/>
                <w:szCs w:val="20"/>
                <w:lang w:eastAsia="en-AU"/>
              </w:rPr>
              <w:t>2021-22</w:t>
            </w:r>
            <w:r>
              <w:rPr>
                <w:rFonts w:eastAsiaTheme="minorEastAsia" w:cs="Calibri"/>
                <w:i w:val="0"/>
                <w:iCs/>
                <w:color w:val="FFFFFF"/>
                <w:szCs w:val="20"/>
                <w:lang w:eastAsia="en-AU"/>
              </w:rPr>
              <w:t xml:space="preserve"> </w:t>
            </w:r>
            <w:r w:rsidRPr="00681DA9">
              <w:rPr>
                <w:rFonts w:eastAsiaTheme="minorEastAsia" w:cs="Calibri"/>
                <w:iCs/>
                <w:color w:val="FFFFFF"/>
                <w:szCs w:val="20"/>
                <w:lang w:eastAsia="en-AU"/>
              </w:rPr>
              <w:t>estimate</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 xml:space="preserve">Net result from transactions – </w:t>
            </w:r>
            <w:r w:rsidR="005310BA">
              <w:rPr>
                <w:rFonts w:eastAsiaTheme="minorEastAsia" w:cs="Calibri"/>
                <w:b/>
                <w:bCs/>
                <w:color w:val="000000"/>
                <w:lang w:eastAsia="en-AU"/>
              </w:rPr>
              <w:br/>
            </w:r>
            <w:r w:rsidRPr="00681DA9">
              <w:rPr>
                <w:rFonts w:eastAsiaTheme="minorEastAsia" w:cs="Calibri"/>
                <w:b/>
                <w:bCs/>
                <w:color w:val="000000"/>
                <w:lang w:eastAsia="en-AU"/>
              </w:rPr>
              <w:t>net operating balance</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1 380</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2 277</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1 708</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2 656</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2 990</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i/>
                <w:iCs/>
                <w:color w:val="000000"/>
                <w:lang w:eastAsia="en-AU"/>
              </w:rPr>
            </w:pPr>
            <w:r w:rsidRPr="00681DA9">
              <w:rPr>
                <w:rFonts w:eastAsiaTheme="minorEastAsia" w:cs="Calibri"/>
                <w:i/>
                <w:iCs/>
                <w:color w:val="000000"/>
                <w:lang w:eastAsia="en-AU"/>
              </w:rPr>
              <w:t>Convergence differences:</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Licence fees </w:t>
            </w:r>
            <w:r w:rsidRPr="00681DA9">
              <w:rPr>
                <w:rFonts w:eastAsiaTheme="minorEastAsia" w:cs="Calibri"/>
                <w:color w:val="000000"/>
                <w:vertAlign w:val="superscript"/>
                <w:lang w:eastAsia="en-AU"/>
              </w:rPr>
              <w:t>(c)</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B32D50" w:rsidRPr="00681DA9" w:rsidRDefault="00B32D50" w:rsidP="00F17BCD">
            <w:pPr>
              <w:keepLines w:val="0"/>
              <w:autoSpaceDE w:val="0"/>
              <w:autoSpaceDN w:val="0"/>
              <w:adjustRightInd w:val="0"/>
              <w:rPr>
                <w:rFonts w:eastAsiaTheme="minorEastAsia" w:cs="Calibri"/>
                <w:i/>
                <w:iCs/>
                <w:color w:val="000000"/>
                <w:lang w:eastAsia="en-AU"/>
              </w:rPr>
            </w:pPr>
            <w:r w:rsidRPr="00681DA9">
              <w:rPr>
                <w:rFonts w:eastAsiaTheme="minorEastAsia" w:cs="Calibri"/>
                <w:i/>
                <w:iCs/>
                <w:color w:val="000000"/>
                <w:lang w:eastAsia="en-AU"/>
              </w:rPr>
              <w:t>plus total convergence difference:</w:t>
            </w:r>
          </w:p>
        </w:tc>
        <w:tc>
          <w:tcPr>
            <w:tcW w:w="850" w:type="dxa"/>
            <w:gridSpan w:val="2"/>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 xml:space="preserve">GFS net operating balance </w:t>
            </w:r>
          </w:p>
        </w:tc>
        <w:tc>
          <w:tcPr>
            <w:tcW w:w="850" w:type="dxa"/>
            <w:gridSpan w:val="2"/>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1 432</w:t>
            </w:r>
          </w:p>
        </w:tc>
        <w:tc>
          <w:tcPr>
            <w:tcW w:w="850"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2 330</w:t>
            </w:r>
          </w:p>
        </w:tc>
        <w:tc>
          <w:tcPr>
            <w:tcW w:w="850"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1 760</w:t>
            </w:r>
          </w:p>
        </w:tc>
        <w:tc>
          <w:tcPr>
            <w:tcW w:w="850"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2 709</w:t>
            </w:r>
          </w:p>
        </w:tc>
        <w:tc>
          <w:tcPr>
            <w:tcW w:w="850"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3 042</w:t>
            </w:r>
          </w:p>
        </w:tc>
      </w:tr>
      <w:tr w:rsidR="00B32D50" w:rsidRPr="00681DA9" w:rsidTr="00F17BCD">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Net lending/(borrowing)</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(541)</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214</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(1 355)</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332</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1 070</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i/>
                <w:iCs/>
                <w:color w:val="000000"/>
                <w:lang w:eastAsia="en-AU"/>
              </w:rPr>
            </w:pPr>
            <w:r w:rsidRPr="00681DA9">
              <w:rPr>
                <w:rFonts w:eastAsiaTheme="minorEastAsia" w:cs="Calibri"/>
                <w:i/>
                <w:iCs/>
                <w:color w:val="000000"/>
                <w:lang w:eastAsia="en-AU"/>
              </w:rPr>
              <w:t>Convergence differences:</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Licence fees </w:t>
            </w:r>
            <w:r w:rsidRPr="00681DA9">
              <w:rPr>
                <w:rFonts w:eastAsiaTheme="minorEastAsia" w:cs="Calibri"/>
                <w:color w:val="000000"/>
                <w:vertAlign w:val="superscript"/>
                <w:lang w:eastAsia="en-AU"/>
              </w:rPr>
              <w:t>(c)</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B32D50" w:rsidRPr="00681DA9" w:rsidRDefault="00B32D50" w:rsidP="00F17BCD">
            <w:pPr>
              <w:keepLines w:val="0"/>
              <w:autoSpaceDE w:val="0"/>
              <w:autoSpaceDN w:val="0"/>
              <w:adjustRightInd w:val="0"/>
              <w:rPr>
                <w:rFonts w:eastAsiaTheme="minorEastAsia" w:cs="Calibri"/>
                <w:i/>
                <w:iCs/>
                <w:color w:val="000000"/>
                <w:lang w:eastAsia="en-AU"/>
              </w:rPr>
            </w:pPr>
            <w:r w:rsidRPr="00681DA9">
              <w:rPr>
                <w:rFonts w:eastAsiaTheme="minorEastAsia" w:cs="Calibri"/>
                <w:i/>
                <w:iCs/>
                <w:color w:val="000000"/>
                <w:lang w:eastAsia="en-AU"/>
              </w:rPr>
              <w:t>plus total convergence difference:</w:t>
            </w:r>
          </w:p>
        </w:tc>
        <w:tc>
          <w:tcPr>
            <w:tcW w:w="850" w:type="dxa"/>
            <w:gridSpan w:val="2"/>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 xml:space="preserve">GFS net lending/(borrowing) </w:t>
            </w:r>
          </w:p>
        </w:tc>
        <w:tc>
          <w:tcPr>
            <w:tcW w:w="850" w:type="dxa"/>
            <w:gridSpan w:val="2"/>
            <w:tcBorders>
              <w:top w:val="single" w:sz="6" w:space="0" w:color="auto"/>
              <w:left w:val="nil"/>
              <w:bottom w:val="single" w:sz="12"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(489)</w:t>
            </w:r>
          </w:p>
        </w:tc>
        <w:tc>
          <w:tcPr>
            <w:tcW w:w="850" w:type="dxa"/>
            <w:tcBorders>
              <w:top w:val="single" w:sz="6" w:space="0" w:color="auto"/>
              <w:left w:val="nil"/>
              <w:bottom w:val="single" w:sz="12"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266</w:t>
            </w:r>
          </w:p>
        </w:tc>
        <w:tc>
          <w:tcPr>
            <w:tcW w:w="850" w:type="dxa"/>
            <w:tcBorders>
              <w:top w:val="single" w:sz="6" w:space="0" w:color="auto"/>
              <w:left w:val="nil"/>
              <w:bottom w:val="single" w:sz="12"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(1 302)</w:t>
            </w:r>
          </w:p>
        </w:tc>
        <w:tc>
          <w:tcPr>
            <w:tcW w:w="850" w:type="dxa"/>
            <w:tcBorders>
              <w:top w:val="single" w:sz="6" w:space="0" w:color="auto"/>
              <w:left w:val="nil"/>
              <w:bottom w:val="single" w:sz="12"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Pr>
                <w:rFonts w:eastAsiaTheme="minorEastAsia" w:cs="Calibri"/>
                <w:b/>
                <w:bCs/>
                <w:color w:val="000000"/>
                <w:lang w:eastAsia="en-AU"/>
              </w:rPr>
              <w:t>384</w:t>
            </w:r>
          </w:p>
        </w:tc>
        <w:tc>
          <w:tcPr>
            <w:tcW w:w="850" w:type="dxa"/>
            <w:tcBorders>
              <w:top w:val="single" w:sz="6" w:space="0" w:color="auto"/>
              <w:left w:val="nil"/>
              <w:bottom w:val="single" w:sz="12"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1 122</w:t>
            </w:r>
          </w:p>
        </w:tc>
      </w:tr>
      <w:tr w:rsidR="00B32D50" w:rsidRPr="00681DA9" w:rsidTr="00F17BCD">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r>
      <w:tr w:rsidR="00B32D50" w:rsidRPr="00681DA9" w:rsidTr="005310BA">
        <w:tc>
          <w:tcPr>
            <w:cnfStyle w:val="001000000000" w:firstRow="0" w:lastRow="0" w:firstColumn="1" w:lastColumn="0" w:oddVBand="0" w:evenVBand="0" w:oddHBand="0" w:evenHBand="0" w:firstRowFirstColumn="0" w:firstRowLastColumn="0" w:lastRowFirstColumn="0" w:lastRowLastColumn="0"/>
            <w:tcW w:w="3686" w:type="dxa"/>
            <w:gridSpan w:val="2"/>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Comprehensive result – total change in net worth</w:t>
            </w:r>
          </w:p>
        </w:tc>
        <w:tc>
          <w:tcPr>
            <w:tcW w:w="679"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2 878</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4 763</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10 292</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5 199</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7 177</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i/>
                <w:iCs/>
                <w:color w:val="000000"/>
                <w:lang w:eastAsia="en-AU"/>
              </w:rPr>
            </w:pPr>
            <w:r w:rsidRPr="00681DA9">
              <w:rPr>
                <w:rFonts w:eastAsiaTheme="minorEastAsia" w:cs="Calibri"/>
                <w:i/>
                <w:iCs/>
                <w:color w:val="000000"/>
                <w:lang w:eastAsia="en-AU"/>
              </w:rPr>
              <w:t xml:space="preserve">Convergence differences: </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Doubtful receivables of the general government sector </w:t>
            </w:r>
            <w:r w:rsidRPr="00681DA9">
              <w:rPr>
                <w:rFonts w:eastAsiaTheme="minorEastAsia" w:cs="Calibri"/>
                <w:color w:val="000000"/>
                <w:vertAlign w:val="superscript"/>
                <w:lang w:eastAsia="en-AU"/>
              </w:rPr>
              <w:t>(d)</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41</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41</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39</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41</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46</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Net gain on equity investments in other sector entities measured at proportional share of the carrying amount of net assets/(liabilities) </w:t>
            </w:r>
            <w:r w:rsidRPr="00681DA9">
              <w:rPr>
                <w:rFonts w:eastAsiaTheme="minorEastAsia" w:cs="Calibri"/>
                <w:color w:val="000000"/>
                <w:vertAlign w:val="superscript"/>
                <w:lang w:eastAsia="en-AU"/>
              </w:rPr>
              <w:t>(e)</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(382)</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(382)</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98</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82</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(303)</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Unearned income relating to licence fees </w:t>
            </w:r>
            <w:r w:rsidRPr="00681DA9">
              <w:rPr>
                <w:rFonts w:eastAsiaTheme="minorEastAsia" w:cs="Calibri"/>
                <w:color w:val="000000"/>
                <w:vertAlign w:val="superscript"/>
                <w:lang w:eastAsia="en-AU"/>
              </w:rPr>
              <w:t>(c)</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Port of Melbourne lease transaction </w:t>
            </w:r>
            <w:r w:rsidRPr="00681DA9">
              <w:rPr>
                <w:rFonts w:eastAsiaTheme="minorEastAsia" w:cs="Calibri"/>
                <w:color w:val="000000"/>
                <w:vertAlign w:val="superscript"/>
                <w:lang w:eastAsia="en-AU"/>
              </w:rPr>
              <w:t>(f)</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(144)</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(153)</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B32D50" w:rsidRPr="00681DA9" w:rsidRDefault="00B32D50" w:rsidP="00F17BCD">
            <w:pPr>
              <w:keepLines w:val="0"/>
              <w:autoSpaceDE w:val="0"/>
              <w:autoSpaceDN w:val="0"/>
              <w:adjustRightInd w:val="0"/>
              <w:rPr>
                <w:rFonts w:eastAsiaTheme="minorEastAsia" w:cs="Calibri"/>
                <w:i/>
                <w:iCs/>
                <w:color w:val="000000"/>
                <w:lang w:eastAsia="en-AU"/>
              </w:rPr>
            </w:pPr>
            <w:r w:rsidRPr="00681DA9">
              <w:rPr>
                <w:rFonts w:eastAsiaTheme="minorEastAsia" w:cs="Calibri"/>
                <w:i/>
                <w:iCs/>
                <w:color w:val="000000"/>
                <w:lang w:eastAsia="en-AU"/>
              </w:rPr>
              <w:t>plus total convergence difference:</w:t>
            </w:r>
          </w:p>
        </w:tc>
        <w:tc>
          <w:tcPr>
            <w:tcW w:w="850" w:type="dxa"/>
            <w:gridSpan w:val="2"/>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(434)</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(434)</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44</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30</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(358)</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 xml:space="preserve">GFS total change in net worth </w:t>
            </w:r>
          </w:p>
        </w:tc>
        <w:tc>
          <w:tcPr>
            <w:tcW w:w="850" w:type="dxa"/>
            <w:gridSpan w:val="2"/>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2 445</w:t>
            </w:r>
          </w:p>
        </w:tc>
        <w:tc>
          <w:tcPr>
            <w:tcW w:w="850"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4 329</w:t>
            </w:r>
          </w:p>
        </w:tc>
        <w:tc>
          <w:tcPr>
            <w:tcW w:w="850"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10 337</w:t>
            </w:r>
          </w:p>
        </w:tc>
        <w:tc>
          <w:tcPr>
            <w:tcW w:w="850"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5 229</w:t>
            </w:r>
          </w:p>
        </w:tc>
        <w:tc>
          <w:tcPr>
            <w:tcW w:w="850" w:type="dxa"/>
            <w:tcBorders>
              <w:top w:val="single" w:sz="6" w:space="0" w:color="auto"/>
              <w:left w:val="nil"/>
              <w:bottom w:val="single" w:sz="12" w:space="0" w:color="auto"/>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6 819</w:t>
            </w:r>
          </w:p>
        </w:tc>
      </w:tr>
      <w:tr w:rsidR="00B32D50" w:rsidRPr="00681DA9" w:rsidTr="00F17BCD">
        <w:trPr>
          <w:trHeight w:hRule="exact" w:val="120"/>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 xml:space="preserve"> </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b/>
                <w:bCs/>
                <w:color w:val="000000"/>
                <w:lang w:eastAsia="en-AU"/>
              </w:rPr>
            </w:pPr>
            <w:r w:rsidRPr="00681DA9">
              <w:rPr>
                <w:rFonts w:eastAsiaTheme="minorEastAsia" w:cs="Calibri"/>
                <w:b/>
                <w:bCs/>
                <w:color w:val="000000"/>
                <w:lang w:eastAsia="en-AU"/>
              </w:rPr>
              <w:t>Net worth</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186 995</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188 879</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199 171</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204 370</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lang w:eastAsia="en-AU"/>
              </w:rPr>
            </w:pPr>
            <w:r w:rsidRPr="00681DA9">
              <w:rPr>
                <w:rFonts w:eastAsiaTheme="minorEastAsia" w:cs="Calibri"/>
                <w:b/>
                <w:bCs/>
                <w:color w:val="000000"/>
                <w:lang w:eastAsia="en-AU"/>
              </w:rPr>
              <w:t>211 546</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i/>
                <w:iCs/>
                <w:color w:val="000000"/>
                <w:lang w:eastAsia="en-AU"/>
              </w:rPr>
            </w:pPr>
            <w:r w:rsidRPr="00681DA9">
              <w:rPr>
                <w:rFonts w:eastAsiaTheme="minorEastAsia" w:cs="Calibri"/>
                <w:i/>
                <w:iCs/>
                <w:color w:val="000000"/>
                <w:lang w:eastAsia="en-AU"/>
              </w:rPr>
              <w:t>Convergence differences:</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 xml:space="preserve"> </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 xml:space="preserve"> </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Doubtful receivables of the general government sector </w:t>
            </w:r>
            <w:r w:rsidRPr="00681DA9">
              <w:rPr>
                <w:rFonts w:eastAsiaTheme="minorEastAsia" w:cs="Calibri"/>
                <w:color w:val="000000"/>
                <w:vertAlign w:val="superscript"/>
                <w:lang w:eastAsia="en-AU"/>
              </w:rPr>
              <w:t>(d)</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1 318</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1 318</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1 357</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1 398</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1 444</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Investments in other sector entities </w:t>
            </w:r>
            <w:r w:rsidRPr="00681DA9">
              <w:rPr>
                <w:rFonts w:eastAsiaTheme="minorEastAsia" w:cs="Calibri"/>
                <w:color w:val="000000"/>
                <w:vertAlign w:val="superscript"/>
                <w:lang w:eastAsia="en-AU"/>
              </w:rPr>
              <w:t>(g)</w:t>
            </w:r>
          </w:p>
        </w:tc>
        <w:tc>
          <w:tcPr>
            <w:tcW w:w="850" w:type="dxa"/>
            <w:gridSpan w:val="2"/>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6 787</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6 787</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6 885</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6 967</w:t>
            </w:r>
          </w:p>
        </w:tc>
        <w:tc>
          <w:tcPr>
            <w:tcW w:w="850" w:type="dxa"/>
            <w:tcBorders>
              <w:top w:val="nil"/>
              <w:left w:val="nil"/>
              <w:bottom w:val="nil"/>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6 663</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Unearned income relating to licence fees </w:t>
            </w:r>
            <w:r w:rsidRPr="00681DA9">
              <w:rPr>
                <w:rFonts w:eastAsiaTheme="minorEastAsia" w:cs="Calibri"/>
                <w:color w:val="000000"/>
                <w:vertAlign w:val="superscript"/>
                <w:lang w:eastAsia="en-AU"/>
              </w:rPr>
              <w:t>(c)</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(679)</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(679)</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(626)</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(574)</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Pr>
                <w:rFonts w:eastAsiaTheme="minorEastAsia" w:cs="Calibri"/>
                <w:color w:val="000000"/>
                <w:lang w:eastAsia="en-AU"/>
              </w:rPr>
              <w:t>(522)</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tcPr>
          <w:p w:rsidR="00B32D50" w:rsidRPr="00681DA9" w:rsidRDefault="00B32D50" w:rsidP="00F17BCD">
            <w:pPr>
              <w:keepLines w:val="0"/>
              <w:autoSpaceDE w:val="0"/>
              <w:autoSpaceDN w:val="0"/>
              <w:adjustRightInd w:val="0"/>
              <w:rPr>
                <w:rFonts w:eastAsiaTheme="minorEastAsia" w:cs="Calibri"/>
                <w:color w:val="000000"/>
                <w:lang w:eastAsia="en-AU"/>
              </w:rPr>
            </w:pPr>
            <w:r w:rsidRPr="00681DA9">
              <w:rPr>
                <w:rFonts w:eastAsiaTheme="minorEastAsia" w:cs="Calibri"/>
                <w:color w:val="000000"/>
                <w:lang w:eastAsia="en-AU"/>
              </w:rPr>
              <w:t xml:space="preserve">Port of Melbourne lease transaction </w:t>
            </w:r>
            <w:r w:rsidRPr="00681DA9">
              <w:rPr>
                <w:rFonts w:eastAsiaTheme="minorEastAsia" w:cs="Calibri"/>
                <w:color w:val="000000"/>
                <w:vertAlign w:val="superscript"/>
                <w:lang w:eastAsia="en-AU"/>
              </w:rPr>
              <w:t>(f)</w:t>
            </w:r>
          </w:p>
        </w:tc>
        <w:tc>
          <w:tcPr>
            <w:tcW w:w="850" w:type="dxa"/>
            <w:gridSpan w:val="2"/>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(1 211)</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(1 211)</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(1 355)</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(1 500)</w:t>
            </w:r>
          </w:p>
        </w:tc>
        <w:tc>
          <w:tcPr>
            <w:tcW w:w="850" w:type="dxa"/>
            <w:tcBorders>
              <w:top w:val="nil"/>
              <w:left w:val="nil"/>
              <w:bottom w:val="nil"/>
              <w:right w:val="nil"/>
            </w:tcBorders>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(1 653)</w:t>
            </w:r>
          </w:p>
        </w:tc>
      </w:tr>
      <w:tr w:rsidR="00B32D50" w:rsidRPr="00681DA9" w:rsidTr="00F17BCD">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left w:val="nil"/>
              <w:bottom w:val="single" w:sz="6" w:space="0" w:color="auto"/>
              <w:right w:val="nil"/>
            </w:tcBorders>
          </w:tcPr>
          <w:p w:rsidR="00B32D50" w:rsidRPr="00681DA9" w:rsidRDefault="00B32D50" w:rsidP="00F17BCD">
            <w:pPr>
              <w:keepLines w:val="0"/>
              <w:autoSpaceDE w:val="0"/>
              <w:autoSpaceDN w:val="0"/>
              <w:adjustRightInd w:val="0"/>
              <w:rPr>
                <w:rFonts w:eastAsiaTheme="minorEastAsia" w:cs="Calibri"/>
                <w:i/>
                <w:iCs/>
                <w:color w:val="000000"/>
                <w:lang w:eastAsia="en-AU"/>
              </w:rPr>
            </w:pPr>
            <w:r w:rsidRPr="00681DA9">
              <w:rPr>
                <w:rFonts w:eastAsiaTheme="minorEastAsia" w:cs="Calibri"/>
                <w:i/>
                <w:iCs/>
                <w:color w:val="000000"/>
                <w:lang w:eastAsia="en-AU"/>
              </w:rPr>
              <w:t>plus total convergence difference:</w:t>
            </w:r>
          </w:p>
        </w:tc>
        <w:tc>
          <w:tcPr>
            <w:tcW w:w="850" w:type="dxa"/>
            <w:gridSpan w:val="2"/>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6 216</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6 216</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6 260</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6 290</w:t>
            </w:r>
          </w:p>
        </w:tc>
        <w:tc>
          <w:tcPr>
            <w:tcW w:w="850" w:type="dxa"/>
            <w:tcBorders>
              <w:top w:val="single" w:sz="6" w:space="0" w:color="auto"/>
              <w:left w:val="nil"/>
              <w:bottom w:val="single" w:sz="6" w:space="0" w:color="auto"/>
              <w:right w:val="nil"/>
            </w:tcBorders>
            <w:shd w:val="solid" w:color="FFFFFF" w:fill="auto"/>
          </w:tcPr>
          <w:p w:rsidR="00B32D50" w:rsidRPr="00681DA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681DA9">
              <w:rPr>
                <w:rFonts w:eastAsiaTheme="minorEastAsia" w:cs="Calibri"/>
                <w:color w:val="000000"/>
                <w:lang w:eastAsia="en-AU"/>
              </w:rPr>
              <w:t>5 932</w:t>
            </w:r>
          </w:p>
        </w:tc>
      </w:tr>
      <w:tr w:rsidR="00B32D50" w:rsidRPr="00681DA9"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B32D50" w:rsidRPr="00681DA9" w:rsidRDefault="00B32D50" w:rsidP="00F17BCD">
            <w:pPr>
              <w:keepLines w:val="0"/>
              <w:autoSpaceDE w:val="0"/>
              <w:autoSpaceDN w:val="0"/>
              <w:adjustRightInd w:val="0"/>
              <w:rPr>
                <w:rFonts w:eastAsiaTheme="minorEastAsia" w:cs="Calibri"/>
                <w:bCs/>
                <w:color w:val="000000"/>
                <w:lang w:eastAsia="en-AU"/>
              </w:rPr>
            </w:pPr>
            <w:r w:rsidRPr="00681DA9">
              <w:rPr>
                <w:rFonts w:eastAsiaTheme="minorEastAsia" w:cs="Calibri"/>
                <w:bCs/>
                <w:color w:val="000000"/>
                <w:lang w:eastAsia="en-AU"/>
              </w:rPr>
              <w:t xml:space="preserve">GFS net worth </w:t>
            </w:r>
          </w:p>
        </w:tc>
        <w:tc>
          <w:tcPr>
            <w:tcW w:w="850" w:type="dxa"/>
            <w:gridSpan w:val="2"/>
            <w:tcBorders>
              <w:top w:val="single" w:sz="6" w:space="0" w:color="auto"/>
              <w:bottom w:val="single" w:sz="12" w:space="0" w:color="auto"/>
            </w:tcBorders>
          </w:tcPr>
          <w:p w:rsidR="00B32D50" w:rsidRPr="00681DA9"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681DA9">
              <w:rPr>
                <w:rFonts w:eastAsiaTheme="minorEastAsia" w:cs="Calibri"/>
                <w:bCs/>
                <w:color w:val="000000"/>
                <w:lang w:eastAsia="en-AU"/>
              </w:rPr>
              <w:t>193 210</w:t>
            </w:r>
          </w:p>
        </w:tc>
        <w:tc>
          <w:tcPr>
            <w:tcW w:w="850" w:type="dxa"/>
            <w:tcBorders>
              <w:top w:val="single" w:sz="6" w:space="0" w:color="auto"/>
              <w:bottom w:val="single" w:sz="12" w:space="0" w:color="auto"/>
            </w:tcBorders>
          </w:tcPr>
          <w:p w:rsidR="00B32D50" w:rsidRPr="00681DA9"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681DA9">
              <w:rPr>
                <w:rFonts w:eastAsiaTheme="minorEastAsia" w:cs="Calibri"/>
                <w:bCs/>
                <w:color w:val="000000"/>
                <w:lang w:eastAsia="en-AU"/>
              </w:rPr>
              <w:t>195 095</w:t>
            </w:r>
          </w:p>
        </w:tc>
        <w:tc>
          <w:tcPr>
            <w:tcW w:w="850" w:type="dxa"/>
            <w:tcBorders>
              <w:top w:val="single" w:sz="6" w:space="0" w:color="auto"/>
              <w:bottom w:val="single" w:sz="12" w:space="0" w:color="auto"/>
            </w:tcBorders>
          </w:tcPr>
          <w:p w:rsidR="00B32D50" w:rsidRPr="00681DA9"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681DA9">
              <w:rPr>
                <w:rFonts w:eastAsiaTheme="minorEastAsia" w:cs="Calibri"/>
                <w:bCs/>
                <w:color w:val="000000"/>
                <w:lang w:eastAsia="en-AU"/>
              </w:rPr>
              <w:t>205 431</w:t>
            </w:r>
          </w:p>
        </w:tc>
        <w:tc>
          <w:tcPr>
            <w:tcW w:w="850" w:type="dxa"/>
            <w:tcBorders>
              <w:top w:val="single" w:sz="6" w:space="0" w:color="auto"/>
              <w:bottom w:val="single" w:sz="12" w:space="0" w:color="auto"/>
            </w:tcBorders>
          </w:tcPr>
          <w:p w:rsidR="00B32D50" w:rsidRPr="00681DA9"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681DA9">
              <w:rPr>
                <w:rFonts w:eastAsiaTheme="minorEastAsia" w:cs="Calibri"/>
                <w:bCs/>
                <w:color w:val="000000"/>
                <w:lang w:eastAsia="en-AU"/>
              </w:rPr>
              <w:t>210 660</w:t>
            </w:r>
          </w:p>
        </w:tc>
        <w:tc>
          <w:tcPr>
            <w:tcW w:w="850" w:type="dxa"/>
            <w:tcBorders>
              <w:top w:val="single" w:sz="6" w:space="0" w:color="auto"/>
              <w:bottom w:val="single" w:sz="12" w:space="0" w:color="auto"/>
            </w:tcBorders>
          </w:tcPr>
          <w:p w:rsidR="00B32D50" w:rsidRPr="00681DA9" w:rsidRDefault="00B32D50" w:rsidP="00F17BCD">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lang w:eastAsia="en-AU"/>
              </w:rPr>
            </w:pPr>
            <w:r w:rsidRPr="00681DA9">
              <w:rPr>
                <w:rFonts w:eastAsiaTheme="minorEastAsia" w:cs="Calibri"/>
                <w:bCs/>
                <w:color w:val="000000"/>
                <w:lang w:eastAsia="en-AU"/>
              </w:rPr>
              <w:t>217 478</w:t>
            </w:r>
          </w:p>
        </w:tc>
      </w:tr>
    </w:tbl>
    <w:p w:rsidR="00B32D50" w:rsidRPr="00434F7A" w:rsidRDefault="00B32D50" w:rsidP="00F17BCD">
      <w:pPr>
        <w:pStyle w:val="Source"/>
      </w:pPr>
      <w:r w:rsidRPr="00434F7A">
        <w:t>Source: Department of Treasury and Finance</w:t>
      </w:r>
    </w:p>
    <w:p w:rsidR="00B32D50" w:rsidRPr="00434F7A" w:rsidRDefault="00B32D50" w:rsidP="00F17BCD">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Notes:</w:t>
      </w:r>
    </w:p>
    <w:p w:rsidR="00B32D50" w:rsidRPr="00434F7A" w:rsidRDefault="00B32D50" w:rsidP="00F17BCD">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(a)</w:t>
      </w:r>
      <w:r w:rsidRPr="00434F7A">
        <w:rPr>
          <w:rFonts w:asciiTheme="majorHAnsi" w:hAnsiTheme="majorHAnsi"/>
          <w:i/>
          <w:spacing w:val="-2"/>
          <w:sz w:val="14"/>
          <w:lang w:val="en-US"/>
        </w:rPr>
        <w:tab/>
        <w:t>Determined in accordance with the ABS GFS manual.</w:t>
      </w:r>
    </w:p>
    <w:p w:rsidR="00B32D50" w:rsidRDefault="00B32D50" w:rsidP="00F17BCD">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(b)</w:t>
      </w:r>
      <w:r w:rsidRPr="00434F7A">
        <w:rPr>
          <w:rFonts w:asciiTheme="majorHAnsi" w:hAnsiTheme="majorHAnsi"/>
          <w:i/>
          <w:spacing w:val="-2"/>
          <w:sz w:val="14"/>
          <w:lang w:val="en-US"/>
        </w:rPr>
        <w:tab/>
      </w:r>
      <w:r>
        <w:rPr>
          <w:rFonts w:asciiTheme="majorHAnsi" w:hAnsiTheme="majorHAnsi"/>
          <w:i/>
          <w:spacing w:val="-2"/>
          <w:sz w:val="14"/>
          <w:lang w:val="en-US"/>
        </w:rPr>
        <w:t>U</w:t>
      </w:r>
      <w:r w:rsidRPr="0019440D">
        <w:rPr>
          <w:rFonts w:asciiTheme="majorHAnsi" w:hAnsiTheme="majorHAnsi"/>
          <w:i/>
          <w:spacing w:val="-2"/>
          <w:sz w:val="14"/>
          <w:lang w:val="en-US"/>
        </w:rPr>
        <w:t>nder the new ABS GFS manual the converge</w:t>
      </w:r>
      <w:r>
        <w:rPr>
          <w:rFonts w:asciiTheme="majorHAnsi" w:hAnsiTheme="majorHAnsi"/>
          <w:i/>
          <w:spacing w:val="-2"/>
          <w:sz w:val="14"/>
          <w:lang w:val="en-US"/>
        </w:rPr>
        <w:t>nce difference for cash surplus/</w:t>
      </w:r>
      <w:r w:rsidRPr="0019440D">
        <w:rPr>
          <w:rFonts w:asciiTheme="majorHAnsi" w:hAnsiTheme="majorHAnsi"/>
          <w:i/>
          <w:spacing w:val="-2"/>
          <w:sz w:val="14"/>
          <w:lang w:val="en-US"/>
        </w:rPr>
        <w:t>deficit relating to acquisitions under finance lease arrangements</w:t>
      </w:r>
      <w:r>
        <w:rPr>
          <w:rFonts w:asciiTheme="majorHAnsi" w:hAnsiTheme="majorHAnsi"/>
          <w:i/>
          <w:spacing w:val="-2"/>
          <w:sz w:val="14"/>
          <w:lang w:val="en-US"/>
        </w:rPr>
        <w:t xml:space="preserve"> has been removed.</w:t>
      </w:r>
      <w:r w:rsidRPr="00434F7A">
        <w:rPr>
          <w:rFonts w:asciiTheme="majorHAnsi" w:hAnsiTheme="majorHAnsi"/>
          <w:i/>
          <w:spacing w:val="-2"/>
          <w:sz w:val="14"/>
          <w:lang w:val="en-US"/>
        </w:rPr>
        <w:t xml:space="preserve"> </w:t>
      </w:r>
    </w:p>
    <w:p w:rsidR="00B32D50" w:rsidRPr="00434F7A" w:rsidRDefault="00B32D50" w:rsidP="00F17BCD">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(c)</w:t>
      </w:r>
      <w:r w:rsidRPr="00434F7A">
        <w:rPr>
          <w:rFonts w:asciiTheme="majorHAnsi" w:hAnsiTheme="majorHAnsi"/>
          <w:i/>
          <w:spacing w:val="-2"/>
          <w:sz w:val="14"/>
          <w:lang w:val="en-US"/>
        </w:rPr>
        <w:tab/>
      </w:r>
      <w:r>
        <w:rPr>
          <w:rFonts w:asciiTheme="majorHAnsi" w:hAnsiTheme="majorHAnsi"/>
          <w:i/>
          <w:spacing w:val="-2"/>
          <w:sz w:val="14"/>
          <w:lang w:val="en-US"/>
        </w:rPr>
        <w:t xml:space="preserve">The convergence difference arises because the GFS </w:t>
      </w:r>
      <w:r w:rsidRPr="00A73F91">
        <w:rPr>
          <w:rFonts w:asciiTheme="majorHAnsi" w:hAnsiTheme="majorHAnsi"/>
          <w:i/>
          <w:spacing w:val="-2"/>
          <w:sz w:val="14"/>
        </w:rPr>
        <w:t>recognises</w:t>
      </w:r>
      <w:r>
        <w:rPr>
          <w:rFonts w:asciiTheme="majorHAnsi" w:hAnsiTheme="majorHAnsi"/>
          <w:i/>
          <w:spacing w:val="-2"/>
          <w:sz w:val="14"/>
          <w:lang w:val="en-US"/>
        </w:rPr>
        <w:t xml:space="preserve"> the 15-year prepaid Port Licence Fee from the medium-term lease of the Port of Melbourne as revenue over the 15-year period.</w:t>
      </w:r>
    </w:p>
    <w:p w:rsidR="00B32D50" w:rsidRPr="00434F7A" w:rsidRDefault="00B32D50" w:rsidP="00F17BCD">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(d)</w:t>
      </w:r>
      <w:r w:rsidRPr="00434F7A">
        <w:rPr>
          <w:rFonts w:asciiTheme="majorHAnsi" w:hAnsiTheme="majorHAnsi"/>
          <w:i/>
          <w:spacing w:val="-2"/>
          <w:sz w:val="14"/>
          <w:lang w:val="en-US"/>
        </w:rPr>
        <w:tab/>
      </w:r>
      <w:r>
        <w:rPr>
          <w:rFonts w:asciiTheme="majorHAnsi" w:hAnsiTheme="majorHAnsi"/>
          <w:i/>
          <w:spacing w:val="-2"/>
          <w:sz w:val="14"/>
          <w:lang w:val="en-US"/>
        </w:rPr>
        <w:t>The convergence difference in accounts receivable arises because GFS does not recognise doubtful receivables, whereas a provision for doubtful receivables is recognised in the balance sheet.</w:t>
      </w:r>
    </w:p>
    <w:p w:rsidR="00B32D50" w:rsidRPr="00434F7A" w:rsidRDefault="00B32D50" w:rsidP="00F17BCD">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(e)</w:t>
      </w:r>
      <w:r w:rsidRPr="00434F7A">
        <w:rPr>
          <w:rFonts w:asciiTheme="majorHAnsi" w:hAnsiTheme="majorHAnsi"/>
          <w:i/>
          <w:spacing w:val="-2"/>
          <w:sz w:val="14"/>
          <w:lang w:val="en-US"/>
        </w:rPr>
        <w:tab/>
      </w:r>
      <w:r>
        <w:rPr>
          <w:rFonts w:asciiTheme="majorHAnsi" w:hAnsiTheme="majorHAnsi"/>
          <w:i/>
          <w:spacing w:val="-2"/>
          <w:sz w:val="14"/>
          <w:lang w:val="en-US"/>
        </w:rPr>
        <w:t>Net gain on equity investments in other sector entities includes doubtful receivables, future tax benefits and deferred tax liability of the PNFC and PFC sectors.</w:t>
      </w:r>
    </w:p>
    <w:p w:rsidR="00B32D50" w:rsidRPr="00434F7A" w:rsidRDefault="00B32D50" w:rsidP="00F17BCD">
      <w:pPr>
        <w:spacing w:before="20"/>
        <w:ind w:left="284" w:hanging="284"/>
        <w:contextualSpacing/>
        <w:rPr>
          <w:rFonts w:asciiTheme="majorHAnsi" w:hAnsiTheme="majorHAnsi"/>
          <w:i/>
          <w:spacing w:val="-2"/>
          <w:sz w:val="14"/>
          <w:lang w:val="en-US"/>
        </w:rPr>
      </w:pPr>
      <w:r w:rsidRPr="00434F7A">
        <w:rPr>
          <w:rFonts w:asciiTheme="majorHAnsi" w:hAnsiTheme="majorHAnsi"/>
          <w:i/>
          <w:spacing w:val="-2"/>
          <w:sz w:val="14"/>
          <w:lang w:val="en-US"/>
        </w:rPr>
        <w:t>(f)</w:t>
      </w:r>
      <w:r w:rsidRPr="00434F7A">
        <w:rPr>
          <w:rFonts w:asciiTheme="majorHAnsi" w:hAnsiTheme="majorHAnsi"/>
          <w:i/>
          <w:spacing w:val="-2"/>
          <w:sz w:val="14"/>
          <w:lang w:val="en-US"/>
        </w:rPr>
        <w:tab/>
      </w:r>
      <w:r>
        <w:rPr>
          <w:rFonts w:asciiTheme="majorHAnsi" w:hAnsiTheme="majorHAnsi"/>
          <w:i/>
          <w:spacing w:val="-2"/>
          <w:sz w:val="14"/>
          <w:lang w:val="en-US"/>
        </w:rPr>
        <w:t>The convergence difference for the Port of Melbourne lease transaction arises because GFS recognised the transaction as a sale of equity from the general government sector, whereas under Australian Accounting Standards the Port of Melbourne lease transaction has been treated as an operating lease with the leased assets remaining with the PNFC sector.</w:t>
      </w:r>
    </w:p>
    <w:p w:rsidR="00B32D50" w:rsidRPr="00434F7A" w:rsidRDefault="00B32D50" w:rsidP="00F17BCD">
      <w:pPr>
        <w:spacing w:before="20"/>
        <w:ind w:left="284" w:hanging="284"/>
        <w:contextualSpacing/>
        <w:rPr>
          <w:rFonts w:asciiTheme="majorHAnsi" w:hAnsiTheme="majorHAnsi"/>
          <w:i/>
          <w:spacing w:val="-2"/>
          <w:sz w:val="14"/>
        </w:rPr>
      </w:pPr>
      <w:r w:rsidRPr="00434F7A">
        <w:rPr>
          <w:rFonts w:asciiTheme="majorHAnsi" w:hAnsiTheme="majorHAnsi"/>
          <w:i/>
          <w:spacing w:val="-2"/>
          <w:sz w:val="14"/>
          <w:lang w:val="en-US"/>
        </w:rPr>
        <w:t>(g)</w:t>
      </w:r>
      <w:r w:rsidRPr="00434F7A">
        <w:rPr>
          <w:rFonts w:asciiTheme="majorHAnsi" w:hAnsiTheme="majorHAnsi"/>
          <w:i/>
          <w:spacing w:val="-2"/>
          <w:sz w:val="14"/>
          <w:lang w:val="en-US"/>
        </w:rPr>
        <w:tab/>
      </w:r>
      <w:r>
        <w:rPr>
          <w:rFonts w:asciiTheme="majorHAnsi" w:hAnsiTheme="majorHAnsi"/>
          <w:i/>
          <w:spacing w:val="-2"/>
          <w:sz w:val="14"/>
          <w:lang w:val="en-US"/>
        </w:rPr>
        <w:t>Investments in other sector entities for general government sector includes doubtful receivables, future tax benefits and deferred tax liability of the PNFC and PFC sectors.</w:t>
      </w:r>
    </w:p>
    <w:p w:rsidR="00B32D50" w:rsidRDefault="00B32D50" w:rsidP="00B32D50">
      <w:pPr>
        <w:pStyle w:val="Heading3"/>
        <w:numPr>
          <w:ilvl w:val="2"/>
          <w:numId w:val="21"/>
        </w:numPr>
        <w:tabs>
          <w:tab w:val="clear" w:pos="9582"/>
          <w:tab w:val="left" w:pos="850"/>
          <w:tab w:val="right" w:pos="7710"/>
        </w:tabs>
        <w:spacing w:after="60"/>
      </w:pPr>
      <w:bookmarkStart w:id="75" w:name="_Toc496606684"/>
      <w:bookmarkStart w:id="76" w:name="_Toc528247558"/>
      <w:r>
        <w:lastRenderedPageBreak/>
        <w:t>Financial instruments</w:t>
      </w:r>
      <w:bookmarkEnd w:id="75"/>
      <w:bookmarkEnd w:id="76"/>
    </w:p>
    <w:p w:rsidR="00B32D50" w:rsidRDefault="00B32D50" w:rsidP="00F17BCD">
      <w:r>
        <w:t xml:space="preserve">Note 7.1 in the </w:t>
      </w:r>
      <w:r>
        <w:rPr>
          <w:i/>
        </w:rPr>
        <w:t>2017-18</w:t>
      </w:r>
      <w:r w:rsidRPr="00E65B89">
        <w:rPr>
          <w:i/>
        </w:rPr>
        <w:t xml:space="preserve"> Financial Report</w:t>
      </w:r>
      <w:r>
        <w:t xml:space="preserve"> for the State of Victoria contains comprehensive disclosures of the State’s (including the general government sector’s) financial instruments, including financial risk management objectives and policies.</w:t>
      </w:r>
    </w:p>
    <w:p w:rsidR="00B32D50" w:rsidRDefault="00B32D50" w:rsidP="00F17BCD">
      <w:r>
        <w:t xml:space="preserve">AASB 9 </w:t>
      </w:r>
      <w:r w:rsidRPr="00B7562F">
        <w:rPr>
          <w:i/>
        </w:rPr>
        <w:t>Financial Instruments</w:t>
      </w:r>
      <w:r>
        <w:t xml:space="preserve"> supersedes previous versions of the standard (AASB 9 (2014)) and certain parts of AASB 139 </w:t>
      </w:r>
      <w:r w:rsidRPr="00B7562F">
        <w:rPr>
          <w:i/>
        </w:rPr>
        <w:t>Financial Instruments: Recognition and Me</w:t>
      </w:r>
      <w:r w:rsidRPr="00950D78">
        <w:rPr>
          <w:i/>
        </w:rPr>
        <w:t>asurement</w:t>
      </w:r>
      <w:r w:rsidRPr="00950D78">
        <w:t>. It</w:t>
      </w:r>
      <w:r>
        <w:t> applies</w:t>
      </w:r>
      <w:r w:rsidRPr="00950D78">
        <w:t xml:space="preserve"> to annual reporting periods beginning on or after 1 January 2018, with retrospective application. The first applicable annual reporting period for the State will be 2018-19. The initial application of AASB 9 is not expected to significant</w:t>
      </w:r>
      <w:r>
        <w:t>ly</w:t>
      </w:r>
      <w:r w:rsidRPr="00950D78">
        <w:t xml:space="preserve"> impact the State’s financial position.</w:t>
      </w:r>
      <w:r>
        <w:t xml:space="preserve"> </w:t>
      </w:r>
    </w:p>
    <w:p w:rsidR="00B32D50" w:rsidRDefault="00B32D50" w:rsidP="00F17BCD">
      <w:r>
        <w:t>AASB 9 simplifies the model for classifying and recognising financial assets from four categories into three categories – financial assets as subsequently measured at either amortised cost, and financial assets measured at fair value through profit or loss or through other comprehensive income. AASB 9 adopts an ‘expected loss model’ for impairment assessment, where the expected losses are recognised throughout the life of a loan or other financial asset measured at amortised cost, and not only after a loss event has been identified. The revised standard no longer requires a credit event (e.g. a receivable is past due) to have occurred before recognising credit losses. As a result, impairment losses will be recognised earlier and at more regular intervals than under the ‘incurred loss model’ of AASB 139.</w:t>
      </w:r>
    </w:p>
    <w:p w:rsidR="00B32D50" w:rsidRDefault="00B32D50" w:rsidP="00B32D50">
      <w:pPr>
        <w:pStyle w:val="Heading3"/>
        <w:numPr>
          <w:ilvl w:val="2"/>
          <w:numId w:val="21"/>
        </w:numPr>
        <w:tabs>
          <w:tab w:val="clear" w:pos="9582"/>
          <w:tab w:val="left" w:pos="850"/>
          <w:tab w:val="right" w:pos="7710"/>
        </w:tabs>
        <w:spacing w:after="60"/>
      </w:pPr>
      <w:bookmarkStart w:id="77" w:name="_Toc496606685"/>
      <w:bookmarkStart w:id="78" w:name="_Toc528247559"/>
      <w:bookmarkStart w:id="79" w:name="_Toc496606686"/>
      <w:r>
        <w:t>Prospective accounting and reporting changes</w:t>
      </w:r>
      <w:bookmarkEnd w:id="77"/>
      <w:bookmarkEnd w:id="78"/>
    </w:p>
    <w:p w:rsidR="00B32D50" w:rsidRDefault="00B32D50" w:rsidP="00F17BCD">
      <w:r>
        <w:t>Certain new and revised accounting standards have been issued but are not effective for the 2018</w:t>
      </w:r>
      <w:r>
        <w:noBreakHyphen/>
        <w:t xml:space="preserve">19 reporting period. There is no intention to early adopt these accounting standards and they have not been applied to the </w:t>
      </w:r>
      <w:r w:rsidRPr="00202239">
        <w:rPr>
          <w:i/>
        </w:rPr>
        <w:t>2018</w:t>
      </w:r>
      <w:r>
        <w:t xml:space="preserve"> </w:t>
      </w:r>
      <w:r>
        <w:rPr>
          <w:i/>
        </w:rPr>
        <w:t>Victorian Pre-Election Budget Update</w:t>
      </w:r>
      <w:r>
        <w:t xml:space="preserve">. The State is reviewing its existing policies and assessing the potential implications. These accounting standards include: </w:t>
      </w:r>
    </w:p>
    <w:p w:rsidR="00B32D50" w:rsidRPr="00DE09CE" w:rsidRDefault="00B32D50" w:rsidP="00F17BCD">
      <w:pPr>
        <w:pStyle w:val="ListBullet"/>
      </w:pPr>
      <w:r w:rsidRPr="00DE09CE">
        <w:t>AASB 15 Revenue from Contracts with Customers, operative for reporting periods commencing 1 January 2019 for not-for-profit entities. The core principle of AASB 15 is to require an entity to recognise revenue when the entity satisfies a performance obligation by transferring a promised good or service to a customer. The changes in revenue recognition may result in changes to the timing and amount of revenue recognised. Revenue from capital grants that are provided under an enforceable agreement that have sufficiently specific obligations, will now be deferred and recognised as the performance obligations are satisfied.</w:t>
      </w:r>
    </w:p>
    <w:p w:rsidR="00B32D50" w:rsidRDefault="00B32D50" w:rsidP="00F17BCD">
      <w:pPr>
        <w:pStyle w:val="ListContinue"/>
      </w:pPr>
      <w:r>
        <w:t xml:space="preserve">In September 2018, AASB 2018-4 </w:t>
      </w:r>
      <w:r>
        <w:rPr>
          <w:i/>
        </w:rPr>
        <w:t>Amendments to Australian Accounting Standards – Australian Implementation Guidance for Not-for-profit Sector Licensors</w:t>
      </w:r>
      <w:r>
        <w:t xml:space="preserve"> (AASB 2018-4) was released, providing guidance on the application of AASB 15 to the issuing of licences by public sector entities. </w:t>
      </w:r>
    </w:p>
    <w:p w:rsidR="00B32D50" w:rsidRPr="00DE09CE" w:rsidRDefault="00B32D50" w:rsidP="00F17BCD">
      <w:pPr>
        <w:pStyle w:val="ListBullet"/>
      </w:pPr>
      <w:r w:rsidRPr="00DE09CE">
        <w:t xml:space="preserve">AASB 16 </w:t>
      </w:r>
      <w:r w:rsidRPr="00DE09CE">
        <w:rPr>
          <w:i/>
        </w:rPr>
        <w:t>Leases</w:t>
      </w:r>
      <w:r w:rsidRPr="00DE09CE">
        <w:t>, operative for reporting periods beginning from 1 January 2019. The key changes introduced by AASB 16 include the requirement to recognise most operat</w:t>
      </w:r>
      <w:r>
        <w:t>ing leases on the balance sheet, which will increase net debt.</w:t>
      </w:r>
    </w:p>
    <w:p w:rsidR="00B32D50" w:rsidRPr="00DE09CE" w:rsidRDefault="00B32D50" w:rsidP="00F17BCD">
      <w:pPr>
        <w:pStyle w:val="ListBullet"/>
      </w:pPr>
      <w:r w:rsidRPr="00DE09CE">
        <w:lastRenderedPageBreak/>
        <w:t xml:space="preserve">AASB 1058 </w:t>
      </w:r>
      <w:r w:rsidRPr="00DE09CE">
        <w:rPr>
          <w:i/>
        </w:rPr>
        <w:t>Income of Not-for-Profit Entities</w:t>
      </w:r>
      <w:r w:rsidRPr="00DE09CE">
        <w:t xml:space="preserve">, operative for reporting periods commencing 1 January 2019. This standard will replace AASB 1004 </w:t>
      </w:r>
      <w:r w:rsidRPr="00DE09CE">
        <w:rPr>
          <w:i/>
        </w:rPr>
        <w:t>Contributions</w:t>
      </w:r>
      <w:r w:rsidRPr="00DE09CE">
        <w:t xml:space="preserve"> and establishes revenue recognition principles for transactions where the consideration to acquire an asset is significantly less than fair value to enable not-for-profit entities to further their objectives. </w:t>
      </w:r>
    </w:p>
    <w:p w:rsidR="00B32D50" w:rsidRDefault="00B32D50" w:rsidP="00F17BCD">
      <w:pPr>
        <w:pStyle w:val="ListBullet"/>
        <w:ind w:right="-86"/>
      </w:pPr>
      <w:r>
        <w:t xml:space="preserve">AASB 1059 </w:t>
      </w:r>
      <w:r>
        <w:rPr>
          <w:i/>
        </w:rPr>
        <w:t>Service Concession Arrangements: Grantors</w:t>
      </w:r>
      <w:r>
        <w:t xml:space="preserve">, operative for reporting periods commencing 1 January 2019. This standard prescribes the accounting treatment for public private partnership (PPP) arrangements involving a private sector operator providing public services related to a service concession asset on behalf of the State, for a specified period of time. </w:t>
      </w:r>
      <w:r w:rsidRPr="00FB3E21">
        <w:t>For social infrastructure PPP arrangements, this would result in an earlier recognition of financial liabilities (increase in net debt) progressively over the construction period rather than at completion date. For economic infrastructure PPP arrangements, that were previously not on the balance sheet, the standard will require recognition of these arrangements on-balance sheet, but will continue to have no impact to net debt consistent with the current accounting treatment.</w:t>
      </w:r>
    </w:p>
    <w:p w:rsidR="00B32D50" w:rsidRPr="00DE09CE" w:rsidRDefault="00B32D50" w:rsidP="00F17BCD">
      <w:pPr>
        <w:pStyle w:val="ListBullet"/>
      </w:pPr>
      <w:r w:rsidRPr="00DE09CE">
        <w:t xml:space="preserve">AASB 17 </w:t>
      </w:r>
      <w:r w:rsidRPr="00DE09CE">
        <w:rPr>
          <w:i/>
        </w:rPr>
        <w:t>Insurance Contracts</w:t>
      </w:r>
      <w:r w:rsidRPr="00DE09CE">
        <w:t>, operative for reporting periods commencing 1 January 2021. This new standard eliminates inconsistencies and weaknesses in existing practices by providing a single principles based framework to account for all types of insurance contracts. It should be noted this standard does not apply to the not</w:t>
      </w:r>
      <w:r w:rsidRPr="00DE09CE">
        <w:noBreakHyphen/>
        <w:t>for</w:t>
      </w:r>
      <w:r w:rsidRPr="00DE09CE">
        <w:noBreakHyphen/>
        <w:t>profit public sector entities. There will be no significant impact expected for the for</w:t>
      </w:r>
      <w:r w:rsidRPr="00DE09CE">
        <w:noBreakHyphen/>
        <w:t>profit entities within State.</w:t>
      </w:r>
    </w:p>
    <w:p w:rsidR="00B32D50" w:rsidRDefault="00B32D50" w:rsidP="00F17BCD"/>
    <w:p w:rsidR="00B32D50" w:rsidRDefault="00B32D50" w:rsidP="00F17BCD">
      <w:pPr>
        <w:pStyle w:val="ListBullet"/>
        <w:numPr>
          <w:ilvl w:val="0"/>
          <w:numId w:val="0"/>
        </w:numPr>
        <w:spacing w:line="276" w:lineRule="auto"/>
      </w:pPr>
      <w:r>
        <w:t>Several other amending standards and AASB interpretations have been issued that apply to future reporting periods, but are considered to have limited impact on public sector reporting.</w:t>
      </w:r>
    </w:p>
    <w:p w:rsidR="00B32D50" w:rsidRDefault="00B32D50" w:rsidP="00B32D50">
      <w:pPr>
        <w:pStyle w:val="Heading3"/>
        <w:numPr>
          <w:ilvl w:val="2"/>
          <w:numId w:val="21"/>
        </w:numPr>
        <w:tabs>
          <w:tab w:val="clear" w:pos="9582"/>
          <w:tab w:val="left" w:pos="850"/>
          <w:tab w:val="right" w:pos="7710"/>
        </w:tabs>
        <w:spacing w:after="60"/>
      </w:pPr>
      <w:bookmarkStart w:id="80" w:name="_Toc528247560"/>
      <w:r>
        <w:t>Controlled entities</w:t>
      </w:r>
      <w:bookmarkEnd w:id="79"/>
      <w:bookmarkEnd w:id="80"/>
    </w:p>
    <w:p w:rsidR="00B32D50" w:rsidRDefault="00B32D50" w:rsidP="00F17BCD">
      <w:r>
        <w:t xml:space="preserve">Note 9.8 Controlled entities in the </w:t>
      </w:r>
      <w:r>
        <w:rPr>
          <w:i/>
        </w:rPr>
        <w:t>2017</w:t>
      </w:r>
      <w:r>
        <w:rPr>
          <w:i/>
        </w:rPr>
        <w:noBreakHyphen/>
        <w:t>18</w:t>
      </w:r>
      <w:r w:rsidRPr="000A547A">
        <w:rPr>
          <w:i/>
        </w:rPr>
        <w:t xml:space="preserve"> Financial Report</w:t>
      </w:r>
      <w:r>
        <w:t xml:space="preserve"> for the State of Victoria lists significant controlled entities, which were consolidated in that financial report. </w:t>
      </w:r>
    </w:p>
    <w:p w:rsidR="00B32D50" w:rsidRDefault="00B32D50" w:rsidP="00F17BCD">
      <w:r w:rsidRPr="0051566E">
        <w:t xml:space="preserve">The following are changes </w:t>
      </w:r>
      <w:r>
        <w:t xml:space="preserve">in </w:t>
      </w:r>
      <w:r w:rsidRPr="0051566E">
        <w:t>general government sector entities</w:t>
      </w:r>
      <w:r>
        <w:t xml:space="preserve"> since 1 July 2018</w:t>
      </w:r>
      <w:r w:rsidRPr="0051566E">
        <w:t>, which have</w:t>
      </w:r>
      <w:r>
        <w:t xml:space="preserve"> also</w:t>
      </w:r>
      <w:r w:rsidRPr="0051566E">
        <w:t xml:space="preserve"> been </w:t>
      </w:r>
      <w:r>
        <w:t xml:space="preserve">incorporated </w:t>
      </w:r>
      <w:r w:rsidRPr="0051566E">
        <w:t>in this financial report:</w:t>
      </w:r>
    </w:p>
    <w:p w:rsidR="00B32D50" w:rsidRPr="0051566E" w:rsidRDefault="00B32D50" w:rsidP="00F17BCD"/>
    <w:tbl>
      <w:tblPr>
        <w:tblStyle w:val="DTFTable"/>
        <w:tblW w:w="5000" w:type="pct"/>
        <w:tblInd w:w="0" w:type="dxa"/>
        <w:tblCellMar>
          <w:left w:w="113" w:type="dxa"/>
          <w:right w:w="198" w:type="dxa"/>
        </w:tblCellMar>
        <w:tblLook w:val="0680" w:firstRow="0" w:lastRow="0" w:firstColumn="1" w:lastColumn="0" w:noHBand="1" w:noVBand="1"/>
      </w:tblPr>
      <w:tblGrid>
        <w:gridCol w:w="4011"/>
        <w:gridCol w:w="4011"/>
      </w:tblGrid>
      <w:tr w:rsidR="00B32D50" w:rsidRPr="0029647E" w:rsidTr="00F17BCD">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bookmarkEnd w:id="72"/>
          <w:p w:rsidR="00B32D50" w:rsidRPr="0029647E" w:rsidRDefault="00B32D50" w:rsidP="00F17BCD">
            <w:pPr>
              <w:pStyle w:val="ControlledEntitiesSector"/>
              <w:jc w:val="left"/>
            </w:pPr>
            <w:r w:rsidRPr="0029647E">
              <w:t>General government</w:t>
            </w:r>
            <w:r>
              <w:t xml:space="preserve"> sector</w:t>
            </w:r>
          </w:p>
        </w:tc>
      </w:tr>
      <w:tr w:rsidR="00B32D50" w:rsidRPr="0029647E" w:rsidTr="00F17BCD">
        <w:trPr>
          <w:cantSplit w:val="0"/>
          <w:trHeight w:val="619"/>
        </w:trPr>
        <w:tc>
          <w:tcPr>
            <w:cnfStyle w:val="001000000000" w:firstRow="0" w:lastRow="0" w:firstColumn="1" w:lastColumn="0" w:oddVBand="0" w:evenVBand="0" w:oddHBand="0" w:evenHBand="0" w:firstRowFirstColumn="0" w:firstRowLastColumn="0" w:lastRowFirstColumn="0" w:lastRowLastColumn="0"/>
            <w:tcW w:w="2500" w:type="pct"/>
            <w:tcBorders>
              <w:bottom w:val="nil"/>
            </w:tcBorders>
          </w:tcPr>
          <w:p w:rsidR="00B32D50" w:rsidRDefault="00B32D50" w:rsidP="00F17BCD">
            <w:pPr>
              <w:pStyle w:val="ControlledEntitiesDepartment"/>
              <w:ind w:left="0" w:firstLine="0"/>
            </w:pPr>
            <w:r>
              <w:t>Department of Health and Human Services</w:t>
            </w:r>
            <w:r w:rsidRPr="005B4BA6">
              <w:t xml:space="preserve"> </w:t>
            </w:r>
          </w:p>
          <w:p w:rsidR="00B32D50" w:rsidRPr="0029647E" w:rsidRDefault="00B32D50" w:rsidP="00F17BCD">
            <w:pPr>
              <w:pStyle w:val="ListBullet"/>
              <w:numPr>
                <w:ilvl w:val="0"/>
                <w:numId w:val="0"/>
              </w:numPr>
              <w:spacing w:before="20"/>
              <w:ind w:left="284" w:hanging="284"/>
            </w:pPr>
            <w:r>
              <w:t xml:space="preserve">Family Violence Prevention Agency </w:t>
            </w:r>
            <w:r w:rsidRPr="00226A19">
              <w:rPr>
                <w:vertAlign w:val="superscript"/>
              </w:rPr>
              <w:t>(a)</w:t>
            </w:r>
          </w:p>
        </w:tc>
        <w:tc>
          <w:tcPr>
            <w:tcW w:w="2500" w:type="pct"/>
            <w:tcBorders>
              <w:bottom w:val="nil"/>
            </w:tcBorders>
            <w:shd w:val="clear" w:color="auto" w:fill="FFFFFF" w:themeFill="background1"/>
          </w:tcPr>
          <w:p w:rsidR="00B32D50" w:rsidRPr="0029647E" w:rsidRDefault="00B32D50" w:rsidP="00F17BCD">
            <w:pPr>
              <w:jc w:val="left"/>
              <w:cnfStyle w:val="000000000000" w:firstRow="0" w:lastRow="0" w:firstColumn="0" w:lastColumn="0" w:oddVBand="0" w:evenVBand="0" w:oddHBand="0" w:evenHBand="0" w:firstRowFirstColumn="0" w:firstRowLastColumn="0" w:lastRowFirstColumn="0" w:lastRowLastColumn="0"/>
            </w:pPr>
          </w:p>
        </w:tc>
      </w:tr>
    </w:tbl>
    <w:p w:rsidR="00B32D50" w:rsidRDefault="00B32D50" w:rsidP="00F17BCD">
      <w:pPr>
        <w:pStyle w:val="Note"/>
        <w:ind w:left="0" w:firstLine="0"/>
      </w:pPr>
      <w:r>
        <w:t>Note:</w:t>
      </w:r>
    </w:p>
    <w:p w:rsidR="00735AAB" w:rsidRDefault="00B32D50" w:rsidP="00F17BCD">
      <w:pPr>
        <w:pStyle w:val="Note"/>
      </w:pPr>
      <w:r>
        <w:t>(a)</w:t>
      </w:r>
      <w:r>
        <w:tab/>
      </w:r>
      <w:r w:rsidRPr="00E54F7D">
        <w:t xml:space="preserve">The Family Violence Prevention Agency was established under the </w:t>
      </w:r>
      <w:r w:rsidRPr="000013AD">
        <w:rPr>
          <w:i w:val="0"/>
        </w:rPr>
        <w:t>Prevention of Family Violence Act 2018</w:t>
      </w:r>
      <w:r w:rsidRPr="00E54F7D">
        <w:t xml:space="preserve"> and, by Order of th</w:t>
      </w:r>
      <w:r>
        <w:t>e Governor in Council, commenced</w:t>
      </w:r>
      <w:r w:rsidRPr="00E54F7D">
        <w:t xml:space="preserve"> on 4 October 2018 and will trade as Respect Victoria.</w:t>
      </w:r>
    </w:p>
    <w:p w:rsidR="00735AAB" w:rsidRDefault="00735AAB">
      <w:pPr>
        <w:keepLines w:val="0"/>
        <w:rPr>
          <w:rFonts w:asciiTheme="majorHAnsi" w:hAnsiTheme="majorHAnsi"/>
          <w:i/>
          <w:spacing w:val="-2"/>
          <w:sz w:val="14"/>
        </w:rPr>
      </w:pPr>
      <w:r>
        <w:br w:type="page"/>
      </w:r>
    </w:p>
    <w:p w:rsidR="00B32D50" w:rsidRPr="00EA584D" w:rsidRDefault="00B32D50" w:rsidP="00735AAB"/>
    <w:p w:rsidR="00B32D50" w:rsidRDefault="00B32D50" w:rsidP="00F17BCD"/>
    <w:p w:rsidR="00B32D50" w:rsidRDefault="00B32D50" w:rsidP="00B32D50">
      <w:pPr>
        <w:sectPr w:rsidR="00B32D50" w:rsidSect="006D735A">
          <w:type w:val="continuous"/>
          <w:pgSz w:w="9979" w:h="14175" w:code="9"/>
          <w:pgMar w:top="851" w:right="1134" w:bottom="851" w:left="1134" w:header="624" w:footer="567" w:gutter="0"/>
          <w:cols w:sep="1" w:space="567"/>
          <w:docGrid w:linePitch="360"/>
        </w:sectPr>
      </w:pPr>
    </w:p>
    <w:p w:rsidR="00B32D50" w:rsidRDefault="00B32D50" w:rsidP="000C43CD">
      <w:pPr>
        <w:pStyle w:val="Chapterheading"/>
      </w:pPr>
      <w:bookmarkStart w:id="81" w:name="_Toc517171547"/>
      <w:bookmarkStart w:id="82" w:name="_Toc528864768"/>
      <w:r>
        <w:lastRenderedPageBreak/>
        <w:t>Chapter 4 – Contingent assets and contingent liabilities</w:t>
      </w:r>
      <w:bookmarkEnd w:id="81"/>
      <w:bookmarkEnd w:id="82"/>
    </w:p>
    <w:p w:rsidR="00B32D50" w:rsidRDefault="00B32D50" w:rsidP="00F17BCD">
      <w:r>
        <w:t>This chapter contains information on contingent assets and liabilities for the general government sector and should be read in conjunction with Chapter 3</w:t>
      </w:r>
      <w:r w:rsidRPr="00EB7792">
        <w:t>.</w:t>
      </w:r>
    </w:p>
    <w:p w:rsidR="00B32D50" w:rsidRDefault="00B32D50" w:rsidP="00F17BCD">
      <w:r>
        <w:t>Contingent assets and contingent liabilities are not recognised in the balance sheet but are disclosed and, if quantifiable, are measured at nominal value.</w:t>
      </w:r>
    </w:p>
    <w:p w:rsidR="00B32D50" w:rsidRDefault="00B32D50" w:rsidP="00F17BCD">
      <w:r>
        <w:t>Contingent assets and liabilities are presented inclusive of GST receivable or payable respectively.</w:t>
      </w:r>
    </w:p>
    <w:p w:rsidR="00B32D50" w:rsidRDefault="00B32D50" w:rsidP="00F17BCD">
      <w:pPr>
        <w:pStyle w:val="Heading10"/>
      </w:pPr>
      <w:bookmarkStart w:id="83" w:name="_Toc528864769"/>
      <w:r>
        <w:t>Contingent assets</w:t>
      </w:r>
      <w:bookmarkEnd w:id="83"/>
    </w:p>
    <w:p w:rsidR="00B32D50" w:rsidRDefault="00B32D50" w:rsidP="00F17BCD">
      <w:r>
        <w:t>Contingent assets are possible assets that arise from past events, whose existence will be confirmed only by the occurrence or non-occurrence of one or more uncertain future events not wholly within the control of the entity.</w:t>
      </w:r>
    </w:p>
    <w:p w:rsidR="00B32D50" w:rsidRDefault="00B32D50" w:rsidP="00F17BCD">
      <w:r>
        <w:t>These are classified as either quantifiable, where the potential economic benefit is known, or non</w:t>
      </w:r>
      <w:r>
        <w:noBreakHyphen/>
        <w:t xml:space="preserve">quantifiable. </w:t>
      </w:r>
    </w:p>
    <w:p w:rsidR="00B32D50" w:rsidRDefault="00B32D50" w:rsidP="00F17BCD">
      <w:r w:rsidRPr="005B299A">
        <w:t>Table 4.1 contains quantifiable contingent assets as at 30 October 2018</w:t>
      </w:r>
      <w:r>
        <w:t xml:space="preserve"> (arising from outside of government).</w:t>
      </w:r>
    </w:p>
    <w:p w:rsidR="00B32D50" w:rsidRPr="00BA3D25" w:rsidRDefault="00B32D50" w:rsidP="00F17BCD">
      <w:pPr>
        <w:pStyle w:val="TableHeading"/>
        <w:rPr>
          <w:bCs/>
          <w:lang w:val="en-US"/>
        </w:rPr>
      </w:pPr>
      <w:r>
        <w:t>Table 4.1:</w:t>
      </w:r>
      <w:r>
        <w:tab/>
        <w:t xml:space="preserve">Quantifiable contingent assets </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5386"/>
        <w:gridCol w:w="850"/>
        <w:gridCol w:w="1531"/>
      </w:tblGrid>
      <w:tr w:rsidR="00B32D50" w:rsidRPr="00BA3D25" w:rsidTr="00F17BCD">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386" w:type="dxa"/>
            <w:tcBorders>
              <w:top w:val="nil"/>
              <w:left w:val="nil"/>
              <w:right w:val="nil"/>
            </w:tcBorders>
            <w:shd w:val="solid" w:color="000000" w:fill="auto"/>
          </w:tcPr>
          <w:p w:rsidR="00B32D50" w:rsidRPr="00BA3D25" w:rsidRDefault="00B32D50" w:rsidP="00F17BCD">
            <w:pPr>
              <w:autoSpaceDE w:val="0"/>
              <w:autoSpaceDN w:val="0"/>
              <w:adjustRightInd w:val="0"/>
              <w:rPr>
                <w:rFonts w:eastAsiaTheme="minorEastAsia" w:cs="Calibri"/>
                <w:iCs/>
                <w:color w:val="FFFFFF"/>
                <w:szCs w:val="19"/>
                <w:lang w:eastAsia="en-AU"/>
              </w:rPr>
            </w:pPr>
            <w:r w:rsidRPr="00BA3D25">
              <w:rPr>
                <w:rFonts w:eastAsiaTheme="minorEastAsia" w:cs="Calibri"/>
                <w:iCs/>
                <w:color w:val="FFFFFF"/>
                <w:szCs w:val="19"/>
                <w:lang w:eastAsia="en-AU"/>
              </w:rPr>
              <w:t xml:space="preserve">  </w:t>
            </w:r>
          </w:p>
        </w:tc>
        <w:tc>
          <w:tcPr>
            <w:tcW w:w="850" w:type="dxa"/>
            <w:tcBorders>
              <w:top w:val="nil"/>
              <w:left w:val="nil"/>
              <w:right w:val="nil"/>
            </w:tcBorders>
            <w:shd w:val="solid" w:color="000000" w:fill="auto"/>
          </w:tcPr>
          <w:p w:rsidR="00B32D50" w:rsidRPr="00BA3D25" w:rsidRDefault="00B32D50" w:rsidP="00F17BC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As at</w:t>
            </w:r>
            <w:r>
              <w:rPr>
                <w:rFonts w:eastAsiaTheme="minorEastAsia" w:cs="Calibri"/>
                <w:iCs/>
                <w:color w:val="FFFFFF"/>
                <w:szCs w:val="19"/>
                <w:lang w:eastAsia="en-AU"/>
              </w:rPr>
              <w:br/>
              <w:t>Oct 2018</w:t>
            </w:r>
          </w:p>
        </w:tc>
        <w:tc>
          <w:tcPr>
            <w:tcW w:w="1531" w:type="dxa"/>
            <w:tcBorders>
              <w:top w:val="nil"/>
              <w:left w:val="nil"/>
              <w:right w:val="nil"/>
            </w:tcBorders>
            <w:shd w:val="solid" w:color="000000" w:fill="auto"/>
          </w:tcPr>
          <w:p w:rsidR="00B32D50" w:rsidRPr="00BA3D25" w:rsidRDefault="00B32D50" w:rsidP="00F17BC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Published budget</w:t>
            </w:r>
            <w:r>
              <w:rPr>
                <w:rFonts w:eastAsiaTheme="minorEastAsia" w:cs="Calibri"/>
                <w:iCs/>
                <w:color w:val="FFFFFF"/>
                <w:szCs w:val="19"/>
                <w:lang w:eastAsia="en-AU"/>
              </w:rPr>
              <w:br/>
            </w:r>
            <w:r w:rsidRPr="00BA3D25">
              <w:rPr>
                <w:rFonts w:eastAsiaTheme="minorEastAsia" w:cs="Calibri"/>
                <w:iCs/>
                <w:color w:val="FFFFFF"/>
                <w:szCs w:val="19"/>
                <w:lang w:eastAsia="en-AU"/>
              </w:rPr>
              <w:t xml:space="preserve">estimate </w:t>
            </w:r>
            <w:r w:rsidRPr="00BA3D25">
              <w:rPr>
                <w:rFonts w:eastAsiaTheme="minorEastAsia" w:cs="Calibri"/>
                <w:iCs/>
                <w:color w:val="FFFFFF"/>
                <w:szCs w:val="19"/>
                <w:vertAlign w:val="superscript"/>
                <w:lang w:eastAsia="en-AU"/>
              </w:rPr>
              <w:t>(a)</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B32D50" w:rsidRPr="00BA3D25" w:rsidRDefault="00B32D50" w:rsidP="00F17BCD">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Guarantees, indemnities and warranties</w:t>
            </w:r>
          </w:p>
        </w:tc>
        <w:tc>
          <w:tcPr>
            <w:tcW w:w="850"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37</w:t>
            </w:r>
          </w:p>
        </w:tc>
        <w:tc>
          <w:tcPr>
            <w:tcW w:w="1531"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36</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B32D50" w:rsidRPr="00BA3D25" w:rsidRDefault="00B32D50" w:rsidP="00F17BCD">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Legal proceedings and disputes</w:t>
            </w:r>
          </w:p>
        </w:tc>
        <w:tc>
          <w:tcPr>
            <w:tcW w:w="850"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3</w:t>
            </w:r>
          </w:p>
        </w:tc>
        <w:tc>
          <w:tcPr>
            <w:tcW w:w="1531"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9</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386" w:type="dxa"/>
            <w:tcBorders>
              <w:top w:val="nil"/>
              <w:left w:val="nil"/>
              <w:bottom w:val="nil"/>
              <w:right w:val="nil"/>
            </w:tcBorders>
          </w:tcPr>
          <w:p w:rsidR="00B32D50" w:rsidRPr="00BA3D25" w:rsidRDefault="00B32D50" w:rsidP="00F17BCD">
            <w:pPr>
              <w:keepLines w:val="0"/>
              <w:autoSpaceDE w:val="0"/>
              <w:autoSpaceDN w:val="0"/>
              <w:adjustRightInd w:val="0"/>
              <w:rPr>
                <w:rFonts w:eastAsiaTheme="minorEastAsia" w:cs="Calibri"/>
                <w:color w:val="000000"/>
                <w:szCs w:val="19"/>
                <w:vertAlign w:val="superscript"/>
                <w:lang w:eastAsia="en-AU"/>
              </w:rPr>
            </w:pPr>
            <w:r w:rsidRPr="00BA3D25">
              <w:rPr>
                <w:rFonts w:eastAsiaTheme="minorEastAsia" w:cs="Calibri"/>
                <w:color w:val="000000"/>
                <w:szCs w:val="19"/>
                <w:lang w:eastAsia="en-AU"/>
              </w:rPr>
              <w:t xml:space="preserve">Other </w:t>
            </w:r>
            <w:r w:rsidRPr="00BA3D25">
              <w:rPr>
                <w:rFonts w:eastAsiaTheme="minorEastAsia" w:cs="Calibri"/>
                <w:color w:val="000000"/>
                <w:szCs w:val="19"/>
                <w:vertAlign w:val="superscript"/>
                <w:lang w:eastAsia="en-AU"/>
              </w:rPr>
              <w:t>(b)</w:t>
            </w:r>
          </w:p>
        </w:tc>
        <w:tc>
          <w:tcPr>
            <w:tcW w:w="850"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113</w:t>
            </w:r>
          </w:p>
        </w:tc>
        <w:tc>
          <w:tcPr>
            <w:tcW w:w="1531"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100</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386" w:type="dxa"/>
            <w:tcBorders>
              <w:top w:val="single" w:sz="6" w:space="0" w:color="auto"/>
              <w:left w:val="nil"/>
              <w:bottom w:val="single" w:sz="12" w:space="0" w:color="auto"/>
              <w:right w:val="nil"/>
            </w:tcBorders>
          </w:tcPr>
          <w:p w:rsidR="00B32D50" w:rsidRPr="00BA3D25" w:rsidRDefault="00B32D50" w:rsidP="00F17BCD">
            <w:pPr>
              <w:keepLines w:val="0"/>
              <w:autoSpaceDE w:val="0"/>
              <w:autoSpaceDN w:val="0"/>
              <w:adjustRightInd w:val="0"/>
              <w:rPr>
                <w:rFonts w:eastAsiaTheme="minorEastAsia" w:cs="Calibri"/>
                <w:b/>
                <w:bCs/>
                <w:color w:val="000000"/>
                <w:szCs w:val="19"/>
                <w:lang w:eastAsia="en-AU"/>
              </w:rPr>
            </w:pPr>
            <w:r w:rsidRPr="00BA3D25">
              <w:rPr>
                <w:rFonts w:eastAsiaTheme="minorEastAsia" w:cs="Calibri"/>
                <w:b/>
                <w:bCs/>
                <w:color w:val="000000"/>
                <w:szCs w:val="19"/>
                <w:lang w:eastAsia="en-AU"/>
              </w:rPr>
              <w:t>Total contingent assets</w:t>
            </w:r>
          </w:p>
        </w:tc>
        <w:tc>
          <w:tcPr>
            <w:tcW w:w="850" w:type="dxa"/>
            <w:tcBorders>
              <w:top w:val="single" w:sz="6" w:space="0" w:color="auto"/>
              <w:left w:val="nil"/>
              <w:bottom w:val="single" w:sz="12" w:space="0" w:color="auto"/>
              <w:right w:val="nil"/>
            </w:tcBorders>
          </w:tcPr>
          <w:p w:rsidR="00B32D50" w:rsidRPr="0044342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153</w:t>
            </w:r>
          </w:p>
        </w:tc>
        <w:tc>
          <w:tcPr>
            <w:tcW w:w="1531" w:type="dxa"/>
            <w:tcBorders>
              <w:top w:val="single" w:sz="6" w:space="0" w:color="auto"/>
              <w:left w:val="nil"/>
              <w:bottom w:val="single" w:sz="12" w:space="0" w:color="auto"/>
              <w:right w:val="nil"/>
            </w:tcBorders>
          </w:tcPr>
          <w:p w:rsidR="00B32D50" w:rsidRPr="00443421"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145</w:t>
            </w:r>
          </w:p>
        </w:tc>
      </w:tr>
    </w:tbl>
    <w:p w:rsidR="00B32D50" w:rsidRDefault="00B32D50" w:rsidP="00F17BCD">
      <w:pPr>
        <w:pStyle w:val="Source"/>
      </w:pPr>
      <w:r>
        <w:t>Source: Department of Treasury and Finance</w:t>
      </w:r>
    </w:p>
    <w:p w:rsidR="00B32D50" w:rsidRDefault="00B32D50" w:rsidP="00F17BCD">
      <w:pPr>
        <w:pStyle w:val="Note"/>
      </w:pPr>
      <w:r>
        <w:t>Notes:</w:t>
      </w:r>
    </w:p>
    <w:p w:rsidR="00B32D50" w:rsidRDefault="00B32D50" w:rsidP="00F17BCD">
      <w:pPr>
        <w:pStyle w:val="Note"/>
      </w:pPr>
      <w:r>
        <w:t xml:space="preserve">(a) </w:t>
      </w:r>
      <w:r>
        <w:tab/>
        <w:t xml:space="preserve">As published in the </w:t>
      </w:r>
      <w:r>
        <w:rPr>
          <w:i w:val="0"/>
        </w:rPr>
        <w:t>2018-19</w:t>
      </w:r>
      <w:r w:rsidRPr="007A5E4A">
        <w:rPr>
          <w:i w:val="0"/>
        </w:rPr>
        <w:t xml:space="preserve"> Budget</w:t>
      </w:r>
      <w:r>
        <w:t>.</w:t>
      </w:r>
    </w:p>
    <w:p w:rsidR="00B32D50" w:rsidRPr="00B723BB" w:rsidRDefault="00B32D50" w:rsidP="00F17BCD">
      <w:pPr>
        <w:pStyle w:val="Note"/>
      </w:pPr>
      <w:r>
        <w:t xml:space="preserve">(b) </w:t>
      </w:r>
      <w:r>
        <w:tab/>
      </w:r>
      <w:r w:rsidRPr="007F6FB8">
        <w:t xml:space="preserve">Other contingent assets in the general government sector consists </w:t>
      </w:r>
      <w:r>
        <w:t xml:space="preserve">mainly </w:t>
      </w:r>
      <w:r w:rsidRPr="007F6FB8">
        <w:t>of a contingent payment for Crown Melbourne licence amendments that may be payable in calendar year 2022</w:t>
      </w:r>
      <w:r w:rsidRPr="00A27D08">
        <w:t>.</w:t>
      </w:r>
    </w:p>
    <w:p w:rsidR="00B32D50" w:rsidRDefault="00B32D50">
      <w:pPr>
        <w:keepLines w:val="0"/>
        <w:rPr>
          <w:rFonts w:asciiTheme="majorHAnsi" w:eastAsiaTheme="majorEastAsia" w:hAnsiTheme="majorHAnsi" w:cstheme="majorBidi"/>
          <w:b/>
          <w:spacing w:val="-2"/>
          <w:sz w:val="26"/>
          <w:szCs w:val="26"/>
        </w:rPr>
      </w:pPr>
      <w:r>
        <w:br w:type="page"/>
      </w:r>
    </w:p>
    <w:p w:rsidR="00B32D50" w:rsidRDefault="00B32D50" w:rsidP="00F17BCD">
      <w:pPr>
        <w:pStyle w:val="Heading20"/>
      </w:pPr>
      <w:r>
        <w:lastRenderedPageBreak/>
        <w:t>Non-quantifiable contingent assets</w:t>
      </w:r>
    </w:p>
    <w:p w:rsidR="00B32D50" w:rsidRPr="00EA1A49" w:rsidRDefault="00B32D50" w:rsidP="00F17BCD">
      <w:pPr>
        <w:pStyle w:val="Heading30"/>
      </w:pPr>
      <w:r w:rsidRPr="00EA1A49">
        <w:t>Peninsula Link compensable enhancement claim</w:t>
      </w:r>
    </w:p>
    <w:p w:rsidR="00B32D50" w:rsidRDefault="00B32D50" w:rsidP="00F17BCD">
      <w:r>
        <w:t>The EastLink Concession Deed contains compensable enhancement provisions that enable the State to claim 50 per cent of any additional revenue derived by ConnectEast Pty Ltd (ConnectEast) as a result of certain events that particularly benefit EastLink, including changes to the adjoining road network.</w:t>
      </w:r>
    </w:p>
    <w:p w:rsidR="00B32D50" w:rsidRDefault="00B32D50" w:rsidP="00F17BCD">
      <w:r>
        <w:t>On 2 January 2014, the State lodged a compensable enhancement claim as a result of opening Peninsula Link. The claim remains outstanding.</w:t>
      </w:r>
    </w:p>
    <w:p w:rsidR="00B32D50" w:rsidRDefault="00B32D50" w:rsidP="00F17BCD">
      <w:pPr>
        <w:pStyle w:val="Heading10"/>
      </w:pPr>
      <w:bookmarkStart w:id="84" w:name="_Toc517171549"/>
      <w:bookmarkStart w:id="85" w:name="_Toc528864770"/>
      <w:r>
        <w:t>Contingent liabilities</w:t>
      </w:r>
      <w:bookmarkEnd w:id="84"/>
      <w:bookmarkEnd w:id="85"/>
    </w:p>
    <w:p w:rsidR="00B32D50" w:rsidRDefault="00B32D50" w:rsidP="00F17BCD">
      <w:r>
        <w:t>Contingent liabilities are:</w:t>
      </w:r>
    </w:p>
    <w:p w:rsidR="00B32D50" w:rsidRDefault="00B32D50" w:rsidP="00B32D50">
      <w:pPr>
        <w:pStyle w:val="ListBullet"/>
        <w:numPr>
          <w:ilvl w:val="0"/>
          <w:numId w:val="22"/>
        </w:numPr>
      </w:pPr>
      <w:r>
        <w:t>possible obligations that arise from past events, whose existence will be confirmed only by the occurrence or non-occurrence of one or more uncertain future events not wholly within the control of the entity; or</w:t>
      </w:r>
    </w:p>
    <w:p w:rsidR="00B32D50" w:rsidRDefault="00B32D50" w:rsidP="00B32D50">
      <w:pPr>
        <w:pStyle w:val="ListBullet"/>
        <w:numPr>
          <w:ilvl w:val="0"/>
          <w:numId w:val="22"/>
        </w:numPr>
      </w:pPr>
      <w:r>
        <w:t>present obligations that arise from past events but are not recognised because:</w:t>
      </w:r>
    </w:p>
    <w:p w:rsidR="00B32D50" w:rsidRPr="00716A8E" w:rsidRDefault="00B32D50" w:rsidP="00B32D50">
      <w:pPr>
        <w:pStyle w:val="ListBullet2"/>
        <w:numPr>
          <w:ilvl w:val="1"/>
          <w:numId w:val="22"/>
        </w:numPr>
      </w:pPr>
      <w:r w:rsidRPr="00716A8E">
        <w:t xml:space="preserve">it is not probable that an outflow of resources embodying economic benefits will be required to settle the obligations; or </w:t>
      </w:r>
    </w:p>
    <w:p w:rsidR="00B32D50" w:rsidRPr="00716A8E" w:rsidRDefault="00B32D50" w:rsidP="00B32D50">
      <w:pPr>
        <w:pStyle w:val="ListBullet2"/>
        <w:numPr>
          <w:ilvl w:val="1"/>
          <w:numId w:val="22"/>
        </w:numPr>
      </w:pPr>
      <w:r w:rsidRPr="00716A8E">
        <w:t>the amount of the obligations cannot be measured with sufficient reliability.</w:t>
      </w:r>
    </w:p>
    <w:p w:rsidR="00B32D50" w:rsidRDefault="00B32D50" w:rsidP="00F17BCD">
      <w:r>
        <w:t>Contingent liabilities are also classified as either quantifiable or non-quantifiable.</w:t>
      </w:r>
    </w:p>
    <w:p w:rsidR="00B32D50" w:rsidRDefault="00B32D50" w:rsidP="00F17BCD">
      <w:r w:rsidRPr="005B299A">
        <w:t>The table below contains quantifiable contingent liabilities as at 30 October 2018.</w:t>
      </w:r>
    </w:p>
    <w:p w:rsidR="00B32D50" w:rsidRPr="00BA3D25" w:rsidRDefault="00B32D50" w:rsidP="00F17BCD">
      <w:pPr>
        <w:pStyle w:val="TableHeading"/>
        <w:rPr>
          <w:bCs/>
          <w:lang w:val="en-US"/>
        </w:rPr>
      </w:pPr>
      <w:r>
        <w:t>Table 4.2:</w:t>
      </w:r>
      <w:r>
        <w:tab/>
        <w:t>Quantifiable contingent liabilities</w:t>
      </w:r>
      <w:r>
        <w:tab/>
        <w:t>($ million)</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5244"/>
        <w:gridCol w:w="992"/>
        <w:gridCol w:w="1531"/>
      </w:tblGrid>
      <w:tr w:rsidR="00B32D50" w:rsidRPr="00BA3D25" w:rsidTr="00F17BCD">
        <w:trPr>
          <w:cnfStyle w:val="100000000000" w:firstRow="1" w:lastRow="0" w:firstColumn="0" w:lastColumn="0" w:oddVBand="0" w:evenVBand="0" w:oddHBand="0" w:evenHBand="0" w:firstRowFirstColumn="0" w:firstRowLastColumn="0" w:lastRowFirstColumn="0" w:lastRowLastColumn="0"/>
          <w:trHeight w:val="145"/>
          <w:tblHeader/>
        </w:trPr>
        <w:tc>
          <w:tcPr>
            <w:cnfStyle w:val="001000000000" w:firstRow="0" w:lastRow="0" w:firstColumn="1" w:lastColumn="0" w:oddVBand="0" w:evenVBand="0" w:oddHBand="0" w:evenHBand="0" w:firstRowFirstColumn="0" w:firstRowLastColumn="0" w:lastRowFirstColumn="0" w:lastRowLastColumn="0"/>
            <w:tcW w:w="5244" w:type="dxa"/>
            <w:tcBorders>
              <w:top w:val="nil"/>
              <w:left w:val="nil"/>
              <w:right w:val="nil"/>
            </w:tcBorders>
            <w:shd w:val="solid" w:color="000000" w:fill="auto"/>
          </w:tcPr>
          <w:p w:rsidR="00B32D50" w:rsidRPr="00BA3D25" w:rsidRDefault="00B32D50" w:rsidP="00F17BCD">
            <w:pPr>
              <w:autoSpaceDE w:val="0"/>
              <w:autoSpaceDN w:val="0"/>
              <w:adjustRightInd w:val="0"/>
              <w:rPr>
                <w:rFonts w:eastAsiaTheme="minorEastAsia" w:cs="Calibri"/>
                <w:iCs/>
                <w:color w:val="FFFFFF"/>
                <w:szCs w:val="19"/>
                <w:lang w:eastAsia="en-AU"/>
              </w:rPr>
            </w:pPr>
            <w:r w:rsidRPr="00BA3D25">
              <w:rPr>
                <w:rFonts w:eastAsiaTheme="minorEastAsia" w:cs="Calibri"/>
                <w:iCs/>
                <w:color w:val="FFFFFF"/>
                <w:szCs w:val="19"/>
                <w:lang w:eastAsia="en-AU"/>
              </w:rPr>
              <w:t xml:space="preserve">  </w:t>
            </w:r>
          </w:p>
        </w:tc>
        <w:tc>
          <w:tcPr>
            <w:tcW w:w="992" w:type="dxa"/>
            <w:tcBorders>
              <w:top w:val="nil"/>
              <w:left w:val="nil"/>
              <w:right w:val="nil"/>
            </w:tcBorders>
            <w:shd w:val="solid" w:color="000000" w:fill="auto"/>
          </w:tcPr>
          <w:p w:rsidR="00B32D50" w:rsidRPr="00BA3D25" w:rsidRDefault="00B32D50" w:rsidP="00F17BC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 xml:space="preserve">As at </w:t>
            </w:r>
            <w:r>
              <w:rPr>
                <w:rFonts w:eastAsiaTheme="minorEastAsia" w:cs="Calibri"/>
                <w:iCs/>
                <w:color w:val="FFFFFF"/>
                <w:szCs w:val="19"/>
                <w:lang w:eastAsia="en-AU"/>
              </w:rPr>
              <w:br/>
              <w:t>Oct 2018</w:t>
            </w:r>
          </w:p>
        </w:tc>
        <w:tc>
          <w:tcPr>
            <w:tcW w:w="1531" w:type="dxa"/>
            <w:tcBorders>
              <w:top w:val="nil"/>
              <w:left w:val="nil"/>
              <w:right w:val="nil"/>
            </w:tcBorders>
            <w:shd w:val="solid" w:color="000000" w:fill="auto"/>
          </w:tcPr>
          <w:p w:rsidR="00B32D50" w:rsidRPr="00BA3D25" w:rsidRDefault="00B32D50" w:rsidP="00F17BCD">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9"/>
                <w:lang w:eastAsia="en-AU"/>
              </w:rPr>
            </w:pPr>
            <w:r w:rsidRPr="00BA3D25">
              <w:rPr>
                <w:rFonts w:eastAsiaTheme="minorEastAsia" w:cs="Calibri"/>
                <w:iCs/>
                <w:color w:val="FFFFFF"/>
                <w:szCs w:val="19"/>
                <w:lang w:eastAsia="en-AU"/>
              </w:rPr>
              <w:t xml:space="preserve">Published budget </w:t>
            </w:r>
            <w:r>
              <w:rPr>
                <w:rFonts w:eastAsiaTheme="minorEastAsia" w:cs="Calibri"/>
                <w:iCs/>
                <w:color w:val="FFFFFF"/>
                <w:szCs w:val="19"/>
                <w:lang w:eastAsia="en-AU"/>
              </w:rPr>
              <w:br/>
            </w:r>
            <w:r w:rsidRPr="00BA3D25">
              <w:rPr>
                <w:rFonts w:eastAsiaTheme="minorEastAsia" w:cs="Calibri"/>
                <w:iCs/>
                <w:color w:val="FFFFFF"/>
                <w:szCs w:val="19"/>
                <w:lang w:eastAsia="en-AU"/>
              </w:rPr>
              <w:t xml:space="preserve">estimate </w:t>
            </w:r>
            <w:r w:rsidRPr="00BA3D25">
              <w:rPr>
                <w:rFonts w:eastAsiaTheme="minorEastAsia" w:cs="Calibri"/>
                <w:iCs/>
                <w:color w:val="FFFFFF"/>
                <w:szCs w:val="19"/>
                <w:vertAlign w:val="superscript"/>
                <w:lang w:eastAsia="en-AU"/>
              </w:rPr>
              <w:t>(a)</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B32D50" w:rsidRPr="00BA3D25" w:rsidRDefault="00B32D50" w:rsidP="00F17BCD">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Guarantees, indemnities and warranties</w:t>
            </w:r>
          </w:p>
        </w:tc>
        <w:tc>
          <w:tcPr>
            <w:tcW w:w="992"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175</w:t>
            </w:r>
          </w:p>
        </w:tc>
        <w:tc>
          <w:tcPr>
            <w:tcW w:w="1531"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207</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B32D50" w:rsidRPr="00BA3D25" w:rsidRDefault="00B32D50" w:rsidP="00F17BCD">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Legal proceedings and disputes</w:t>
            </w:r>
          </w:p>
        </w:tc>
        <w:tc>
          <w:tcPr>
            <w:tcW w:w="992"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176</w:t>
            </w:r>
          </w:p>
        </w:tc>
        <w:tc>
          <w:tcPr>
            <w:tcW w:w="1531"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114</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B32D50" w:rsidRPr="00BA3D25" w:rsidRDefault="00B32D50" w:rsidP="00F17BCD">
            <w:pPr>
              <w:keepLines w:val="0"/>
              <w:autoSpaceDE w:val="0"/>
              <w:autoSpaceDN w:val="0"/>
              <w:adjustRightInd w:val="0"/>
              <w:rPr>
                <w:rFonts w:eastAsiaTheme="minorEastAsia" w:cs="Calibri"/>
                <w:color w:val="000000"/>
                <w:szCs w:val="19"/>
                <w:lang w:eastAsia="en-AU"/>
              </w:rPr>
            </w:pPr>
            <w:r w:rsidRPr="00BA3D25">
              <w:rPr>
                <w:rFonts w:eastAsiaTheme="minorEastAsia" w:cs="Calibri"/>
                <w:color w:val="000000"/>
                <w:szCs w:val="19"/>
                <w:lang w:eastAsia="en-AU"/>
              </w:rPr>
              <w:t>Other</w:t>
            </w:r>
          </w:p>
        </w:tc>
        <w:tc>
          <w:tcPr>
            <w:tcW w:w="992"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66</w:t>
            </w:r>
          </w:p>
        </w:tc>
        <w:tc>
          <w:tcPr>
            <w:tcW w:w="1531"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44</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244" w:type="dxa"/>
            <w:tcBorders>
              <w:top w:val="nil"/>
              <w:left w:val="nil"/>
              <w:bottom w:val="nil"/>
              <w:right w:val="nil"/>
            </w:tcBorders>
          </w:tcPr>
          <w:p w:rsidR="00B32D50" w:rsidRPr="00BA3D25" w:rsidRDefault="00B32D50" w:rsidP="00F17BCD">
            <w:pPr>
              <w:keepLines w:val="0"/>
              <w:autoSpaceDE w:val="0"/>
              <w:autoSpaceDN w:val="0"/>
              <w:adjustRightInd w:val="0"/>
              <w:rPr>
                <w:rFonts w:eastAsiaTheme="minorEastAsia" w:cs="Calibri"/>
                <w:color w:val="000000"/>
                <w:szCs w:val="19"/>
                <w:vertAlign w:val="superscript"/>
                <w:lang w:eastAsia="en-AU"/>
              </w:rPr>
            </w:pPr>
            <w:r w:rsidRPr="00BA3D25">
              <w:rPr>
                <w:rFonts w:eastAsiaTheme="minorEastAsia" w:cs="Calibri"/>
                <w:color w:val="000000"/>
                <w:szCs w:val="19"/>
                <w:lang w:eastAsia="en-AU"/>
              </w:rPr>
              <w:t xml:space="preserve">Non-general government debt </w:t>
            </w:r>
            <w:r w:rsidRPr="00BA3D25">
              <w:rPr>
                <w:rFonts w:eastAsiaTheme="minorEastAsia" w:cs="Calibri"/>
                <w:color w:val="000000"/>
                <w:szCs w:val="19"/>
                <w:vertAlign w:val="superscript"/>
                <w:lang w:eastAsia="en-AU"/>
              </w:rPr>
              <w:t>(b)</w:t>
            </w:r>
          </w:p>
        </w:tc>
        <w:tc>
          <w:tcPr>
            <w:tcW w:w="992"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12 036</w:t>
            </w:r>
          </w:p>
        </w:tc>
        <w:tc>
          <w:tcPr>
            <w:tcW w:w="1531" w:type="dxa"/>
            <w:tcBorders>
              <w:top w:val="nil"/>
              <w:left w:val="nil"/>
              <w:bottom w:val="nil"/>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9"/>
                <w:lang w:eastAsia="en-AU"/>
              </w:rPr>
            </w:pPr>
            <w:r>
              <w:rPr>
                <w:rFonts w:eastAsiaTheme="minorEastAsia" w:cs="Calibri"/>
                <w:color w:val="000000"/>
                <w:szCs w:val="19"/>
                <w:lang w:eastAsia="en-AU"/>
              </w:rPr>
              <w:t>11 611</w:t>
            </w:r>
          </w:p>
        </w:tc>
      </w:tr>
      <w:tr w:rsidR="00B32D50" w:rsidRPr="00BA3D25" w:rsidTr="00F17BCD">
        <w:tc>
          <w:tcPr>
            <w:cnfStyle w:val="001000000000" w:firstRow="0" w:lastRow="0" w:firstColumn="1" w:lastColumn="0" w:oddVBand="0" w:evenVBand="0" w:oddHBand="0" w:evenHBand="0" w:firstRowFirstColumn="0" w:firstRowLastColumn="0" w:lastRowFirstColumn="0" w:lastRowLastColumn="0"/>
            <w:tcW w:w="5244" w:type="dxa"/>
            <w:tcBorders>
              <w:top w:val="single" w:sz="6" w:space="0" w:color="auto"/>
              <w:left w:val="nil"/>
              <w:bottom w:val="single" w:sz="12" w:space="0" w:color="auto"/>
              <w:right w:val="nil"/>
            </w:tcBorders>
          </w:tcPr>
          <w:p w:rsidR="00B32D50" w:rsidRPr="00BA3D25" w:rsidRDefault="00B32D50" w:rsidP="00F17BCD">
            <w:pPr>
              <w:keepLines w:val="0"/>
              <w:autoSpaceDE w:val="0"/>
              <w:autoSpaceDN w:val="0"/>
              <w:adjustRightInd w:val="0"/>
              <w:rPr>
                <w:rFonts w:eastAsiaTheme="minorEastAsia" w:cs="Calibri"/>
                <w:b/>
                <w:bCs/>
                <w:color w:val="000000"/>
                <w:szCs w:val="19"/>
                <w:lang w:eastAsia="en-AU"/>
              </w:rPr>
            </w:pPr>
            <w:r w:rsidRPr="00BA3D25">
              <w:rPr>
                <w:rFonts w:eastAsiaTheme="minorEastAsia" w:cs="Calibri"/>
                <w:b/>
                <w:bCs/>
                <w:color w:val="000000"/>
                <w:szCs w:val="19"/>
                <w:lang w:eastAsia="en-AU"/>
              </w:rPr>
              <w:t>Total contingent liabilities</w:t>
            </w:r>
          </w:p>
        </w:tc>
        <w:tc>
          <w:tcPr>
            <w:tcW w:w="992" w:type="dxa"/>
            <w:tcBorders>
              <w:top w:val="single" w:sz="6" w:space="0" w:color="auto"/>
              <w:left w:val="nil"/>
              <w:bottom w:val="single" w:sz="12" w:space="0" w:color="auto"/>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12 453</w:t>
            </w:r>
          </w:p>
        </w:tc>
        <w:tc>
          <w:tcPr>
            <w:tcW w:w="1531" w:type="dxa"/>
            <w:tcBorders>
              <w:top w:val="single" w:sz="6" w:space="0" w:color="auto"/>
              <w:left w:val="nil"/>
              <w:bottom w:val="single" w:sz="12" w:space="0" w:color="auto"/>
              <w:right w:val="nil"/>
            </w:tcBorders>
          </w:tcPr>
          <w:p w:rsidR="00B32D50" w:rsidRPr="00BA3D25"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9"/>
                <w:lang w:eastAsia="en-AU"/>
              </w:rPr>
            </w:pPr>
            <w:r>
              <w:rPr>
                <w:rFonts w:eastAsiaTheme="minorEastAsia" w:cs="Calibri"/>
                <w:b/>
                <w:bCs/>
                <w:color w:val="000000"/>
                <w:szCs w:val="19"/>
                <w:lang w:eastAsia="en-AU"/>
              </w:rPr>
              <w:t>11 976</w:t>
            </w:r>
          </w:p>
        </w:tc>
      </w:tr>
    </w:tbl>
    <w:p w:rsidR="00B32D50" w:rsidRDefault="00B32D50" w:rsidP="00F17BCD">
      <w:pPr>
        <w:pStyle w:val="Source"/>
      </w:pPr>
      <w:r>
        <w:t>Source: Department of Treasury and Finance</w:t>
      </w:r>
    </w:p>
    <w:p w:rsidR="00B32D50" w:rsidRDefault="00B32D50" w:rsidP="00F17BCD">
      <w:pPr>
        <w:pStyle w:val="Note"/>
      </w:pPr>
      <w:r>
        <w:t>Notes:</w:t>
      </w:r>
    </w:p>
    <w:p w:rsidR="00B32D50" w:rsidRDefault="00B32D50" w:rsidP="00F17BCD">
      <w:pPr>
        <w:pStyle w:val="Note"/>
      </w:pPr>
      <w:r>
        <w:t>(a)</w:t>
      </w:r>
      <w:r>
        <w:tab/>
        <w:t xml:space="preserve">As published in the </w:t>
      </w:r>
      <w:r w:rsidRPr="007A5E4A">
        <w:rPr>
          <w:i w:val="0"/>
        </w:rPr>
        <w:t>201</w:t>
      </w:r>
      <w:r>
        <w:rPr>
          <w:i w:val="0"/>
        </w:rPr>
        <w:t>8-19</w:t>
      </w:r>
      <w:r w:rsidRPr="007A5E4A">
        <w:rPr>
          <w:i w:val="0"/>
        </w:rPr>
        <w:t xml:space="preserve"> Budget</w:t>
      </w:r>
      <w:r>
        <w:t>.</w:t>
      </w:r>
    </w:p>
    <w:p w:rsidR="00B32D50" w:rsidRDefault="00B32D50" w:rsidP="00F17BCD">
      <w:pPr>
        <w:pStyle w:val="Note"/>
      </w:pPr>
      <w:r>
        <w:t>(b)</w:t>
      </w:r>
      <w:r>
        <w:tab/>
        <w:t>Mainly represents the guarantee of borrowings provided by the Treasurer for the public sector borrowings portfolio.</w:t>
      </w:r>
    </w:p>
    <w:p w:rsidR="00B32D50" w:rsidRDefault="00B32D50">
      <w:pPr>
        <w:keepLines w:val="0"/>
        <w:rPr>
          <w:rFonts w:asciiTheme="majorHAnsi" w:eastAsiaTheme="majorEastAsia" w:hAnsiTheme="majorHAnsi" w:cstheme="majorBidi"/>
          <w:b/>
          <w:spacing w:val="-2"/>
          <w:sz w:val="26"/>
          <w:szCs w:val="26"/>
        </w:rPr>
      </w:pPr>
      <w:r>
        <w:br w:type="page"/>
      </w:r>
    </w:p>
    <w:p w:rsidR="00B32D50" w:rsidRDefault="00B32D50" w:rsidP="00F17BCD">
      <w:pPr>
        <w:pStyle w:val="Heading20"/>
      </w:pPr>
      <w:r>
        <w:lastRenderedPageBreak/>
        <w:t>Non-quantifiable contingent liabilities</w:t>
      </w:r>
    </w:p>
    <w:p w:rsidR="00B32D50" w:rsidRDefault="00B32D50" w:rsidP="00F17BCD">
      <w:r>
        <w:t>A number of potential obligations are non-quantifiable at this time arising from:</w:t>
      </w:r>
    </w:p>
    <w:p w:rsidR="00B32D50" w:rsidRPr="00BC5659" w:rsidRDefault="00B32D50" w:rsidP="00B32D50">
      <w:pPr>
        <w:pStyle w:val="ListBullet"/>
        <w:numPr>
          <w:ilvl w:val="0"/>
          <w:numId w:val="22"/>
        </w:numPr>
      </w:pPr>
      <w:r w:rsidRPr="00BC5659">
        <w:t>indemnities relatin</w:t>
      </w:r>
      <w:r>
        <w:t>g</w:t>
      </w:r>
      <w:r w:rsidRPr="00BC5659">
        <w:t xml:space="preserve"> to transactions, including financial arrangements and consultancy services, as well as for directors and administrators;</w:t>
      </w:r>
    </w:p>
    <w:p w:rsidR="00B32D50" w:rsidRPr="00BC5659" w:rsidRDefault="00B32D50" w:rsidP="00B32D50">
      <w:pPr>
        <w:pStyle w:val="ListBullet"/>
        <w:numPr>
          <w:ilvl w:val="0"/>
          <w:numId w:val="22"/>
        </w:numPr>
      </w:pPr>
      <w:r w:rsidRPr="00BC5659">
        <w:t>performance guarantees, warranties, letters of comfort and the like;</w:t>
      </w:r>
    </w:p>
    <w:p w:rsidR="00B32D50" w:rsidRPr="00BC5659" w:rsidRDefault="00B32D50" w:rsidP="00B32D50">
      <w:pPr>
        <w:pStyle w:val="ListBullet"/>
        <w:numPr>
          <w:ilvl w:val="0"/>
          <w:numId w:val="22"/>
        </w:numPr>
      </w:pPr>
      <w:r w:rsidRPr="00BC5659">
        <w:t>deeds in respect of certain obligations; and</w:t>
      </w:r>
    </w:p>
    <w:p w:rsidR="00B32D50" w:rsidRPr="00BC5659" w:rsidRDefault="00B32D50" w:rsidP="00B32D50">
      <w:pPr>
        <w:pStyle w:val="ListBullet"/>
        <w:numPr>
          <w:ilvl w:val="0"/>
          <w:numId w:val="22"/>
        </w:numPr>
      </w:pPr>
      <w:r w:rsidRPr="00BC5659">
        <w:t>unclaimed monies, which may be subject to future claims by the general public against the State.</w:t>
      </w:r>
    </w:p>
    <w:p w:rsidR="00B32D50" w:rsidRDefault="00B32D50" w:rsidP="00F17BCD">
      <w:r>
        <w:t>An overview of the more significant non-quantifiable liabilities follows.</w:t>
      </w:r>
    </w:p>
    <w:p w:rsidR="00B32D50" w:rsidRPr="00316FB2" w:rsidRDefault="00B32D50" w:rsidP="00F17BCD">
      <w:pPr>
        <w:pStyle w:val="Heading30"/>
      </w:pPr>
      <w:r w:rsidRPr="00316FB2">
        <w:t>AgriBio Centre for AgriBioscience (formerly known as The Biosciences Research Centre)</w:t>
      </w:r>
    </w:p>
    <w:p w:rsidR="00B32D50" w:rsidRDefault="00B32D50" w:rsidP="00F17BCD">
      <w:r>
        <w:t>The quarterly service fee payment obligations of the AgriBio Centre for AgriBioscience on behalf of the joint venture participants (Department of Economic Development, Jobs, Transport and Resources, and La Trobe University) are backed by the State of Victoria under a State Support Deed. Under this Deed, the State ensures the joint venture participants have severally the financial capacity to meet their payment obligations to Biosciences Research Centre Pty Ltd (BRC), thereby enabling BRC to meet its obligations to pay the service fee to the concessionaire pursuant to the project agreement. The State underwrites the risk of any default by BRC.</w:t>
      </w:r>
    </w:p>
    <w:p w:rsidR="00B32D50" w:rsidRPr="00811966" w:rsidRDefault="00B32D50" w:rsidP="00F17BCD">
      <w:pPr>
        <w:pStyle w:val="Heading30"/>
      </w:pPr>
      <w:r w:rsidRPr="00811966">
        <w:t>Cladding re</w:t>
      </w:r>
      <w:r>
        <w:t>ctification works – g</w:t>
      </w:r>
      <w:r w:rsidRPr="00811966">
        <w:t xml:space="preserve">overnment buildings </w:t>
      </w:r>
    </w:p>
    <w:p w:rsidR="00B32D50" w:rsidRPr="00811966" w:rsidRDefault="00B32D50" w:rsidP="00F17BCD">
      <w:r w:rsidRPr="00811966">
        <w:t>The 2014 fire at the Lacrosse apartment building in Melbourne’s Docklands</w:t>
      </w:r>
      <w:r>
        <w:t>,</w:t>
      </w:r>
      <w:r w:rsidRPr="00811966">
        <w:t xml:space="preserve"> and the Grenfell fire in London in June 2017, highlighted the fire safety r</w:t>
      </w:r>
      <w:r>
        <w:t>isks from the non</w:t>
      </w:r>
      <w:r>
        <w:noBreakHyphen/>
      </w:r>
      <w:r w:rsidRPr="00811966">
        <w:t>compliant use of exterior cladding on buildings. Subsequent investigations have highlighted that dangerous materials are widely used on buildings throughout Victoria.</w:t>
      </w:r>
    </w:p>
    <w:p w:rsidR="00B32D50" w:rsidRPr="00811966" w:rsidRDefault="00B32D50" w:rsidP="005310BA">
      <w:pPr>
        <w:ind w:right="-227"/>
      </w:pPr>
      <w:r w:rsidRPr="00811966">
        <w:t xml:space="preserve">The Victorian Government Cladding Taskforce is </w:t>
      </w:r>
      <w:r w:rsidR="005310BA">
        <w:t>investigating the extent of non</w:t>
      </w:r>
      <w:r w:rsidR="005310BA">
        <w:noBreakHyphen/>
      </w:r>
      <w:r w:rsidRPr="00811966">
        <w:t>compliant cladding on all buildings state-wide.</w:t>
      </w:r>
    </w:p>
    <w:p w:rsidR="00B32D50" w:rsidRPr="00811966" w:rsidRDefault="00B32D50" w:rsidP="00F17BCD">
      <w:r w:rsidRPr="00811966">
        <w:t>On behalf of the Cladding Taskforce, the Victorian Building Authority is undertaking a whole of government building audit to assess the extent of non-compl</w:t>
      </w:r>
      <w:r>
        <w:t>iant cladding on all government-</w:t>
      </w:r>
      <w:r w:rsidRPr="00811966">
        <w:t xml:space="preserve">owned buildings. </w:t>
      </w:r>
    </w:p>
    <w:p w:rsidR="00B32D50" w:rsidRPr="00811966" w:rsidRDefault="00B32D50" w:rsidP="00F17BCD">
      <w:r w:rsidRPr="00811966">
        <w:t>The building audit has id</w:t>
      </w:r>
      <w:r>
        <w:t>entified a number of government-</w:t>
      </w:r>
      <w:r w:rsidRPr="00811966">
        <w:t>owned buildings that may require rectification.</w:t>
      </w:r>
      <w:r>
        <w:t xml:space="preserve"> These buildings are being risk-</w:t>
      </w:r>
      <w:r w:rsidRPr="00811966">
        <w:t>assessed to inform the extent of rectification works required. The expected cost for rectifying the non-compliant cladding is unknown at this time</w:t>
      </w:r>
      <w:r>
        <w:t>.</w:t>
      </w:r>
    </w:p>
    <w:p w:rsidR="00B32D50" w:rsidRDefault="00B32D50">
      <w:pPr>
        <w:keepLines w:val="0"/>
        <w:rPr>
          <w:rFonts w:asciiTheme="majorHAnsi" w:eastAsiaTheme="majorEastAsia" w:hAnsiTheme="majorHAnsi" w:cstheme="majorBidi"/>
          <w:b/>
          <w:bCs/>
          <w:spacing w:val="-2"/>
          <w:szCs w:val="26"/>
        </w:rPr>
      </w:pPr>
      <w:r>
        <w:br w:type="page"/>
      </w:r>
    </w:p>
    <w:p w:rsidR="00B32D50" w:rsidRPr="00316FB2" w:rsidRDefault="00B32D50" w:rsidP="00F17BCD">
      <w:pPr>
        <w:pStyle w:val="Heading30"/>
      </w:pPr>
      <w:r w:rsidRPr="00316FB2">
        <w:lastRenderedPageBreak/>
        <w:t>Department of Education and Training</w:t>
      </w:r>
    </w:p>
    <w:p w:rsidR="00B32D50" w:rsidRDefault="00B32D50" w:rsidP="00F17BCD">
      <w:r>
        <w:t>The Department has a number of unquantifiable contingent liabilities, arising from indemnities provided by it, as follows:</w:t>
      </w:r>
    </w:p>
    <w:p w:rsidR="00B32D50" w:rsidRDefault="00B32D50" w:rsidP="00B32D50">
      <w:pPr>
        <w:pStyle w:val="ListBullet"/>
        <w:numPr>
          <w:ilvl w:val="0"/>
          <w:numId w:val="22"/>
        </w:numPr>
      </w:pPr>
      <w:r>
        <w:t xml:space="preserve">volunteer school workers and volunteer student workers: the </w:t>
      </w:r>
      <w:r w:rsidRPr="00BB4C88">
        <w:rPr>
          <w:i/>
        </w:rPr>
        <w:t>Education and Training Reform Act 2006</w:t>
      </w:r>
      <w:r>
        <w:t xml:space="preserve"> provides a specific indemnity for personal injuries suffered by volunteer school workers and volunteer student workers arising out of or in the course of engaging in school work or community work respectively;</w:t>
      </w:r>
    </w:p>
    <w:p w:rsidR="00B32D50" w:rsidRDefault="00B32D50" w:rsidP="00B32D50">
      <w:pPr>
        <w:pStyle w:val="ListBullet"/>
        <w:numPr>
          <w:ilvl w:val="0"/>
          <w:numId w:val="22"/>
        </w:numPr>
      </w:pPr>
      <w:r>
        <w:t>teachers: if a teacher is named as a defendant in a student personal injury claim, any costs and damages will generally be paid by the Department provided the teacher was not under the influence of illicit drugs or alcohol or engaging in a criminal offence and the behaviour was not outrageous and was related to their employment;</w:t>
      </w:r>
    </w:p>
    <w:p w:rsidR="00B32D50" w:rsidRDefault="00B32D50" w:rsidP="00B32D50">
      <w:pPr>
        <w:pStyle w:val="ListBullet"/>
        <w:numPr>
          <w:ilvl w:val="0"/>
          <w:numId w:val="22"/>
        </w:numPr>
      </w:pPr>
      <w:r w:rsidRPr="00477BD6">
        <w:t>members of</w:t>
      </w:r>
      <w:r>
        <w:t xml:space="preserve"> school councils: the </w:t>
      </w:r>
      <w:r w:rsidRPr="00BB4C88">
        <w:rPr>
          <w:i/>
        </w:rPr>
        <w:t>Education and Training Reform Act 2006</w:t>
      </w:r>
      <w:r>
        <w:t xml:space="preserve"> requires the Department to indemnify individual members of schools councils for any legal liability, whether in contract, negligence or defamation, if they acted in good faith and in the course of their duties; and </w:t>
      </w:r>
    </w:p>
    <w:p w:rsidR="00B32D50" w:rsidRDefault="00B32D50" w:rsidP="005310BA">
      <w:pPr>
        <w:pStyle w:val="ListBullet"/>
        <w:numPr>
          <w:ilvl w:val="0"/>
          <w:numId w:val="22"/>
        </w:numPr>
        <w:ind w:right="-369"/>
      </w:pPr>
      <w:r w:rsidRPr="00477BD6">
        <w:t>school councils:</w:t>
      </w:r>
      <w:r>
        <w:t xml:space="preserve"> the Department may decide to indemnify school councils (which are separate entities to the Department), in claims of common law negligence, and often employment disputes, for the cost of settlement and legal representation. The Department will take into account the impact of payment upon the school’s educational program and any insurance cover for the school council, and will likely indemnify if the Department is satisfied that: </w:t>
      </w:r>
    </w:p>
    <w:p w:rsidR="00B32D50" w:rsidRDefault="00B32D50" w:rsidP="00B32D50">
      <w:pPr>
        <w:pStyle w:val="ListBullet2"/>
        <w:numPr>
          <w:ilvl w:val="1"/>
          <w:numId w:val="22"/>
        </w:numPr>
      </w:pPr>
      <w:r>
        <w:t>the school council acted in good faith and according to issued guidelines and directions; and</w:t>
      </w:r>
    </w:p>
    <w:p w:rsidR="00B32D50" w:rsidRDefault="00B32D50" w:rsidP="00B32D50">
      <w:pPr>
        <w:pStyle w:val="ListBullet2"/>
        <w:numPr>
          <w:ilvl w:val="1"/>
          <w:numId w:val="22"/>
        </w:numPr>
      </w:pPr>
      <w:r>
        <w:t>the school council has insufficient funds to pay the claim.</w:t>
      </w:r>
    </w:p>
    <w:p w:rsidR="00B32D50" w:rsidRPr="00587431" w:rsidRDefault="00B32D50" w:rsidP="00F17BCD">
      <w:pPr>
        <w:pStyle w:val="Heading30"/>
      </w:pPr>
      <w:r w:rsidRPr="00587431">
        <w:t>National redress scheme – sexual abuse of children in institutions</w:t>
      </w:r>
    </w:p>
    <w:p w:rsidR="00B32D50" w:rsidRPr="00587431" w:rsidRDefault="00B32D50" w:rsidP="00F17BCD">
      <w:pPr>
        <w:ind w:right="-227"/>
      </w:pPr>
      <w:r w:rsidRPr="00587431">
        <w:t xml:space="preserve">On 13 June 2018, the </w:t>
      </w:r>
      <w:r w:rsidRPr="00587431">
        <w:rPr>
          <w:i/>
        </w:rPr>
        <w:t>National Redress Scheme for Institutional Child Sexual Abuse (Commonwealth Powers) Act 2018 (Vic)</w:t>
      </w:r>
      <w:r w:rsidRPr="00587431">
        <w:t xml:space="preserve"> commenced. The Act refers powers to the Commonwealth Parliament to ensure that Victorian institutions can participate in the National Redress Scheme. The National Redress Scheme commenced on 1 July 2018 and will run for 10 years. The scheme will deliver a financial payment of up to $150 000, access to psychological counselling and an apology from the responsible institution to eligible survivors of institutional child abuse. This implements a recommendation of the Victorian Parliamentary Inquiry Betrayal of Trust report and the Royal Commission into Institutional Responses to Child Sexual Abuse. </w:t>
      </w:r>
    </w:p>
    <w:p w:rsidR="00B32D50" w:rsidRDefault="00B32D50" w:rsidP="00F17BCD">
      <w:r w:rsidRPr="00587431">
        <w:t xml:space="preserve">The Government has set aside funding in the budget estimates over the next </w:t>
      </w:r>
      <w:r>
        <w:t>10</w:t>
      </w:r>
      <w:r w:rsidRPr="00587431">
        <w:t xml:space="preserve"> years for redress. Due to the historical nature of the abuse in question, the precise number of eligible survivors of abuse is difficult to estimate. Consequently, the exact financial implications for Victoria remain uncertain.</w:t>
      </w:r>
    </w:p>
    <w:p w:rsidR="00B32D50" w:rsidRDefault="00B32D50">
      <w:pPr>
        <w:keepLines w:val="0"/>
        <w:rPr>
          <w:rFonts w:asciiTheme="majorHAnsi" w:eastAsiaTheme="majorEastAsia" w:hAnsiTheme="majorHAnsi" w:cstheme="majorBidi"/>
          <w:b/>
          <w:bCs/>
          <w:spacing w:val="-2"/>
          <w:szCs w:val="26"/>
        </w:rPr>
      </w:pPr>
      <w:r>
        <w:br w:type="page"/>
      </w:r>
    </w:p>
    <w:p w:rsidR="00B32D50" w:rsidRPr="00316FB2" w:rsidRDefault="00B32D50" w:rsidP="00F17BCD">
      <w:pPr>
        <w:pStyle w:val="Heading30"/>
      </w:pPr>
      <w:r w:rsidRPr="00316FB2">
        <w:lastRenderedPageBreak/>
        <w:t xml:space="preserve">Public acquisition overlays for the future development of rail and road infrastructure </w:t>
      </w:r>
    </w:p>
    <w:p w:rsidR="00B32D50" w:rsidRDefault="00B32D50" w:rsidP="00F17BCD">
      <w:r>
        <w:t xml:space="preserve">Public acquisition overlays are in place to reserve certain areas of land for future development of rail and road infrastructure. Under section 98 of the </w:t>
      </w:r>
      <w:r w:rsidRPr="00BB4C88">
        <w:rPr>
          <w:i/>
        </w:rPr>
        <w:t>Planning and Environment Act 1987</w:t>
      </w:r>
      <w:r>
        <w:t>, the State has a legislative responsibility to compensate eligible land and property owners who face either:</w:t>
      </w:r>
    </w:p>
    <w:p w:rsidR="00B32D50" w:rsidRPr="001A2FAA" w:rsidRDefault="00B32D50" w:rsidP="00B32D50">
      <w:pPr>
        <w:pStyle w:val="ListBullet"/>
        <w:numPr>
          <w:ilvl w:val="0"/>
          <w:numId w:val="22"/>
        </w:numPr>
      </w:pPr>
      <w:r w:rsidRPr="001A2FAA">
        <w:t>loss on sale – an eligible landowner is entitled to compensation for the incremental loss on sale when a property affected by a public acquisition overlay is sold for less than its market value; or</w:t>
      </w:r>
    </w:p>
    <w:p w:rsidR="00B32D50" w:rsidRPr="001A2FAA" w:rsidRDefault="00B32D50" w:rsidP="00B32D50">
      <w:pPr>
        <w:pStyle w:val="ListBullet"/>
        <w:numPr>
          <w:ilvl w:val="0"/>
          <w:numId w:val="22"/>
        </w:numPr>
      </w:pPr>
      <w:r w:rsidRPr="001A2FAA">
        <w:t>financial loss – the entitlement to financial loss compensation is triggered when a development permit is refused because the property is required for a public purpose.</w:t>
      </w:r>
    </w:p>
    <w:p w:rsidR="00B32D50" w:rsidRDefault="00B32D50" w:rsidP="00F17BCD">
      <w:r w:rsidRPr="001A2FAA">
        <w:t>Compensation and purchase claims occur as a result of claims by land owners. The future liability depends on factors including the number of claims received and the prevailing value of land at the time the claim is made, which cannot be reliably quantified.</w:t>
      </w:r>
    </w:p>
    <w:p w:rsidR="00B32D50" w:rsidRPr="00385625" w:rsidRDefault="00B32D50" w:rsidP="00F17BCD">
      <w:pPr>
        <w:pStyle w:val="Heading4"/>
      </w:pPr>
      <w:r w:rsidRPr="00CE2D65">
        <w:rPr>
          <w:b/>
          <w:bCs/>
          <w:i w:val="0"/>
          <w:iCs w:val="0"/>
          <w:spacing w:val="-2"/>
        </w:rPr>
        <w:t>Public transport rail partnership agreements</w:t>
      </w:r>
    </w:p>
    <w:p w:rsidR="00B32D50" w:rsidRDefault="00B32D50" w:rsidP="00F17BCD">
      <w:r>
        <w:t xml:space="preserve">Public Transport Victoria (PTV) is party to contractual arrangements with franchisees to operate metropolitan rail transport services across the State, from </w:t>
      </w:r>
      <w:r w:rsidRPr="00790AC1">
        <w:t>30 November 2017 until 30 November 2024. The major contingent liabilities arising in the event of early termination or expiry of the contract are:</w:t>
      </w:r>
    </w:p>
    <w:p w:rsidR="00B32D50" w:rsidRPr="00CE2D65" w:rsidRDefault="00B32D50" w:rsidP="00F17BCD">
      <w:pPr>
        <w:pStyle w:val="ListBullet"/>
      </w:pPr>
      <w:r w:rsidRPr="00CE2D65">
        <w:t>partnership assets – to maintain continuity of services, at early termination or expiry of the franchise contract, assets will revert to PTV or a successor. In the case of some assets, a reversion back to PTV would entail those assets being purchased; and</w:t>
      </w:r>
    </w:p>
    <w:p w:rsidR="00B32D50" w:rsidRPr="00CE2D65" w:rsidRDefault="00B32D50" w:rsidP="00F17BCD">
      <w:pPr>
        <w:pStyle w:val="ListBullet"/>
      </w:pPr>
      <w:r w:rsidRPr="00CE2D65">
        <w:t xml:space="preserve">unfunded superannuation – at the early termination or expiry of the contract, PTV will assume any unfunded superannuation amounts (apart from contributions the operator is required to pay over the contract term) to the extent that the State becomes the successor operator. </w:t>
      </w:r>
    </w:p>
    <w:p w:rsidR="00B32D50" w:rsidRPr="001A2FAA" w:rsidRDefault="00B32D50" w:rsidP="00F17BCD">
      <w:pPr>
        <w:pStyle w:val="Heading30"/>
      </w:pPr>
      <w:r w:rsidRPr="001A2FAA">
        <w:t>West Gate Tunnel Project</w:t>
      </w:r>
    </w:p>
    <w:p w:rsidR="00B32D50" w:rsidRPr="00FB5F80" w:rsidRDefault="00B32D50" w:rsidP="00F17BCD">
      <w:r w:rsidRPr="00FB5F80">
        <w:t>The State and the Transurban Group entered into a public private partnership contract for the Transurban Group to build, operate and maintain the West Gate Tunnel Project. The total estimated project cost is $6.7 billion (nominal).</w:t>
      </w:r>
    </w:p>
    <w:p w:rsidR="00B32D50" w:rsidRPr="00FB5F80" w:rsidRDefault="00B32D50" w:rsidP="00F17BCD">
      <w:r w:rsidRPr="00FB5F80">
        <w:t xml:space="preserve">Government policy is to fund the capital cost of the project from a State contribution of $2.7 billion (nominal), with the remainder of $4 billion (nominal) and ongoing operation and maintenance costs to be funded by Transurban from changes to tolling on the existing CityLink toll road and tolls on the West Gate Tunnel. This policy depends on obtaining the legislative support outlined in the contractual documents for implementing these toll changes. </w:t>
      </w:r>
    </w:p>
    <w:p w:rsidR="00B32D50" w:rsidRDefault="00B32D50" w:rsidP="00F17BCD">
      <w:pPr>
        <w:ind w:right="-227"/>
      </w:pPr>
      <w:r w:rsidRPr="00FB5F80">
        <w:t xml:space="preserve">Should legislative support for any of the proposed toll revenue streams not be forthcoming in the agreed form and timeframe, the contractual documents specify additional State funding to replace funding from the relevant toll revenue streams plus a rate of return on </w:t>
      </w:r>
      <w:r>
        <w:t xml:space="preserve">finances raised by Transurban. </w:t>
      </w:r>
    </w:p>
    <w:p w:rsidR="00B32D50" w:rsidRDefault="00B32D50" w:rsidP="00F17BCD">
      <w:pPr>
        <w:ind w:right="-227"/>
      </w:pPr>
    </w:p>
    <w:p w:rsidR="00B32D50" w:rsidRPr="00FB5F80" w:rsidRDefault="00B32D50" w:rsidP="00F17BCD">
      <w:pPr>
        <w:ind w:right="-227"/>
      </w:pPr>
      <w:r w:rsidRPr="00FB5F80">
        <w:lastRenderedPageBreak/>
        <w:t xml:space="preserve">Several variables may influence the value of any additional State funding which </w:t>
      </w:r>
      <w:r w:rsidRPr="00FB5F80">
        <w:rPr>
          <w:lang w:val="en-GB"/>
        </w:rPr>
        <w:t>will depend on:</w:t>
      </w:r>
    </w:p>
    <w:p w:rsidR="00B32D50" w:rsidRPr="00FB5F80" w:rsidRDefault="00B32D50" w:rsidP="00F17BCD">
      <w:pPr>
        <w:pStyle w:val="ListBullet"/>
        <w:spacing w:before="40"/>
      </w:pPr>
      <w:r w:rsidRPr="00FB5F80">
        <w:t>the extent and form of legislation that is obtained in relation to tolling the West Gate Tunnel;</w:t>
      </w:r>
    </w:p>
    <w:p w:rsidR="00B32D50" w:rsidRPr="00FB5F80" w:rsidRDefault="00B32D50" w:rsidP="00F17BCD">
      <w:pPr>
        <w:numPr>
          <w:ilvl w:val="0"/>
          <w:numId w:val="7"/>
        </w:numPr>
        <w:spacing w:before="40"/>
      </w:pPr>
      <w:r w:rsidRPr="00FB5F80">
        <w:t>the extent and form of amendments to the current CityLink Concession Deed (including those that give effect to changes to the current tolling arrangements) that are approved by Parliament;</w:t>
      </w:r>
    </w:p>
    <w:p w:rsidR="00B32D50" w:rsidRPr="00FB5F80" w:rsidRDefault="00B32D50" w:rsidP="00F17BCD">
      <w:pPr>
        <w:numPr>
          <w:ilvl w:val="0"/>
          <w:numId w:val="7"/>
        </w:numPr>
        <w:spacing w:before="40"/>
      </w:pPr>
      <w:r w:rsidRPr="00FB5F80">
        <w:t>the timing of the above legislation and parliamentary approval;</w:t>
      </w:r>
    </w:p>
    <w:p w:rsidR="00B32D50" w:rsidRPr="00FB5F80" w:rsidRDefault="00B32D50" w:rsidP="00F17BCD">
      <w:pPr>
        <w:numPr>
          <w:ilvl w:val="0"/>
          <w:numId w:val="7"/>
        </w:numPr>
        <w:spacing w:before="40"/>
      </w:pPr>
      <w:r w:rsidRPr="00FB5F80">
        <w:t>the date construction completion is achieved (and whether any completion delays are due to the State’s or Project Co’s risks);</w:t>
      </w:r>
    </w:p>
    <w:p w:rsidR="00B32D50" w:rsidRPr="00FB5F80" w:rsidRDefault="00B32D50" w:rsidP="00F17BCD">
      <w:pPr>
        <w:numPr>
          <w:ilvl w:val="0"/>
          <w:numId w:val="7"/>
        </w:numPr>
        <w:spacing w:before="40"/>
      </w:pPr>
      <w:r w:rsidRPr="00FB5F80">
        <w:t>the costs of the West Gate Tunnel Project that have been financed by the Transurban Group up to the point the legislative support is obtained; and</w:t>
      </w:r>
    </w:p>
    <w:p w:rsidR="00B32D50" w:rsidRPr="00FB5F80" w:rsidRDefault="00B32D50" w:rsidP="00F17BCD">
      <w:pPr>
        <w:numPr>
          <w:ilvl w:val="0"/>
          <w:numId w:val="7"/>
        </w:numPr>
        <w:spacing w:before="40"/>
      </w:pPr>
      <w:r w:rsidRPr="00FB5F80">
        <w:t>the impacts on expected traffic and toll revenue on CityLink and West Gate Tunnel resulting from the form of legislative support after the West Gate Tunnel is open to traffic.</w:t>
      </w:r>
    </w:p>
    <w:p w:rsidR="00B32D50" w:rsidRDefault="00B32D50" w:rsidP="00F17BCD">
      <w:pPr>
        <w:pStyle w:val="Heading30"/>
        <w:spacing w:before="200"/>
        <w:rPr>
          <w:rFonts w:asciiTheme="minorHAnsi" w:eastAsiaTheme="minorHAnsi" w:hAnsiTheme="minorHAnsi" w:cstheme="minorBidi"/>
          <w:b w:val="0"/>
          <w:bCs w:val="0"/>
          <w:spacing w:val="0"/>
          <w:szCs w:val="22"/>
        </w:rPr>
      </w:pPr>
      <w:r w:rsidRPr="00FB5F80">
        <w:rPr>
          <w:rFonts w:asciiTheme="minorHAnsi" w:eastAsiaTheme="minorHAnsi" w:hAnsiTheme="minorHAnsi" w:cstheme="minorBidi"/>
          <w:b w:val="0"/>
          <w:bCs w:val="0"/>
          <w:spacing w:val="0"/>
          <w:szCs w:val="22"/>
          <w:lang w:val="en-GB"/>
        </w:rPr>
        <w:t xml:space="preserve">The State and the Transurban Group will therefore be required to negotiate the applicable financial or commercial adjustments when the additional State funding is due to be paid. </w:t>
      </w:r>
      <w:r w:rsidRPr="00FB5F80">
        <w:rPr>
          <w:rFonts w:asciiTheme="minorHAnsi" w:eastAsiaTheme="minorHAnsi" w:hAnsiTheme="minorHAnsi" w:cstheme="minorBidi"/>
          <w:b w:val="0"/>
          <w:bCs w:val="0"/>
          <w:spacing w:val="0"/>
          <w:szCs w:val="22"/>
        </w:rPr>
        <w:t>Due to the significant number of variables and the high level of uncertainty, it is not feasible to reliably quantify an estimate of the likely additional State funding support at the date of this report.</w:t>
      </w:r>
      <w:r>
        <w:rPr>
          <w:rFonts w:asciiTheme="minorHAnsi" w:eastAsiaTheme="minorHAnsi" w:hAnsiTheme="minorHAnsi" w:cstheme="minorBidi"/>
          <w:b w:val="0"/>
          <w:bCs w:val="0"/>
          <w:spacing w:val="0"/>
          <w:szCs w:val="22"/>
        </w:rPr>
        <w:t xml:space="preserve"> </w:t>
      </w:r>
    </w:p>
    <w:p w:rsidR="00B32D50" w:rsidRPr="001A2FAA" w:rsidRDefault="00B32D50" w:rsidP="00F17BCD">
      <w:pPr>
        <w:pStyle w:val="Heading30"/>
        <w:spacing w:before="200"/>
      </w:pPr>
      <w:r w:rsidRPr="001A2FAA">
        <w:t xml:space="preserve">Fiskville independent investigation and closure of </w:t>
      </w:r>
      <w:r>
        <w:t xml:space="preserve">the </w:t>
      </w:r>
      <w:r w:rsidRPr="001A2FAA">
        <w:t>training college</w:t>
      </w:r>
    </w:p>
    <w:p w:rsidR="00B32D50" w:rsidRPr="001A2FAA" w:rsidRDefault="00B32D50" w:rsidP="00F17BCD">
      <w:r w:rsidRPr="001A2FAA">
        <w:t xml:space="preserve">An independent investigation was undertaken into the historical use of chemicals for live firefighting training at Fiskville Training College (Fiskville) between 1971 and 1999. The report of the independent investigation has been released and the Country Fire Authority (CFA) has accepted all of the facts, recommendations and conclusions and is committed to implementing all recommendations. </w:t>
      </w:r>
    </w:p>
    <w:p w:rsidR="00B32D50" w:rsidRPr="001A2FAA" w:rsidRDefault="00B32D50" w:rsidP="00F17BCD">
      <w:r w:rsidRPr="001A2FAA">
        <w:t xml:space="preserve">In August 2012, the CFA established a program office to manage the implementation of the report’s recommendations and an additional 11 management initiatives to which the CFA Board committed in its response to the report. </w:t>
      </w:r>
    </w:p>
    <w:p w:rsidR="00B32D50" w:rsidRPr="001A2FAA" w:rsidRDefault="00B32D50" w:rsidP="00F17BCD">
      <w:r w:rsidRPr="001A2FAA">
        <w:t>On 26 March 2015, the Government announced the permanent closure of Fiskville. Fiskville and Victorian Emergency Management Training Centre training grounds owned by CFA at Penshurst, Bangholme, West Sale, Wangaratta, Huntly, and Longerenong have been the subject of notices issued by the Environment Protection Agency (EPA).</w:t>
      </w:r>
    </w:p>
    <w:p w:rsidR="00B32D50" w:rsidRPr="001A2FAA" w:rsidRDefault="00B32D50" w:rsidP="00F17BCD">
      <w:pPr>
        <w:ind w:right="-369"/>
      </w:pPr>
      <w:r w:rsidRPr="001A2FAA">
        <w:t>The Government response to the Fiskville Inquiry was tabled in Parliament on 24</w:t>
      </w:r>
      <w:r>
        <w:t> </w:t>
      </w:r>
      <w:r w:rsidRPr="001A2FAA">
        <w:t>November</w:t>
      </w:r>
      <w:r>
        <w:t xml:space="preserve"> </w:t>
      </w:r>
      <w:r w:rsidRPr="001A2FAA">
        <w:t>2016. The response supports all of the 31 recommendations of the Victorian Parliamentary Inquiry into the CFA Training College at Fiskville, either in full, in principle or in part.</w:t>
      </w:r>
    </w:p>
    <w:p w:rsidR="00B32D50" w:rsidRPr="001A2FAA" w:rsidRDefault="00B32D50" w:rsidP="00F17BCD">
      <w:r w:rsidRPr="001A2FAA">
        <w:t>The CFA has a number of contingent liabilities arising from the closure of Fiskville and the notices issued by EPA. These relate to any further notices that may be issued by the EPA, any regulatory infringements that may be imposed by the EPA, compensation that may be sought, any legal claims that may be made, recommendations made by the Inquiry and the costs of relocating the Firefighters’ Memorial previously located at Fiskville.</w:t>
      </w:r>
    </w:p>
    <w:p w:rsidR="00B32D50" w:rsidRPr="001A2FAA" w:rsidRDefault="00B32D50" w:rsidP="00F17BCD">
      <w:r w:rsidRPr="001A2FAA">
        <w:t>At this stage it is impractical to quantify the financial effects of these contingent liabilities.</w:t>
      </w:r>
    </w:p>
    <w:p w:rsidR="00B32D50" w:rsidRPr="001A2FAA" w:rsidRDefault="00B32D50" w:rsidP="00F17BCD">
      <w:pPr>
        <w:pStyle w:val="Heading30"/>
      </w:pPr>
      <w:r w:rsidRPr="001A2FAA">
        <w:lastRenderedPageBreak/>
        <w:t>Compulsory property acquisitions</w:t>
      </w:r>
    </w:p>
    <w:p w:rsidR="00B32D50" w:rsidRPr="001A2FAA" w:rsidRDefault="00B32D50" w:rsidP="00F17BCD">
      <w:pPr>
        <w:ind w:right="-213"/>
      </w:pPr>
      <w:r w:rsidRPr="001A2FAA">
        <w:t xml:space="preserve">The State has compulsorily acquired a number of properties (residential and commercial) through the </w:t>
      </w:r>
      <w:r w:rsidRPr="001A2FAA">
        <w:rPr>
          <w:i/>
        </w:rPr>
        <w:t>Land Acquisition and Compensation Act 1986</w:t>
      </w:r>
      <w:r w:rsidRPr="001A2FAA">
        <w:t xml:space="preserve"> to facilitate delivery of various projects. Possible future claims for compensation arising from the compulsory acquisition of these properties cannot be quantified at this stage.</w:t>
      </w:r>
    </w:p>
    <w:p w:rsidR="00B32D50" w:rsidRPr="001A2FAA" w:rsidRDefault="00B32D50" w:rsidP="00F17BCD">
      <w:pPr>
        <w:pStyle w:val="Heading30"/>
      </w:pPr>
      <w:r w:rsidRPr="001A2FAA">
        <w:t>Land remediation – environmental concerns</w:t>
      </w:r>
    </w:p>
    <w:p w:rsidR="00B32D50" w:rsidRPr="001A2FAA" w:rsidRDefault="00B32D50" w:rsidP="00F17BCD">
      <w:r w:rsidRPr="001A2FAA">
        <w:t xml:space="preserve">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that a contamination risk is identified. </w:t>
      </w:r>
    </w:p>
    <w:p w:rsidR="00B32D50" w:rsidRPr="001A2FAA" w:rsidRDefault="00B32D50" w:rsidP="00F17BCD">
      <w:pPr>
        <w:pStyle w:val="Heading30"/>
      </w:pPr>
      <w:r w:rsidRPr="001A2FAA">
        <w:t>Native Title</w:t>
      </w:r>
    </w:p>
    <w:p w:rsidR="00B32D50" w:rsidRPr="001A2FAA" w:rsidRDefault="00B32D50" w:rsidP="00F17BCD">
      <w:r w:rsidRPr="001A2FAA">
        <w:t xml:space="preserve">A number of claims have been filed in the Federal Court under the Commonwealth </w:t>
      </w:r>
      <w:r w:rsidRPr="001A2FAA">
        <w:rPr>
          <w:i/>
        </w:rPr>
        <w:t>Native Title Act 1993</w:t>
      </w:r>
      <w:r w:rsidRPr="001A2FAA">
        <w:t xml:space="preserve"> that affect Victoria. It is not feasible at this time to quantify any future liability. </w:t>
      </w:r>
    </w:p>
    <w:p w:rsidR="00B32D50" w:rsidRPr="001A2FAA" w:rsidRDefault="00B32D50" w:rsidP="00F17BCD">
      <w:pPr>
        <w:pStyle w:val="Heading4"/>
      </w:pPr>
      <w:r w:rsidRPr="001A2FAA">
        <w:rPr>
          <w:b/>
          <w:bCs/>
          <w:i w:val="0"/>
          <w:iCs w:val="0"/>
          <w:spacing w:val="-2"/>
        </w:rPr>
        <w:t>Royal Melbourne Showgrounds redevelopment</w:t>
      </w:r>
    </w:p>
    <w:p w:rsidR="00B32D50" w:rsidRPr="001A2FAA" w:rsidRDefault="00B32D50" w:rsidP="00F17BCD">
      <w:r w:rsidRPr="001A2FAA">
        <w:t>Under the State’s commitment to the Royal Agriculture Society of Victoria (RASV), the State backs certain obligations of RASV that may arise out of the joint venture agreement between RASV and the State. Under the State’s commitment to RASV, the State will pay (in the form of a loan) the amount requested by RASV. If any outstanding loan amount remains unpaid at the date 25 years after the operation term has commenced, RASV will be obliged to satisfy the outstanding loan amount. This may take the form of a transfer to the State, of the whole of the RASV participating interest in the joint venture.</w:t>
      </w:r>
    </w:p>
    <w:p w:rsidR="00B32D50" w:rsidRPr="001A2FAA" w:rsidRDefault="00B32D50" w:rsidP="00F17BCD">
      <w:r w:rsidRPr="001A2FAA">
        <w:t xml:space="preserve">Under the State Support Deed – Core Land, the State has undertaken to ensure the performance of the payment obligations in favour of the Concessionaire and the performance of the joint venture financial obligations in favour of the security trustee. </w:t>
      </w:r>
    </w:p>
    <w:p w:rsidR="00B32D50" w:rsidRPr="001A2FAA" w:rsidRDefault="00B32D50" w:rsidP="00F17BCD">
      <w:r w:rsidRPr="001A2FAA">
        <w:t xml:space="preserve">The State has also entered into an agreement through the State Support Deed – Non Core Land with Showgrounds Retail Developments Pty Ltd and the RASV, whereby the State agrees to support certain payment obligations of the RASV that may arise under the non-core development agreement. </w:t>
      </w:r>
    </w:p>
    <w:p w:rsidR="00B32D50" w:rsidRPr="001A2FAA" w:rsidRDefault="00B32D50" w:rsidP="00F17BCD">
      <w:pPr>
        <w:pStyle w:val="Heading4"/>
        <w:rPr>
          <w:b/>
          <w:bCs/>
          <w:i w:val="0"/>
          <w:iCs w:val="0"/>
          <w:spacing w:val="-2"/>
        </w:rPr>
      </w:pPr>
      <w:r w:rsidRPr="001A2FAA">
        <w:rPr>
          <w:b/>
          <w:bCs/>
          <w:i w:val="0"/>
          <w:iCs w:val="0"/>
          <w:spacing w:val="-2"/>
        </w:rPr>
        <w:lastRenderedPageBreak/>
        <w:t>Victorian Managed Insurance Authority – insurance cover</w:t>
      </w:r>
    </w:p>
    <w:p w:rsidR="00B32D50" w:rsidRPr="001A2FAA" w:rsidRDefault="00B32D50" w:rsidP="00F17BCD">
      <w:pPr>
        <w:ind w:right="-71"/>
      </w:pPr>
      <w:r w:rsidRPr="001A2FAA">
        <w:t xml:space="preserve">The Victorian Managed Insurance Authority (VMIA) was established in 1996 as an insurer for Victorian government departments, participating bodies and other entities as defined under the </w:t>
      </w:r>
      <w:r w:rsidRPr="001A2FAA">
        <w:rPr>
          <w:i/>
        </w:rPr>
        <w:t>Victorian Managed Insurance Authority Act 1996</w:t>
      </w:r>
      <w:r w:rsidRPr="001A2FAA">
        <w:t>. The VMIA provides its clients with a range of insurance cover, including for property, public and products liabil</w:t>
      </w:r>
      <w:r>
        <w:t xml:space="preserve">ity, professional indemnity, </w:t>
      </w:r>
      <w:r w:rsidRPr="001A2FAA">
        <w:t>contract works</w:t>
      </w:r>
      <w:r w:rsidRPr="001F48CA">
        <w:rPr>
          <w:rFonts w:ascii="Helv" w:hAnsi="Helv" w:cs="Helv"/>
          <w:color w:val="FF0000"/>
          <w:sz w:val="20"/>
          <w:szCs w:val="20"/>
        </w:rPr>
        <w:t xml:space="preserve"> </w:t>
      </w:r>
      <w:r w:rsidRPr="001F48CA">
        <w:t>and domestic building insurance for the Victorian residential builders</w:t>
      </w:r>
      <w:r w:rsidRPr="001A2FAA">
        <w:t>. The VMIA reinsures in the private market for losses above $50 million arising out of any one occurrence, up to a maximum of $1</w:t>
      </w:r>
      <w:r>
        <w:t> </w:t>
      </w:r>
      <w:r w:rsidRPr="001A2FAA">
        <w:t>billion for public and products liability, and for losses above $50 million arising out of any one event, up to a maximum of $3.6 billion for property. Further, the VMIA reinsures in the private market for losses above $10 million arising out of any o</w:t>
      </w:r>
      <w:r>
        <w:t>ne event, up to a limit of $1.5 </w:t>
      </w:r>
      <w:r w:rsidRPr="001A2FAA">
        <w:t>billion for terrorism. The risk of losses above these reinsured levels is borne by the State.</w:t>
      </w:r>
    </w:p>
    <w:p w:rsidR="00B32D50" w:rsidRDefault="00B32D50" w:rsidP="00F17BCD">
      <w:pPr>
        <w:ind w:right="-71"/>
      </w:pPr>
      <w:r w:rsidRPr="001A2FAA">
        <w:t xml:space="preserve">The VMIA also insures the Department of Health and Human Services for all public sector medical indemnity claims incurred in each policy year from 1 July 2003, regardless of when claims are finally settled. Under the indemnity deed to provide stop loss protection for the VMIA, </w:t>
      </w:r>
      <w:r>
        <w:t>the Department of Treasury and Finance</w:t>
      </w:r>
      <w:r w:rsidRPr="001A2FAA">
        <w:t xml:space="preserve"> has agreed to reimburse the VMIA if the ultimate claims payouts exceed by more than 20 per cent of the initial estimate on which the risk premium was based.</w:t>
      </w:r>
    </w:p>
    <w:p w:rsidR="00B32D50" w:rsidRDefault="00B32D50" w:rsidP="00B32D50"/>
    <w:p w:rsidR="005310BA" w:rsidRDefault="005310BA" w:rsidP="00B32D50">
      <w:pPr>
        <w:sectPr w:rsidR="005310BA" w:rsidSect="006D735A">
          <w:headerReference w:type="even" r:id="rId63"/>
          <w:headerReference w:type="default" r:id="rId64"/>
          <w:footerReference w:type="even" r:id="rId65"/>
          <w:footerReference w:type="default" r:id="rId66"/>
          <w:headerReference w:type="first" r:id="rId67"/>
          <w:footerReference w:type="first" r:id="rId68"/>
          <w:type w:val="continuous"/>
          <w:pgSz w:w="9979" w:h="14175" w:code="9"/>
          <w:pgMar w:top="851" w:right="1134" w:bottom="851" w:left="1134" w:header="624" w:footer="567" w:gutter="0"/>
          <w:cols w:sep="1" w:space="567"/>
          <w:docGrid w:linePitch="360"/>
        </w:sectPr>
      </w:pPr>
    </w:p>
    <w:p w:rsidR="00B32D50" w:rsidRDefault="00B32D50" w:rsidP="00F17BCD">
      <w:pPr>
        <w:pStyle w:val="Chapterheading"/>
      </w:pPr>
      <w:bookmarkStart w:id="86" w:name="_Toc528864771"/>
      <w:bookmarkStart w:id="87" w:name="_Toc500179543"/>
      <w:r>
        <w:lastRenderedPageBreak/>
        <w:t>Appendix A – Specific policy initiatives affecting budget position</w:t>
      </w:r>
      <w:bookmarkEnd w:id="86"/>
    </w:p>
    <w:p w:rsidR="00B32D50" w:rsidRDefault="00B32D50" w:rsidP="00F17BCD">
      <w:r>
        <w:t xml:space="preserve">Appendix A outlines specific policy initiatives that affect outputs and assets, including Treasurer’s Advances, agreed by the Government since the </w:t>
      </w:r>
      <w:r>
        <w:rPr>
          <w:i/>
        </w:rPr>
        <w:t xml:space="preserve">2018-19 Budget </w:t>
      </w:r>
      <w:r>
        <w:t>and before the issue of the election writs on 30 October 2018.</w:t>
      </w:r>
    </w:p>
    <w:p w:rsidR="00B32D50" w:rsidRDefault="00B32D50" w:rsidP="00F17BCD">
      <w:r>
        <w:t>The following tables provide details of:</w:t>
      </w:r>
    </w:p>
    <w:p w:rsidR="00B32D50" w:rsidRDefault="00B32D50" w:rsidP="00B32D50">
      <w:pPr>
        <w:pStyle w:val="ListBullet"/>
        <w:numPr>
          <w:ilvl w:val="0"/>
          <w:numId w:val="23"/>
        </w:numPr>
      </w:pPr>
      <w:r>
        <w:t>revenue initiatives; and</w:t>
      </w:r>
    </w:p>
    <w:p w:rsidR="00B32D50" w:rsidRDefault="00B32D50" w:rsidP="00B32D50">
      <w:pPr>
        <w:pStyle w:val="ListBullet"/>
        <w:numPr>
          <w:ilvl w:val="0"/>
          <w:numId w:val="23"/>
        </w:numPr>
        <w:spacing w:after="120"/>
      </w:pPr>
      <w:r>
        <w:t>output and asset initiatives for departments.</w:t>
      </w:r>
    </w:p>
    <w:p w:rsidR="00B32D50" w:rsidRDefault="00B32D50" w:rsidP="00F17BCD">
      <w:r>
        <w:t>Appendix A also includes a cross reference between initiatives and their relevant departmental outputs, which indicates the impact of policy decisions on relevant portfolios.</w:t>
      </w:r>
    </w:p>
    <w:p w:rsidR="00B32D50" w:rsidRDefault="00B32D50" w:rsidP="00F17BCD">
      <w:r>
        <w:t>The figures included are the gross costs of decisions. Funding from reprioritisation and other sources has not been deducted from the total cost of new initiatives.</w:t>
      </w:r>
    </w:p>
    <w:p w:rsidR="00B32D50" w:rsidRDefault="00B32D50" w:rsidP="00F17BCD">
      <w:pPr>
        <w:pStyle w:val="Heading10"/>
      </w:pPr>
      <w:r>
        <w:br w:type="page"/>
      </w:r>
    </w:p>
    <w:p w:rsidR="00B32D50" w:rsidRPr="00834D1D" w:rsidRDefault="00B32D50" w:rsidP="00834D1D">
      <w:pPr>
        <w:pStyle w:val="Heading10"/>
      </w:pPr>
      <w:bookmarkStart w:id="88" w:name="_Toc468983292"/>
      <w:bookmarkStart w:id="89" w:name="_Toc528864772"/>
      <w:bookmarkStart w:id="90" w:name="_Hlk526959568"/>
      <w:r w:rsidRPr="00834D1D">
        <w:lastRenderedPageBreak/>
        <w:t xml:space="preserve">Whole of government – </w:t>
      </w:r>
      <w:bookmarkEnd w:id="88"/>
      <w:r w:rsidRPr="00834D1D">
        <w:t>10-year anniversary of the 2009 Victorian bushfires</w:t>
      </w:r>
      <w:bookmarkEnd w:id="89"/>
    </w:p>
    <w:p w:rsidR="00B32D50" w:rsidRPr="007F4B6F" w:rsidRDefault="00B32D50" w:rsidP="00F17BCD">
      <w:pPr>
        <w:pStyle w:val="Heading20"/>
        <w:rPr>
          <w:rFonts w:eastAsia="Garamond"/>
          <w:i/>
          <w:lang w:eastAsia="en-AU"/>
        </w:rPr>
      </w:pPr>
      <w:r w:rsidRPr="007F4B6F">
        <w:rPr>
          <w:rFonts w:eastAsia="Garamond"/>
          <w:i/>
          <w:lang w:eastAsia="en-AU"/>
        </w:rPr>
        <w:t>Output initiatives</w:t>
      </w:r>
    </w:p>
    <w:p w:rsidR="00B32D50" w:rsidRPr="00250954" w:rsidRDefault="00B32D50" w:rsidP="00F17BCD">
      <w:pPr>
        <w:pStyle w:val="TableHeading"/>
        <w:rPr>
          <w:lang w:eastAsia="en-AU"/>
        </w:rPr>
      </w:pPr>
      <w:r w:rsidRPr="00250954">
        <w:rPr>
          <w:lang w:eastAsia="en-AU"/>
        </w:rPr>
        <w:t>Table A.</w:t>
      </w:r>
      <w:r>
        <w:rPr>
          <w:lang w:eastAsia="en-AU"/>
        </w:rPr>
        <w:t>1</w:t>
      </w:r>
      <w:r w:rsidRPr="00250954">
        <w:rPr>
          <w:lang w:eastAsia="en-AU"/>
        </w:rPr>
        <w:t>:</w:t>
      </w:r>
      <w:r w:rsidRPr="00250954">
        <w:rPr>
          <w:lang w:eastAsia="en-AU"/>
        </w:rPr>
        <w:tab/>
        <w:t>Output initiatives – 10-year anniversary of the 2009 Victorian bushfires</w:t>
      </w:r>
    </w:p>
    <w:p w:rsidR="00B32D50" w:rsidRPr="00250954" w:rsidRDefault="00B32D50" w:rsidP="00F17BCD">
      <w:pPr>
        <w:pStyle w:val="TableUnits"/>
        <w:rPr>
          <w:rFonts w:eastAsia="Times New Roman"/>
          <w:lang w:val="en-US" w:eastAsia="en-AU"/>
        </w:rPr>
      </w:pPr>
      <w:r w:rsidRPr="00250954">
        <w:rPr>
          <w:lang w:eastAsia="en-AU"/>
        </w:rPr>
        <w:t>($ million)</w:t>
      </w:r>
    </w:p>
    <w:tbl>
      <w:tblPr>
        <w:tblStyle w:val="DTFFinancial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B32D50" w:rsidRPr="00250954" w:rsidTr="00F17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B32D50" w:rsidRPr="00250954" w:rsidRDefault="00B32D50" w:rsidP="00F17BCD">
            <w:pPr>
              <w:autoSpaceDE w:val="0"/>
              <w:autoSpaceDN w:val="0"/>
              <w:adjustRightInd w:val="0"/>
              <w:rPr>
                <w:rFonts w:ascii="Calibri" w:eastAsia="Times New Roman" w:hAnsi="Calibri" w:cs="Calibri"/>
                <w:color w:val="FFFFFF"/>
                <w:lang w:eastAsia="en-AU"/>
              </w:rPr>
            </w:pPr>
            <w:r w:rsidRPr="00250954">
              <w:rPr>
                <w:rFonts w:ascii="Calibri" w:eastAsia="Times New Roman" w:hAnsi="Calibri" w:cs="Calibri"/>
                <w:color w:val="FFFFFF"/>
                <w:lang w:eastAsia="en-AU"/>
              </w:rPr>
              <w:t xml:space="preserve"> </w:t>
            </w:r>
          </w:p>
        </w:tc>
        <w:tc>
          <w:tcPr>
            <w:tcW w:w="850" w:type="dxa"/>
            <w:tcBorders>
              <w:top w:val="nil"/>
              <w:left w:val="nil"/>
              <w:bottom w:val="nil"/>
              <w:right w:val="nil"/>
            </w:tcBorders>
            <w:shd w:val="solid" w:color="000000" w:fill="auto"/>
          </w:tcPr>
          <w:p w:rsidR="00B32D50" w:rsidRPr="00250954"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lang w:eastAsia="en-AU"/>
              </w:rPr>
            </w:pPr>
            <w:r>
              <w:rPr>
                <w:rFonts w:eastAsia="Times New Roman" w:cs="Calibri"/>
                <w:iCs/>
                <w:color w:val="FFFFFF"/>
                <w:lang w:eastAsia="en-AU"/>
              </w:rPr>
              <w:t>2018-19</w:t>
            </w:r>
          </w:p>
        </w:tc>
        <w:tc>
          <w:tcPr>
            <w:tcW w:w="850" w:type="dxa"/>
            <w:tcBorders>
              <w:top w:val="nil"/>
              <w:left w:val="nil"/>
              <w:bottom w:val="nil"/>
              <w:right w:val="nil"/>
            </w:tcBorders>
            <w:shd w:val="solid" w:color="000000" w:fill="auto"/>
          </w:tcPr>
          <w:p w:rsidR="00B32D50" w:rsidRPr="00250954"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lang w:eastAsia="en-AU"/>
              </w:rPr>
            </w:pPr>
            <w:r>
              <w:rPr>
                <w:rFonts w:eastAsia="Times New Roman" w:cs="Calibri"/>
                <w:iCs/>
                <w:color w:val="FFFFFF"/>
                <w:lang w:eastAsia="en-AU"/>
              </w:rPr>
              <w:t>2019-20</w:t>
            </w:r>
          </w:p>
        </w:tc>
        <w:tc>
          <w:tcPr>
            <w:tcW w:w="850" w:type="dxa"/>
            <w:tcBorders>
              <w:top w:val="nil"/>
              <w:left w:val="nil"/>
              <w:bottom w:val="nil"/>
              <w:right w:val="nil"/>
            </w:tcBorders>
            <w:shd w:val="solid" w:color="000000" w:fill="auto"/>
          </w:tcPr>
          <w:p w:rsidR="00B32D50" w:rsidRPr="00250954"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lang w:eastAsia="en-AU"/>
              </w:rPr>
            </w:pPr>
            <w:r>
              <w:rPr>
                <w:rFonts w:eastAsia="Times New Roman" w:cs="Calibri"/>
                <w:iCs/>
                <w:color w:val="FFFFFF"/>
                <w:lang w:eastAsia="en-AU"/>
              </w:rPr>
              <w:t>2020-21</w:t>
            </w:r>
          </w:p>
        </w:tc>
        <w:tc>
          <w:tcPr>
            <w:tcW w:w="850" w:type="dxa"/>
            <w:tcBorders>
              <w:top w:val="nil"/>
              <w:left w:val="nil"/>
              <w:bottom w:val="nil"/>
              <w:right w:val="nil"/>
            </w:tcBorders>
            <w:shd w:val="solid" w:color="000000" w:fill="auto"/>
          </w:tcPr>
          <w:p w:rsidR="00B32D50" w:rsidRPr="00250954"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lang w:eastAsia="en-AU"/>
              </w:rPr>
            </w:pPr>
            <w:r>
              <w:rPr>
                <w:rFonts w:eastAsia="Times New Roman" w:cs="Calibri"/>
                <w:iCs/>
                <w:color w:val="FFFFFF"/>
                <w:lang w:eastAsia="en-AU"/>
              </w:rPr>
              <w:t>2021-22</w:t>
            </w:r>
          </w:p>
        </w:tc>
      </w:tr>
      <w:tr w:rsidR="00B32D50" w:rsidRPr="0025095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73F83" w:rsidRDefault="00B32D50" w:rsidP="00F17BCD">
            <w:r>
              <w:t>10-year anniversary of the 2009 Victorian bushfires</w:t>
            </w:r>
          </w:p>
        </w:tc>
        <w:tc>
          <w:tcPr>
            <w:tcW w:w="850" w:type="dxa"/>
            <w:tcBorders>
              <w:top w:val="nil"/>
              <w:left w:val="nil"/>
              <w:bottom w:val="nil"/>
              <w:right w:val="nil"/>
            </w:tcBorders>
          </w:tcPr>
          <w:p w:rsidR="00B32D50" w:rsidRPr="00B73F83" w:rsidRDefault="00B32D50" w:rsidP="00F17BCD">
            <w:pPr>
              <w:cnfStyle w:val="000000000000" w:firstRow="0" w:lastRow="0" w:firstColumn="0" w:lastColumn="0" w:oddVBand="0" w:evenVBand="0" w:oddHBand="0" w:evenHBand="0" w:firstRowFirstColumn="0" w:firstRowLastColumn="0" w:lastRowFirstColumn="0" w:lastRowLastColumn="0"/>
            </w:pPr>
            <w:r>
              <w:t>4.4</w:t>
            </w:r>
          </w:p>
        </w:tc>
        <w:tc>
          <w:tcPr>
            <w:tcW w:w="850" w:type="dxa"/>
            <w:tcBorders>
              <w:top w:val="nil"/>
              <w:left w:val="nil"/>
              <w:bottom w:val="nil"/>
              <w:right w:val="nil"/>
            </w:tcBorders>
          </w:tcPr>
          <w:p w:rsidR="00B32D50" w:rsidRPr="00B73F83" w:rsidRDefault="00B32D50" w:rsidP="00F17BCD">
            <w:pP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left w:val="nil"/>
              <w:bottom w:val="nil"/>
              <w:right w:val="nil"/>
            </w:tcBorders>
          </w:tcPr>
          <w:p w:rsidR="00B32D50" w:rsidRPr="00B73F83" w:rsidRDefault="00B32D50" w:rsidP="00F17BCD">
            <w:pP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left w:val="nil"/>
              <w:bottom w:val="nil"/>
              <w:right w:val="nil"/>
            </w:tcBorders>
          </w:tcPr>
          <w:p w:rsidR="00B32D50" w:rsidRPr="00B73F83" w:rsidRDefault="00B32D50" w:rsidP="00F17BCD">
            <w:pPr>
              <w:cnfStyle w:val="000000000000" w:firstRow="0" w:lastRow="0" w:firstColumn="0" w:lastColumn="0" w:oddVBand="0" w:evenVBand="0" w:oddHBand="0" w:evenHBand="0" w:firstRowFirstColumn="0" w:firstRowLastColumn="0" w:lastRowFirstColumn="0" w:lastRowLastColumn="0"/>
            </w:pPr>
            <w:r>
              <w:t>..</w:t>
            </w:r>
          </w:p>
        </w:tc>
      </w:tr>
      <w:tr w:rsidR="00B32D50" w:rsidRPr="00250954"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B32D50" w:rsidRPr="00B73F83" w:rsidRDefault="00B32D50" w:rsidP="00F17BCD">
            <w:pPr>
              <w:rPr>
                <w:b w:val="0"/>
                <w:bCs/>
                <w:color w:val="000000"/>
                <w:vertAlign w:val="superscript"/>
                <w:lang w:eastAsia="en-AU"/>
              </w:rPr>
            </w:pPr>
            <w:r w:rsidRPr="00B73F83">
              <w:rPr>
                <w:bCs/>
                <w:color w:val="000000"/>
                <w:lang w:eastAsia="en-AU"/>
              </w:rPr>
              <w:t xml:space="preserve">Total output initiatives </w:t>
            </w:r>
          </w:p>
        </w:tc>
        <w:tc>
          <w:tcPr>
            <w:tcW w:w="850" w:type="dxa"/>
            <w:tcBorders>
              <w:top w:val="single" w:sz="6" w:space="0" w:color="auto"/>
              <w:bottom w:val="single" w:sz="12" w:space="0" w:color="auto"/>
            </w:tcBorders>
          </w:tcPr>
          <w:p w:rsidR="00B32D50" w:rsidRPr="00B74927" w:rsidRDefault="00B32D50" w:rsidP="00F17BCD">
            <w:pPr>
              <w:cnfStyle w:val="010000000000" w:firstRow="0" w:lastRow="1" w:firstColumn="0" w:lastColumn="0" w:oddVBand="0" w:evenVBand="0" w:oddHBand="0" w:evenHBand="0" w:firstRowFirstColumn="0" w:firstRowLastColumn="0" w:lastRowFirstColumn="0" w:lastRowLastColumn="0"/>
            </w:pPr>
            <w:r>
              <w:t>4.4</w:t>
            </w:r>
          </w:p>
        </w:tc>
        <w:tc>
          <w:tcPr>
            <w:tcW w:w="850" w:type="dxa"/>
            <w:tcBorders>
              <w:top w:val="single" w:sz="6" w:space="0" w:color="auto"/>
              <w:bottom w:val="single" w:sz="12" w:space="0" w:color="auto"/>
            </w:tcBorders>
          </w:tcPr>
          <w:p w:rsidR="00B32D50" w:rsidRPr="00B74927" w:rsidRDefault="00B32D50" w:rsidP="00F17BCD">
            <w:pPr>
              <w:cnfStyle w:val="010000000000" w:firstRow="0" w:lastRow="1" w:firstColumn="0" w:lastColumn="0" w:oddVBand="0" w:evenVBand="0" w:oddHBand="0" w:evenHBand="0" w:firstRowFirstColumn="0" w:firstRowLastColumn="0" w:lastRowFirstColumn="0" w:lastRowLastColumn="0"/>
            </w:pPr>
            <w:r>
              <w:t>..</w:t>
            </w:r>
          </w:p>
        </w:tc>
        <w:tc>
          <w:tcPr>
            <w:tcW w:w="850" w:type="dxa"/>
            <w:tcBorders>
              <w:top w:val="single" w:sz="6" w:space="0" w:color="auto"/>
              <w:bottom w:val="single" w:sz="12" w:space="0" w:color="auto"/>
            </w:tcBorders>
          </w:tcPr>
          <w:p w:rsidR="00B32D50" w:rsidRPr="00B74927" w:rsidRDefault="00B32D50" w:rsidP="00F17BCD">
            <w:pPr>
              <w:cnfStyle w:val="010000000000" w:firstRow="0" w:lastRow="1" w:firstColumn="0" w:lastColumn="0" w:oddVBand="0" w:evenVBand="0" w:oddHBand="0" w:evenHBand="0" w:firstRowFirstColumn="0" w:firstRowLastColumn="0" w:lastRowFirstColumn="0" w:lastRowLastColumn="0"/>
            </w:pPr>
            <w:r>
              <w:t>..</w:t>
            </w:r>
          </w:p>
        </w:tc>
        <w:tc>
          <w:tcPr>
            <w:tcW w:w="850" w:type="dxa"/>
            <w:tcBorders>
              <w:top w:val="single" w:sz="6" w:space="0" w:color="auto"/>
              <w:bottom w:val="single" w:sz="12" w:space="0" w:color="auto"/>
            </w:tcBorders>
          </w:tcPr>
          <w:p w:rsidR="00B32D50" w:rsidRPr="00B74927" w:rsidRDefault="00B32D50" w:rsidP="00F17BCD">
            <w:pPr>
              <w:cnfStyle w:val="010000000000" w:firstRow="0" w:lastRow="1" w:firstColumn="0" w:lastColumn="0" w:oddVBand="0" w:evenVBand="0" w:oddHBand="0" w:evenHBand="0" w:firstRowFirstColumn="0" w:firstRowLastColumn="0" w:lastRowFirstColumn="0" w:lastRowLastColumn="0"/>
            </w:pPr>
            <w:r>
              <w:t>..</w:t>
            </w:r>
          </w:p>
        </w:tc>
      </w:tr>
    </w:tbl>
    <w:p w:rsidR="00B32D50" w:rsidRPr="00FA2766" w:rsidRDefault="00B32D50" w:rsidP="00F17BCD">
      <w:pPr>
        <w:pStyle w:val="Heading30"/>
        <w:rPr>
          <w:rFonts w:eastAsia="Garamond"/>
          <w:lang w:eastAsia="en-AU"/>
        </w:rPr>
      </w:pPr>
      <w:r w:rsidRPr="00FA2766">
        <w:rPr>
          <w:rFonts w:eastAsia="Garamond"/>
          <w:lang w:eastAsia="en-AU"/>
        </w:rPr>
        <w:t xml:space="preserve">10-year anniversary of the 2009 Victorian bushfires </w:t>
      </w:r>
    </w:p>
    <w:p w:rsidR="00B32D50" w:rsidRPr="009F1350" w:rsidRDefault="00B32D50" w:rsidP="00F17BCD">
      <w:pPr>
        <w:rPr>
          <w:rFonts w:ascii="Garamond" w:eastAsia="Garamond" w:hAnsi="Garamond" w:cs="Times New Roman"/>
        </w:rPr>
      </w:pPr>
      <w:r>
        <w:rPr>
          <w:rFonts w:ascii="Garamond" w:eastAsia="Garamond" w:hAnsi="Garamond" w:cs="Times New Roman"/>
        </w:rPr>
        <w:t>Funding will be</w:t>
      </w:r>
      <w:r w:rsidRPr="009F1350">
        <w:rPr>
          <w:rFonts w:ascii="Garamond" w:eastAsia="Garamond" w:hAnsi="Garamond" w:cs="Times New Roman"/>
        </w:rPr>
        <w:t xml:space="preserve"> provided for memorial events and other initiatives to commemorate the 10</w:t>
      </w:r>
      <w:r w:rsidRPr="009F1350">
        <w:rPr>
          <w:rFonts w:ascii="Garamond" w:eastAsia="Garamond" w:hAnsi="Garamond" w:cs="Times New Roman"/>
        </w:rPr>
        <w:noBreakHyphen/>
        <w:t>year anniversary of the 2009 Victorian bushfires.</w:t>
      </w:r>
    </w:p>
    <w:p w:rsidR="00B32D50" w:rsidRPr="009F1350" w:rsidRDefault="00B32D50" w:rsidP="00F17BCD">
      <w:r w:rsidRPr="009F1350">
        <w:t>This initiative contributes to the Department of Economic Development, Jobs, Transport and Resources</w:t>
      </w:r>
      <w:r>
        <w:t>’</w:t>
      </w:r>
      <w:r w:rsidRPr="009F1350">
        <w:t>:</w:t>
      </w:r>
    </w:p>
    <w:p w:rsidR="00B32D50" w:rsidRPr="009F1350" w:rsidRDefault="00B32D50" w:rsidP="00F17BCD">
      <w:pPr>
        <w:pStyle w:val="ListBullet"/>
      </w:pPr>
      <w:r w:rsidRPr="009F1350">
        <w:t xml:space="preserve">Creative Industries Access, Development and Innovation output; and </w:t>
      </w:r>
    </w:p>
    <w:p w:rsidR="00B32D50" w:rsidRPr="009F1350" w:rsidRDefault="00B32D50" w:rsidP="00F17BCD">
      <w:pPr>
        <w:pStyle w:val="ListBullet"/>
      </w:pPr>
      <w:r w:rsidRPr="009F1350">
        <w:t xml:space="preserve">Creative Industries Portfolio Agencies output. </w:t>
      </w:r>
    </w:p>
    <w:p w:rsidR="00B32D50" w:rsidRPr="009F1350" w:rsidRDefault="00B32D50" w:rsidP="00F17BCD">
      <w:pPr>
        <w:rPr>
          <w:rFonts w:ascii="Garamond" w:eastAsia="Garamond" w:hAnsi="Garamond" w:cs="Times New Roman"/>
        </w:rPr>
      </w:pPr>
      <w:r w:rsidRPr="009F1350">
        <w:rPr>
          <w:rFonts w:ascii="Garamond" w:eastAsia="Garamond" w:hAnsi="Garamond" w:cs="Times New Roman"/>
        </w:rPr>
        <w:t>This initiative contributes to the Department of Education and Training</w:t>
      </w:r>
      <w:r>
        <w:rPr>
          <w:rFonts w:ascii="Garamond" w:eastAsia="Garamond" w:hAnsi="Garamond" w:cs="Times New Roman"/>
        </w:rPr>
        <w:t>’</w:t>
      </w:r>
      <w:r w:rsidRPr="009F1350">
        <w:rPr>
          <w:rFonts w:ascii="Garamond" w:eastAsia="Garamond" w:hAnsi="Garamond" w:cs="Times New Roman"/>
        </w:rPr>
        <w:t xml:space="preserve">s: </w:t>
      </w:r>
    </w:p>
    <w:p w:rsidR="00B32D50" w:rsidRPr="009F1350" w:rsidRDefault="00B32D50" w:rsidP="00F17BCD">
      <w:pPr>
        <w:pStyle w:val="ListBullet"/>
      </w:pPr>
      <w:r w:rsidRPr="009F1350">
        <w:t xml:space="preserve">School Education – Primary output; and </w:t>
      </w:r>
    </w:p>
    <w:p w:rsidR="00B32D50" w:rsidRPr="009F1350" w:rsidRDefault="00B32D50" w:rsidP="00F17BCD">
      <w:pPr>
        <w:pStyle w:val="ListBullet"/>
      </w:pPr>
      <w:r w:rsidRPr="009F1350">
        <w:t xml:space="preserve">School Education – Secondary output. </w:t>
      </w:r>
    </w:p>
    <w:p w:rsidR="00B32D50" w:rsidRPr="009F1350" w:rsidRDefault="00B32D50" w:rsidP="00F17BCD">
      <w:bookmarkStart w:id="91" w:name="_Hlk525809886"/>
      <w:r w:rsidRPr="009F1350">
        <w:t>This initiative contributes to the Department of Environment, Land, Water and Planning</w:t>
      </w:r>
      <w:r>
        <w:t>’</w:t>
      </w:r>
      <w:r w:rsidRPr="009F1350">
        <w:t>s Local Government output.</w:t>
      </w:r>
    </w:p>
    <w:bookmarkEnd w:id="91"/>
    <w:p w:rsidR="00B32D50" w:rsidRPr="009F1350" w:rsidRDefault="00B32D50" w:rsidP="00F17BCD">
      <w:r w:rsidRPr="009F1350">
        <w:t>This initiative contributes to the Department of Justice and Regulation</w:t>
      </w:r>
      <w:r>
        <w:t>’</w:t>
      </w:r>
      <w:r w:rsidRPr="009F1350">
        <w:t>s Emergency Management Capability output.</w:t>
      </w:r>
    </w:p>
    <w:p w:rsidR="00B32D50" w:rsidRPr="009F1350" w:rsidRDefault="00B32D50" w:rsidP="00F17BCD">
      <w:pPr>
        <w:rPr>
          <w:rFonts w:ascii="Garamond" w:eastAsia="Garamond" w:hAnsi="Garamond" w:cs="Times New Roman"/>
        </w:rPr>
      </w:pPr>
      <w:r w:rsidRPr="009F1350">
        <w:rPr>
          <w:rFonts w:ascii="Garamond" w:eastAsia="Garamond" w:hAnsi="Garamond" w:cs="Times New Roman"/>
        </w:rPr>
        <w:t xml:space="preserve">This initiative contributes to the Department of Health and Human </w:t>
      </w:r>
      <w:r>
        <w:rPr>
          <w:rFonts w:ascii="Garamond" w:eastAsia="Garamond" w:hAnsi="Garamond" w:cs="Times New Roman"/>
        </w:rPr>
        <w:t xml:space="preserve">Services’ </w:t>
      </w:r>
      <w:r w:rsidRPr="009F1350">
        <w:rPr>
          <w:rFonts w:ascii="Garamond" w:eastAsia="Garamond" w:hAnsi="Garamond" w:cs="Times New Roman"/>
        </w:rPr>
        <w:t>Concessions to Pensioners and Beneficiaries output.</w:t>
      </w:r>
    </w:p>
    <w:p w:rsidR="00B32D50" w:rsidRPr="009F1350" w:rsidRDefault="00B32D50" w:rsidP="00F17BCD">
      <w:pPr>
        <w:rPr>
          <w:rFonts w:ascii="Garamond" w:eastAsia="Garamond" w:hAnsi="Garamond" w:cs="Times New Roman"/>
        </w:rPr>
      </w:pPr>
      <w:r w:rsidRPr="009F1350">
        <w:rPr>
          <w:rFonts w:ascii="Garamond" w:eastAsia="Garamond" w:hAnsi="Garamond" w:cs="Times New Roman"/>
        </w:rPr>
        <w:t>This initiative contributes to the Department of Premier and Cabinet</w:t>
      </w:r>
      <w:r>
        <w:rPr>
          <w:rFonts w:ascii="Garamond" w:eastAsia="Garamond" w:hAnsi="Garamond" w:cs="Times New Roman"/>
        </w:rPr>
        <w:t>’</w:t>
      </w:r>
      <w:r w:rsidRPr="009F1350">
        <w:rPr>
          <w:rFonts w:ascii="Garamond" w:eastAsia="Garamond" w:hAnsi="Garamond" w:cs="Times New Roman"/>
        </w:rPr>
        <w:t>s Government-wide leadership, reform and implementation output.</w:t>
      </w:r>
    </w:p>
    <w:bookmarkEnd w:id="90"/>
    <w:p w:rsidR="00B32D50" w:rsidRDefault="00B32D50">
      <w:pPr>
        <w:keepLines w:val="0"/>
      </w:pPr>
      <w:r>
        <w:br w:type="page"/>
      </w:r>
    </w:p>
    <w:p w:rsidR="00B32D50" w:rsidRPr="00250954" w:rsidRDefault="00B32D50" w:rsidP="00834D1D">
      <w:pPr>
        <w:pStyle w:val="Heading10"/>
        <w:rPr>
          <w:rFonts w:eastAsia="Garamond"/>
          <w:lang w:eastAsia="en-AU"/>
        </w:rPr>
      </w:pPr>
      <w:bookmarkStart w:id="92" w:name="_Toc528864773"/>
      <w:bookmarkStart w:id="93" w:name="_Hlk528316169"/>
      <w:r w:rsidRPr="00250954">
        <w:rPr>
          <w:rFonts w:eastAsia="Garamond"/>
          <w:lang w:eastAsia="en-AU"/>
        </w:rPr>
        <w:lastRenderedPageBreak/>
        <w:t xml:space="preserve">Whole of government </w:t>
      </w:r>
      <w:r w:rsidRPr="00250954">
        <w:rPr>
          <w:rFonts w:eastAsia="Times New Roman"/>
          <w:lang w:eastAsia="en-AU"/>
        </w:rPr>
        <w:t xml:space="preserve">– </w:t>
      </w:r>
      <w:r w:rsidR="00834D1D" w:rsidRPr="00834D1D">
        <w:t>Drought</w:t>
      </w:r>
      <w:r w:rsidR="00834D1D">
        <w:rPr>
          <w:rFonts w:eastAsia="Times New Roman"/>
          <w:caps w:val="0"/>
          <w:lang w:eastAsia="en-AU"/>
        </w:rPr>
        <w:t xml:space="preserve"> </w:t>
      </w:r>
      <w:r>
        <w:rPr>
          <w:rFonts w:eastAsia="Times New Roman"/>
          <w:lang w:eastAsia="en-AU"/>
        </w:rPr>
        <w:t>Assistance</w:t>
      </w:r>
      <w:bookmarkEnd w:id="92"/>
    </w:p>
    <w:p w:rsidR="00B32D50" w:rsidRPr="007F4B6F" w:rsidRDefault="00B32D50" w:rsidP="00F17BCD">
      <w:pPr>
        <w:pStyle w:val="Heading20"/>
        <w:rPr>
          <w:rFonts w:eastAsia="Garamond"/>
          <w:i/>
          <w:lang w:eastAsia="en-AU"/>
        </w:rPr>
      </w:pPr>
      <w:r w:rsidRPr="007F4B6F">
        <w:rPr>
          <w:rFonts w:eastAsia="Garamond"/>
          <w:i/>
          <w:lang w:eastAsia="en-AU"/>
        </w:rPr>
        <w:t>Output initiatives</w:t>
      </w:r>
    </w:p>
    <w:p w:rsidR="00B32D50" w:rsidRPr="00250954" w:rsidRDefault="00B32D50" w:rsidP="005310BA">
      <w:pPr>
        <w:pStyle w:val="TableHeading"/>
        <w:rPr>
          <w:rFonts w:eastAsia="Times New Roman"/>
          <w:lang w:val="en-US" w:eastAsia="en-AU"/>
        </w:rPr>
      </w:pPr>
      <w:r w:rsidRPr="00250954">
        <w:rPr>
          <w:lang w:eastAsia="en-AU"/>
        </w:rPr>
        <w:t>Table A.</w:t>
      </w:r>
      <w:r>
        <w:rPr>
          <w:lang w:eastAsia="en-AU"/>
        </w:rPr>
        <w:t>2</w:t>
      </w:r>
      <w:r w:rsidRPr="00250954">
        <w:rPr>
          <w:lang w:eastAsia="en-AU"/>
        </w:rPr>
        <w:t>:</w:t>
      </w:r>
      <w:r w:rsidRPr="00250954">
        <w:rPr>
          <w:lang w:eastAsia="en-AU"/>
        </w:rPr>
        <w:tab/>
        <w:t xml:space="preserve">Output initiatives – </w:t>
      </w:r>
      <w:r>
        <w:rPr>
          <w:lang w:eastAsia="en-AU"/>
        </w:rPr>
        <w:t>Drought Assistance</w:t>
      </w:r>
      <w:r w:rsidR="005310BA">
        <w:rPr>
          <w:lang w:eastAsia="en-AU"/>
        </w:rPr>
        <w:tab/>
      </w:r>
      <w:r w:rsidRPr="00250954">
        <w:rPr>
          <w:lang w:eastAsia="en-AU"/>
        </w:rPr>
        <w:t>($ million)</w:t>
      </w:r>
    </w:p>
    <w:tbl>
      <w:tblPr>
        <w:tblStyle w:val="DTFFinancial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B32D50" w:rsidRPr="00250954" w:rsidTr="00F17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B32D50" w:rsidRPr="00250954" w:rsidRDefault="00B32D50" w:rsidP="00F17BCD">
            <w:pPr>
              <w:autoSpaceDE w:val="0"/>
              <w:autoSpaceDN w:val="0"/>
              <w:adjustRightInd w:val="0"/>
              <w:rPr>
                <w:rFonts w:ascii="Calibri" w:eastAsia="Times New Roman" w:hAnsi="Calibri" w:cs="Calibri"/>
                <w:color w:val="FFFFFF"/>
                <w:lang w:eastAsia="en-AU"/>
              </w:rPr>
            </w:pPr>
          </w:p>
        </w:tc>
        <w:tc>
          <w:tcPr>
            <w:tcW w:w="850" w:type="dxa"/>
            <w:tcBorders>
              <w:top w:val="nil"/>
              <w:left w:val="nil"/>
              <w:bottom w:val="nil"/>
              <w:right w:val="nil"/>
            </w:tcBorders>
            <w:shd w:val="solid" w:color="000000" w:fill="auto"/>
          </w:tcPr>
          <w:p w:rsidR="00B32D50" w:rsidRPr="00250954"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lang w:eastAsia="en-AU"/>
              </w:rPr>
            </w:pPr>
            <w:r>
              <w:rPr>
                <w:rFonts w:eastAsia="Times New Roman" w:cs="Calibri"/>
                <w:iCs/>
                <w:color w:val="FFFFFF"/>
                <w:lang w:eastAsia="en-AU"/>
              </w:rPr>
              <w:t>2018-19</w:t>
            </w:r>
          </w:p>
        </w:tc>
        <w:tc>
          <w:tcPr>
            <w:tcW w:w="850" w:type="dxa"/>
            <w:tcBorders>
              <w:top w:val="nil"/>
              <w:left w:val="nil"/>
              <w:bottom w:val="nil"/>
              <w:right w:val="nil"/>
            </w:tcBorders>
            <w:shd w:val="solid" w:color="000000" w:fill="auto"/>
          </w:tcPr>
          <w:p w:rsidR="00B32D50" w:rsidRPr="00250954"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lang w:eastAsia="en-AU"/>
              </w:rPr>
            </w:pPr>
            <w:r>
              <w:rPr>
                <w:rFonts w:eastAsia="Times New Roman" w:cs="Calibri"/>
                <w:iCs/>
                <w:color w:val="FFFFFF"/>
                <w:lang w:eastAsia="en-AU"/>
              </w:rPr>
              <w:t>2019-20</w:t>
            </w:r>
          </w:p>
        </w:tc>
        <w:tc>
          <w:tcPr>
            <w:tcW w:w="850" w:type="dxa"/>
            <w:tcBorders>
              <w:top w:val="nil"/>
              <w:left w:val="nil"/>
              <w:bottom w:val="nil"/>
              <w:right w:val="nil"/>
            </w:tcBorders>
            <w:shd w:val="solid" w:color="000000" w:fill="auto"/>
          </w:tcPr>
          <w:p w:rsidR="00B32D50" w:rsidRPr="00250954"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lang w:eastAsia="en-AU"/>
              </w:rPr>
            </w:pPr>
            <w:r>
              <w:rPr>
                <w:rFonts w:eastAsia="Times New Roman" w:cs="Calibri"/>
                <w:iCs/>
                <w:color w:val="FFFFFF"/>
                <w:lang w:eastAsia="en-AU"/>
              </w:rPr>
              <w:t>2020-21</w:t>
            </w:r>
          </w:p>
        </w:tc>
        <w:tc>
          <w:tcPr>
            <w:tcW w:w="850" w:type="dxa"/>
            <w:tcBorders>
              <w:top w:val="nil"/>
              <w:left w:val="nil"/>
              <w:bottom w:val="nil"/>
              <w:right w:val="nil"/>
            </w:tcBorders>
            <w:shd w:val="solid" w:color="000000" w:fill="auto"/>
          </w:tcPr>
          <w:p w:rsidR="00B32D50" w:rsidRPr="00250954"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FFFFFF"/>
                <w:lang w:eastAsia="en-AU"/>
              </w:rPr>
            </w:pPr>
            <w:r>
              <w:rPr>
                <w:rFonts w:eastAsia="Times New Roman" w:cs="Calibri"/>
                <w:iCs/>
                <w:color w:val="FFFFFF"/>
                <w:lang w:eastAsia="en-AU"/>
              </w:rPr>
              <w:t>2021-22</w:t>
            </w:r>
          </w:p>
        </w:tc>
      </w:tr>
      <w:tr w:rsidR="00B32D50" w:rsidRPr="00250954"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B73F83" w:rsidRDefault="00B32D50" w:rsidP="00F17BCD">
            <w:r w:rsidRPr="00F675FB">
              <w:t>Drought Assistance</w:t>
            </w:r>
          </w:p>
        </w:tc>
        <w:tc>
          <w:tcPr>
            <w:tcW w:w="850" w:type="dxa"/>
            <w:tcBorders>
              <w:top w:val="nil"/>
              <w:left w:val="nil"/>
              <w:bottom w:val="nil"/>
              <w:right w:val="nil"/>
            </w:tcBorders>
          </w:tcPr>
          <w:p w:rsidR="00B32D50" w:rsidRPr="00B73F83" w:rsidRDefault="00B32D50" w:rsidP="00F17BCD">
            <w:pPr>
              <w:cnfStyle w:val="000000000000" w:firstRow="0" w:lastRow="0" w:firstColumn="0" w:lastColumn="0" w:oddVBand="0" w:evenVBand="0" w:oddHBand="0" w:evenHBand="0" w:firstRowFirstColumn="0" w:firstRowLastColumn="0" w:lastRowFirstColumn="0" w:lastRowLastColumn="0"/>
            </w:pPr>
            <w:r>
              <w:t>29.7</w:t>
            </w:r>
          </w:p>
        </w:tc>
        <w:tc>
          <w:tcPr>
            <w:tcW w:w="850" w:type="dxa"/>
            <w:tcBorders>
              <w:top w:val="nil"/>
              <w:left w:val="nil"/>
              <w:bottom w:val="nil"/>
              <w:right w:val="nil"/>
            </w:tcBorders>
          </w:tcPr>
          <w:p w:rsidR="00B32D50" w:rsidRPr="00B73F83" w:rsidRDefault="00B32D50" w:rsidP="00F17BCD">
            <w:pP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left w:val="nil"/>
              <w:bottom w:val="nil"/>
              <w:right w:val="nil"/>
            </w:tcBorders>
          </w:tcPr>
          <w:p w:rsidR="00B32D50" w:rsidRPr="00B73F83" w:rsidRDefault="00B32D50" w:rsidP="00F17BCD">
            <w:pP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left w:val="nil"/>
              <w:bottom w:val="nil"/>
              <w:right w:val="nil"/>
            </w:tcBorders>
          </w:tcPr>
          <w:p w:rsidR="00B32D50" w:rsidRPr="00B73F83" w:rsidRDefault="00B32D50" w:rsidP="00F17BCD">
            <w:pPr>
              <w:cnfStyle w:val="000000000000" w:firstRow="0" w:lastRow="0" w:firstColumn="0" w:lastColumn="0" w:oddVBand="0" w:evenVBand="0" w:oddHBand="0" w:evenHBand="0" w:firstRowFirstColumn="0" w:firstRowLastColumn="0" w:lastRowFirstColumn="0" w:lastRowLastColumn="0"/>
            </w:pPr>
            <w:r>
              <w:t>..</w:t>
            </w:r>
          </w:p>
        </w:tc>
      </w:tr>
      <w:tr w:rsidR="00B32D50" w:rsidRPr="00250954"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B32D50" w:rsidRPr="00B73F83" w:rsidRDefault="00B32D50" w:rsidP="00F17BCD">
            <w:pPr>
              <w:rPr>
                <w:b w:val="0"/>
                <w:bCs/>
                <w:color w:val="000000"/>
                <w:vertAlign w:val="superscript"/>
                <w:lang w:eastAsia="en-AU"/>
              </w:rPr>
            </w:pPr>
            <w:r w:rsidRPr="00B73F83">
              <w:rPr>
                <w:bCs/>
                <w:color w:val="000000"/>
                <w:lang w:eastAsia="en-AU"/>
              </w:rPr>
              <w:t xml:space="preserve">Total output initiatives </w:t>
            </w:r>
          </w:p>
        </w:tc>
        <w:tc>
          <w:tcPr>
            <w:tcW w:w="850" w:type="dxa"/>
            <w:tcBorders>
              <w:top w:val="single" w:sz="6" w:space="0" w:color="auto"/>
              <w:bottom w:val="single" w:sz="12" w:space="0" w:color="auto"/>
            </w:tcBorders>
          </w:tcPr>
          <w:p w:rsidR="00B32D50" w:rsidRPr="00B74927" w:rsidRDefault="00B32D50" w:rsidP="00F17BCD">
            <w:pPr>
              <w:cnfStyle w:val="010000000000" w:firstRow="0" w:lastRow="1" w:firstColumn="0" w:lastColumn="0" w:oddVBand="0" w:evenVBand="0" w:oddHBand="0" w:evenHBand="0" w:firstRowFirstColumn="0" w:firstRowLastColumn="0" w:lastRowFirstColumn="0" w:lastRowLastColumn="0"/>
            </w:pPr>
            <w:r>
              <w:t>29.7</w:t>
            </w:r>
          </w:p>
        </w:tc>
        <w:tc>
          <w:tcPr>
            <w:tcW w:w="850" w:type="dxa"/>
            <w:tcBorders>
              <w:top w:val="single" w:sz="6" w:space="0" w:color="auto"/>
              <w:bottom w:val="single" w:sz="12" w:space="0" w:color="auto"/>
            </w:tcBorders>
          </w:tcPr>
          <w:p w:rsidR="00B32D50" w:rsidRPr="00B74927" w:rsidRDefault="00B32D50" w:rsidP="00F17BCD">
            <w:pPr>
              <w:cnfStyle w:val="010000000000" w:firstRow="0" w:lastRow="1" w:firstColumn="0" w:lastColumn="0" w:oddVBand="0" w:evenVBand="0" w:oddHBand="0" w:evenHBand="0" w:firstRowFirstColumn="0" w:firstRowLastColumn="0" w:lastRowFirstColumn="0" w:lastRowLastColumn="0"/>
            </w:pPr>
            <w:r>
              <w:t>..</w:t>
            </w:r>
          </w:p>
        </w:tc>
        <w:tc>
          <w:tcPr>
            <w:tcW w:w="850" w:type="dxa"/>
            <w:tcBorders>
              <w:top w:val="single" w:sz="6" w:space="0" w:color="auto"/>
              <w:bottom w:val="single" w:sz="12" w:space="0" w:color="auto"/>
            </w:tcBorders>
          </w:tcPr>
          <w:p w:rsidR="00B32D50" w:rsidRPr="00B74927" w:rsidRDefault="00B32D50" w:rsidP="00F17BCD">
            <w:pPr>
              <w:cnfStyle w:val="010000000000" w:firstRow="0" w:lastRow="1" w:firstColumn="0" w:lastColumn="0" w:oddVBand="0" w:evenVBand="0" w:oddHBand="0" w:evenHBand="0" w:firstRowFirstColumn="0" w:firstRowLastColumn="0" w:lastRowFirstColumn="0" w:lastRowLastColumn="0"/>
            </w:pPr>
            <w:r>
              <w:t>..</w:t>
            </w:r>
          </w:p>
        </w:tc>
        <w:tc>
          <w:tcPr>
            <w:tcW w:w="850" w:type="dxa"/>
            <w:tcBorders>
              <w:top w:val="single" w:sz="6" w:space="0" w:color="auto"/>
              <w:bottom w:val="single" w:sz="12" w:space="0" w:color="auto"/>
            </w:tcBorders>
          </w:tcPr>
          <w:p w:rsidR="00B32D50" w:rsidRPr="00B74927" w:rsidRDefault="00B32D50" w:rsidP="00F17BCD">
            <w:pPr>
              <w:cnfStyle w:val="010000000000" w:firstRow="0" w:lastRow="1" w:firstColumn="0" w:lastColumn="0" w:oddVBand="0" w:evenVBand="0" w:oddHBand="0" w:evenHBand="0" w:firstRowFirstColumn="0" w:firstRowLastColumn="0" w:lastRowFirstColumn="0" w:lastRowLastColumn="0"/>
            </w:pPr>
            <w:r>
              <w:t>..</w:t>
            </w:r>
          </w:p>
        </w:tc>
      </w:tr>
    </w:tbl>
    <w:p w:rsidR="00B32D50" w:rsidRPr="00F675FB" w:rsidRDefault="00B32D50" w:rsidP="00F17BCD">
      <w:pPr>
        <w:pStyle w:val="Heading30"/>
        <w:rPr>
          <w:rFonts w:eastAsia="Garamond"/>
          <w:lang w:eastAsia="en-AU"/>
        </w:rPr>
      </w:pPr>
      <w:r w:rsidRPr="00F675FB">
        <w:rPr>
          <w:rFonts w:eastAsia="Garamond"/>
          <w:lang w:eastAsia="en-AU"/>
        </w:rPr>
        <w:t>Drought Assistance</w:t>
      </w:r>
    </w:p>
    <w:p w:rsidR="00B32D50" w:rsidRPr="00F675FB" w:rsidRDefault="00B32D50" w:rsidP="00F17BCD">
      <w:pPr>
        <w:rPr>
          <w:rFonts w:ascii="Garamond" w:eastAsia="Garamond" w:hAnsi="Garamond" w:cs="Times New Roman"/>
        </w:rPr>
      </w:pPr>
      <w:r w:rsidRPr="00F675FB">
        <w:rPr>
          <w:rFonts w:ascii="Garamond" w:eastAsia="Garamond" w:hAnsi="Garamond" w:cs="Times New Roman"/>
        </w:rPr>
        <w:t>Funding</w:t>
      </w:r>
      <w:r>
        <w:rPr>
          <w:rFonts w:ascii="Garamond" w:eastAsia="Garamond" w:hAnsi="Garamond" w:cs="Times New Roman"/>
        </w:rPr>
        <w:t xml:space="preserve"> has been</w:t>
      </w:r>
      <w:r w:rsidRPr="00F675FB">
        <w:rPr>
          <w:rFonts w:ascii="Garamond" w:eastAsia="Garamond" w:hAnsi="Garamond" w:cs="Times New Roman"/>
        </w:rPr>
        <w:t xml:space="preserve"> provided</w:t>
      </w:r>
      <w:r>
        <w:rPr>
          <w:rFonts w:ascii="Garamond" w:eastAsia="Garamond" w:hAnsi="Garamond" w:cs="Times New Roman"/>
        </w:rPr>
        <w:t xml:space="preserve"> in two stages to: i) ensure farmers and irrigation communities have the support they need; and ii) provide</w:t>
      </w:r>
      <w:r w:rsidRPr="007F57AD">
        <w:rPr>
          <w:rFonts w:ascii="Garamond" w:eastAsia="Garamond" w:hAnsi="Garamond" w:cs="Times New Roman"/>
        </w:rPr>
        <w:t xml:space="preserve"> targeted support for mental health, small business planning and support for parents in farming communities manage cost of living pressures.</w:t>
      </w:r>
      <w:r w:rsidRPr="00F675FB">
        <w:rPr>
          <w:rFonts w:ascii="Garamond" w:eastAsia="Garamond" w:hAnsi="Garamond" w:cs="Times New Roman"/>
        </w:rPr>
        <w:t xml:space="preserve"> </w:t>
      </w:r>
      <w:r>
        <w:rPr>
          <w:rFonts w:ascii="Garamond" w:eastAsia="Garamond" w:hAnsi="Garamond" w:cs="Times New Roman"/>
        </w:rPr>
        <w:t>A range of i</w:t>
      </w:r>
      <w:r w:rsidRPr="00F675FB">
        <w:rPr>
          <w:rFonts w:ascii="Garamond" w:eastAsia="Garamond" w:hAnsi="Garamond" w:cs="Times New Roman"/>
        </w:rPr>
        <w:t xml:space="preserve">nitiatives </w:t>
      </w:r>
      <w:r>
        <w:rPr>
          <w:rFonts w:ascii="Garamond" w:eastAsia="Garamond" w:hAnsi="Garamond" w:cs="Times New Roman"/>
        </w:rPr>
        <w:t>will support drought affected communities in East and Central Gippsland and help farmers across Northern Victoria prepare for tougher conditions ahead including</w:t>
      </w:r>
      <w:r w:rsidRPr="00F675FB">
        <w:rPr>
          <w:rFonts w:ascii="Garamond" w:eastAsia="Garamond" w:hAnsi="Garamond" w:cs="Times New Roman"/>
        </w:rPr>
        <w:t>:</w:t>
      </w:r>
    </w:p>
    <w:p w:rsidR="00B32D50" w:rsidRPr="00F675FB" w:rsidRDefault="00B32D50" w:rsidP="00F17BCD">
      <w:pPr>
        <w:pStyle w:val="ListBullet"/>
      </w:pPr>
      <w:r w:rsidRPr="00F675FB">
        <w:t xml:space="preserve">Helping affected farmers with drought preparedness and management through on-farm infrastructure improvement grants, providing technical and business supports, animal health and welfare, </w:t>
      </w:r>
      <w:r>
        <w:t>feed budgeting and land management</w:t>
      </w:r>
      <w:r w:rsidRPr="00F675FB">
        <w:t>;</w:t>
      </w:r>
    </w:p>
    <w:p w:rsidR="00B32D50" w:rsidRPr="00F675FB" w:rsidRDefault="00B32D50" w:rsidP="00F17BCD">
      <w:pPr>
        <w:pStyle w:val="ListBullet"/>
      </w:pPr>
      <w:r w:rsidRPr="00F675FB">
        <w:t>Counselling, workshops and mobile mentor services for affected small businesses;</w:t>
      </w:r>
    </w:p>
    <w:p w:rsidR="00B32D50" w:rsidRPr="00F675FB" w:rsidRDefault="00B32D50" w:rsidP="00F17BCD">
      <w:pPr>
        <w:pStyle w:val="ListBullet"/>
      </w:pPr>
      <w:r w:rsidRPr="00F675FB">
        <w:t>Extending the Camps, Sports and Excursions Fund for all students in drought affected areas, a drought kindergarten fee subsidy program and extending the Back to School initiative, helping families with uniforms, shoes and other essential school item costs;</w:t>
      </w:r>
    </w:p>
    <w:p w:rsidR="00B32D50" w:rsidRPr="00F675FB" w:rsidRDefault="00B32D50" w:rsidP="00F17BCD">
      <w:pPr>
        <w:pStyle w:val="ListBullet"/>
      </w:pPr>
      <w:r w:rsidRPr="00F675FB">
        <w:t>Mental health and wellbeing supports including counselling services and psychological first aid training;</w:t>
      </w:r>
    </w:p>
    <w:p w:rsidR="00B32D50" w:rsidRPr="00F675FB" w:rsidRDefault="00B32D50" w:rsidP="00F17BCD">
      <w:pPr>
        <w:pStyle w:val="ListBullet"/>
      </w:pPr>
      <w:r w:rsidRPr="00F675FB">
        <w:t>Health checks by the National Centre for Farmer Health for drought affected families dealing with stress on the farm;</w:t>
      </w:r>
    </w:p>
    <w:p w:rsidR="00B32D50" w:rsidRPr="00F675FB" w:rsidRDefault="00B32D50" w:rsidP="00F17BCD">
      <w:pPr>
        <w:pStyle w:val="ListBullet"/>
      </w:pPr>
      <w:r w:rsidRPr="00F675FB">
        <w:t>Grants for social events and community initiatives, bringing people together off-farm, and for affected local councils to undertake community support activities; and</w:t>
      </w:r>
    </w:p>
    <w:p w:rsidR="00B32D50" w:rsidRPr="00F675FB" w:rsidRDefault="00B32D50" w:rsidP="00F17BCD">
      <w:pPr>
        <w:pStyle w:val="ListBullet"/>
      </w:pPr>
      <w:r w:rsidRPr="00F675FB">
        <w:t xml:space="preserve">The appointment of three Regional Drought Coordinators to oversee </w:t>
      </w:r>
      <w:r>
        <w:t xml:space="preserve">the </w:t>
      </w:r>
      <w:r w:rsidRPr="00F675FB">
        <w:t xml:space="preserve">response. </w:t>
      </w:r>
    </w:p>
    <w:p w:rsidR="00B32D50" w:rsidRPr="00F675FB" w:rsidRDefault="00B32D50" w:rsidP="00F17BCD">
      <w:r w:rsidRPr="00F675FB">
        <w:t>This initiative contributes to the Department of Economic Development, Jobs, Transport and Resources</w:t>
      </w:r>
      <w:r>
        <w:t>’</w:t>
      </w:r>
      <w:r w:rsidRPr="00F675FB">
        <w:t xml:space="preserve"> Agriculture output.</w:t>
      </w:r>
    </w:p>
    <w:p w:rsidR="00B32D50" w:rsidRPr="00F675FB" w:rsidRDefault="00B32D50" w:rsidP="00F17BCD">
      <w:r w:rsidRPr="00F675FB">
        <w:t>This initiative contributes to the Department of Environment, Land, Water and Planning</w:t>
      </w:r>
      <w:r>
        <w:t>’</w:t>
      </w:r>
      <w:r w:rsidRPr="00F675FB">
        <w:t>s Environment and Biodiversity output.</w:t>
      </w:r>
    </w:p>
    <w:p w:rsidR="00B32D50" w:rsidRPr="00F675FB" w:rsidRDefault="00B32D50" w:rsidP="00F17BCD">
      <w:r w:rsidRPr="00F675FB">
        <w:t>This initiative contributes to the Department of Education and Training</w:t>
      </w:r>
      <w:r>
        <w:t>’</w:t>
      </w:r>
      <w:r w:rsidRPr="00F675FB">
        <w:t>s:</w:t>
      </w:r>
    </w:p>
    <w:p w:rsidR="00B32D50" w:rsidRPr="00F675FB" w:rsidRDefault="00B32D50" w:rsidP="00F17BCD">
      <w:pPr>
        <w:pStyle w:val="ListBullet"/>
      </w:pPr>
      <w:r w:rsidRPr="00F675FB">
        <w:t>Support Services Delivery output;</w:t>
      </w:r>
    </w:p>
    <w:p w:rsidR="00B32D50" w:rsidRPr="00F675FB" w:rsidRDefault="00B32D50" w:rsidP="00F17BCD">
      <w:pPr>
        <w:pStyle w:val="ListBullet"/>
      </w:pPr>
      <w:r w:rsidRPr="00F675FB">
        <w:t>Early Childhood Development output;</w:t>
      </w:r>
    </w:p>
    <w:p w:rsidR="00B32D50" w:rsidRPr="00F675FB" w:rsidRDefault="005310BA" w:rsidP="00F17BCD">
      <w:pPr>
        <w:pStyle w:val="ListBullet"/>
      </w:pPr>
      <w:r>
        <w:t>School Education –</w:t>
      </w:r>
      <w:r w:rsidR="00B32D50" w:rsidRPr="00F675FB">
        <w:t xml:space="preserve"> Primary output; and</w:t>
      </w:r>
    </w:p>
    <w:p w:rsidR="00B32D50" w:rsidRPr="00F675FB" w:rsidRDefault="00B32D50" w:rsidP="00F17BCD">
      <w:pPr>
        <w:pStyle w:val="ListBullet"/>
      </w:pPr>
      <w:r w:rsidRPr="00F675FB">
        <w:t>School Education – Secondary output.</w:t>
      </w:r>
    </w:p>
    <w:p w:rsidR="00B32D50" w:rsidRPr="00F675FB" w:rsidRDefault="00B32D50" w:rsidP="00F17BCD">
      <w:r w:rsidRPr="00F675FB">
        <w:t>This initiative contributes to the Department of Health and Human Services</w:t>
      </w:r>
      <w:r>
        <w:t>’</w:t>
      </w:r>
      <w:r w:rsidRPr="00F675FB">
        <w:t xml:space="preserve"> Mental Health Community Support Services (MHCSS) output.</w:t>
      </w:r>
    </w:p>
    <w:p w:rsidR="00B32D50" w:rsidRPr="00834D1D" w:rsidRDefault="00B32D50" w:rsidP="00834D1D">
      <w:pPr>
        <w:pStyle w:val="Heading10"/>
      </w:pPr>
      <w:bookmarkStart w:id="94" w:name="_Toc528864774"/>
      <w:bookmarkStart w:id="95" w:name="_Hlk527022963"/>
      <w:bookmarkEnd w:id="93"/>
      <w:r w:rsidRPr="00834D1D">
        <w:lastRenderedPageBreak/>
        <w:t>Revenue initiatives</w:t>
      </w:r>
      <w:bookmarkEnd w:id="87"/>
      <w:bookmarkEnd w:id="94"/>
    </w:p>
    <w:p w:rsidR="00B32D50" w:rsidRPr="00BF1E77" w:rsidRDefault="00B32D50" w:rsidP="00F17BCD">
      <w:pPr>
        <w:pStyle w:val="TableHeading"/>
        <w:rPr>
          <w:rFonts w:cstheme="majorHAnsi"/>
          <w:i/>
        </w:rPr>
      </w:pPr>
      <w:r w:rsidRPr="00BF1E77">
        <w:rPr>
          <w:rFonts w:cstheme="majorHAnsi"/>
        </w:rPr>
        <w:t>Table</w:t>
      </w:r>
      <w:r>
        <w:rPr>
          <w:rFonts w:eastAsia="Garamond" w:cstheme="majorHAnsi"/>
          <w:szCs w:val="22"/>
        </w:rPr>
        <w:t xml:space="preserve"> A.3</w:t>
      </w:r>
      <w:r w:rsidRPr="00BF1E77">
        <w:rPr>
          <w:rFonts w:eastAsia="Garamond" w:cstheme="majorHAnsi"/>
          <w:szCs w:val="22"/>
        </w:rPr>
        <w:t>:</w:t>
      </w:r>
      <w:r w:rsidRPr="00BF1E77">
        <w:rPr>
          <w:rFonts w:eastAsia="Garamond" w:cstheme="majorHAnsi"/>
          <w:szCs w:val="22"/>
        </w:rPr>
        <w:tab/>
        <w:t>Revenue initiatives</w:t>
      </w:r>
      <w:r w:rsidRPr="00BF1E77">
        <w:rPr>
          <w:rFonts w:eastAsia="Garamond" w:cstheme="majorHAnsi"/>
          <w:szCs w:val="22"/>
        </w:rPr>
        <w:tab/>
        <w:t>($ million)</w:t>
      </w:r>
    </w:p>
    <w:tbl>
      <w:tblPr>
        <w:tblStyle w:val="DTFTable1"/>
        <w:tblW w:w="7766" w:type="dxa"/>
        <w:tblInd w:w="45" w:type="dxa"/>
        <w:tblLayout w:type="fixed"/>
        <w:tblCellMar>
          <w:left w:w="45" w:type="dxa"/>
          <w:right w:w="45" w:type="dxa"/>
        </w:tblCellMar>
        <w:tblLook w:val="06E0" w:firstRow="1" w:lastRow="1" w:firstColumn="1" w:lastColumn="0" w:noHBand="1" w:noVBand="1"/>
      </w:tblPr>
      <w:tblGrid>
        <w:gridCol w:w="4395"/>
        <w:gridCol w:w="821"/>
        <w:gridCol w:w="850"/>
        <w:gridCol w:w="850"/>
        <w:gridCol w:w="850"/>
      </w:tblGrid>
      <w:tr w:rsidR="00B32D50" w:rsidRPr="00BF1E77"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single" w:sz="6" w:space="0" w:color="auto"/>
              <w:bottom w:val="nil"/>
              <w:right w:val="nil"/>
            </w:tcBorders>
            <w:shd w:val="solid" w:color="000000" w:fill="auto"/>
          </w:tcPr>
          <w:p w:rsidR="00B32D50" w:rsidRPr="00BF1E77" w:rsidRDefault="00B32D50" w:rsidP="00F17BCD">
            <w:pPr>
              <w:rPr>
                <w:lang w:eastAsia="en-AU"/>
              </w:rPr>
            </w:pPr>
          </w:p>
        </w:tc>
        <w:tc>
          <w:tcPr>
            <w:tcW w:w="821" w:type="dxa"/>
            <w:tcBorders>
              <w:top w:val="nil"/>
              <w:left w:val="nil"/>
              <w:bottom w:val="nil"/>
              <w:right w:val="nil"/>
            </w:tcBorders>
            <w:shd w:val="solid" w:color="000000" w:fill="auto"/>
          </w:tcPr>
          <w:p w:rsidR="00B32D50" w:rsidRPr="00BF1E77"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sidRPr="00BF1E77">
              <w:rPr>
                <w:iCs/>
                <w:lang w:eastAsia="en-AU"/>
              </w:rPr>
              <w:t>2018-19</w:t>
            </w:r>
          </w:p>
        </w:tc>
        <w:tc>
          <w:tcPr>
            <w:tcW w:w="850" w:type="dxa"/>
            <w:tcBorders>
              <w:top w:val="nil"/>
              <w:left w:val="nil"/>
              <w:bottom w:val="nil"/>
              <w:right w:val="nil"/>
            </w:tcBorders>
            <w:shd w:val="solid" w:color="000000" w:fill="auto"/>
          </w:tcPr>
          <w:p w:rsidR="00B32D50" w:rsidRPr="00BF1E77"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sidRPr="00BF1E77">
              <w:rPr>
                <w:iCs/>
                <w:lang w:eastAsia="en-AU"/>
              </w:rPr>
              <w:t>2019-20</w:t>
            </w:r>
          </w:p>
        </w:tc>
        <w:tc>
          <w:tcPr>
            <w:tcW w:w="850" w:type="dxa"/>
            <w:tcBorders>
              <w:top w:val="nil"/>
              <w:left w:val="nil"/>
              <w:bottom w:val="nil"/>
              <w:right w:val="nil"/>
            </w:tcBorders>
            <w:shd w:val="solid" w:color="000000" w:fill="auto"/>
          </w:tcPr>
          <w:p w:rsidR="00B32D50" w:rsidRPr="00BF1E77"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sidRPr="00BF1E77">
              <w:rPr>
                <w:iCs/>
                <w:lang w:eastAsia="en-AU"/>
              </w:rPr>
              <w:t>2020-21</w:t>
            </w:r>
          </w:p>
        </w:tc>
        <w:tc>
          <w:tcPr>
            <w:tcW w:w="850" w:type="dxa"/>
            <w:tcBorders>
              <w:top w:val="nil"/>
              <w:left w:val="nil"/>
              <w:bottom w:val="nil"/>
              <w:right w:val="nil"/>
            </w:tcBorders>
            <w:shd w:val="solid" w:color="000000" w:fill="auto"/>
          </w:tcPr>
          <w:p w:rsidR="00B32D50" w:rsidRPr="00BF1E77"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sidRPr="00BF1E77">
              <w:rPr>
                <w:iCs/>
                <w:lang w:eastAsia="en-AU"/>
              </w:rPr>
              <w:t>2021-22</w:t>
            </w:r>
          </w:p>
        </w:tc>
      </w:tr>
      <w:tr w:rsidR="00B32D50" w:rsidRPr="00BF1E77" w:rsidTr="00F17BCD">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tcPr>
          <w:p w:rsidR="00B32D50" w:rsidRPr="00BF1E77" w:rsidRDefault="00B32D50" w:rsidP="00F17BCD">
            <w:pPr>
              <w:rPr>
                <w:color w:val="000000"/>
                <w:szCs w:val="17"/>
                <w:lang w:eastAsia="en-AU"/>
              </w:rPr>
            </w:pPr>
            <w:r w:rsidRPr="00BF1E77">
              <w:rPr>
                <w:color w:val="000000"/>
                <w:szCs w:val="17"/>
              </w:rPr>
              <w:t xml:space="preserve">Point of Consumption Tax </w:t>
            </w:r>
          </w:p>
        </w:tc>
        <w:tc>
          <w:tcPr>
            <w:tcW w:w="821" w:type="dxa"/>
            <w:tcBorders>
              <w:top w:val="nil"/>
              <w:left w:val="nil"/>
              <w:bottom w:val="nil"/>
              <w:right w:val="nil"/>
            </w:tcBorders>
            <w:shd w:val="clear" w:color="auto" w:fill="auto"/>
          </w:tcPr>
          <w:p w:rsidR="00B32D50" w:rsidRPr="00BF1E77" w:rsidRDefault="00B32D50" w:rsidP="00F17BCD">
            <w:pP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BF1E77">
              <w:rPr>
                <w:color w:val="000000"/>
                <w:szCs w:val="17"/>
              </w:rPr>
              <w:t>34.0</w:t>
            </w:r>
          </w:p>
        </w:tc>
        <w:tc>
          <w:tcPr>
            <w:tcW w:w="850" w:type="dxa"/>
            <w:tcBorders>
              <w:top w:val="nil"/>
              <w:left w:val="nil"/>
              <w:bottom w:val="nil"/>
              <w:right w:val="nil"/>
            </w:tcBorders>
            <w:shd w:val="clear" w:color="auto" w:fill="auto"/>
          </w:tcPr>
          <w:p w:rsidR="00B32D50" w:rsidRPr="00BF1E77" w:rsidRDefault="00B32D50" w:rsidP="00F17BCD">
            <w:pPr>
              <w:cnfStyle w:val="000000000000" w:firstRow="0" w:lastRow="0" w:firstColumn="0" w:lastColumn="0" w:oddVBand="0" w:evenVBand="0" w:oddHBand="0" w:evenHBand="0" w:firstRowFirstColumn="0" w:firstRowLastColumn="0" w:lastRowFirstColumn="0" w:lastRowLastColumn="0"/>
              <w:rPr>
                <w:color w:val="000000"/>
                <w:szCs w:val="17"/>
              </w:rPr>
            </w:pPr>
            <w:r w:rsidRPr="00BF1E77">
              <w:rPr>
                <w:color w:val="000000"/>
                <w:szCs w:val="17"/>
              </w:rPr>
              <w:t>106.0</w:t>
            </w:r>
          </w:p>
        </w:tc>
        <w:tc>
          <w:tcPr>
            <w:tcW w:w="850" w:type="dxa"/>
            <w:tcBorders>
              <w:top w:val="nil"/>
              <w:left w:val="nil"/>
              <w:bottom w:val="nil"/>
              <w:right w:val="nil"/>
            </w:tcBorders>
            <w:shd w:val="clear" w:color="auto" w:fill="auto"/>
          </w:tcPr>
          <w:p w:rsidR="00B32D50" w:rsidRPr="00BF1E77" w:rsidRDefault="00B32D50" w:rsidP="00F17BCD">
            <w:pPr>
              <w:cnfStyle w:val="000000000000" w:firstRow="0" w:lastRow="0" w:firstColumn="0" w:lastColumn="0" w:oddVBand="0" w:evenVBand="0" w:oddHBand="0" w:evenHBand="0" w:firstRowFirstColumn="0" w:firstRowLastColumn="0" w:lastRowFirstColumn="0" w:lastRowLastColumn="0"/>
              <w:rPr>
                <w:color w:val="000000"/>
                <w:szCs w:val="17"/>
              </w:rPr>
            </w:pPr>
            <w:r w:rsidRPr="00BF1E77">
              <w:rPr>
                <w:color w:val="000000"/>
                <w:szCs w:val="17"/>
              </w:rPr>
              <w:t>109.0</w:t>
            </w:r>
          </w:p>
        </w:tc>
        <w:tc>
          <w:tcPr>
            <w:tcW w:w="850" w:type="dxa"/>
            <w:tcBorders>
              <w:top w:val="nil"/>
              <w:left w:val="nil"/>
              <w:bottom w:val="nil"/>
              <w:right w:val="nil"/>
            </w:tcBorders>
            <w:shd w:val="clear" w:color="auto" w:fill="auto"/>
          </w:tcPr>
          <w:p w:rsidR="00B32D50" w:rsidRPr="00BF1E77" w:rsidRDefault="00B32D50" w:rsidP="00F17BCD">
            <w:pPr>
              <w:cnfStyle w:val="000000000000" w:firstRow="0" w:lastRow="0" w:firstColumn="0" w:lastColumn="0" w:oddVBand="0" w:evenVBand="0" w:oddHBand="0" w:evenHBand="0" w:firstRowFirstColumn="0" w:firstRowLastColumn="0" w:lastRowFirstColumn="0" w:lastRowLastColumn="0"/>
              <w:rPr>
                <w:color w:val="000000"/>
                <w:szCs w:val="17"/>
              </w:rPr>
            </w:pPr>
            <w:r w:rsidRPr="00BF1E77">
              <w:rPr>
                <w:color w:val="000000"/>
                <w:szCs w:val="17"/>
              </w:rPr>
              <w:t>113.0</w:t>
            </w:r>
          </w:p>
        </w:tc>
      </w:tr>
      <w:tr w:rsidR="00B32D50" w:rsidRPr="00BF1E77" w:rsidTr="00F17BCD">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tcPr>
          <w:p w:rsidR="00B32D50" w:rsidRPr="00BF1E77" w:rsidRDefault="00B32D50" w:rsidP="00F17BCD">
            <w:pPr>
              <w:rPr>
                <w:color w:val="000000"/>
                <w:szCs w:val="17"/>
              </w:rPr>
            </w:pPr>
            <w:r w:rsidRPr="00E118E1">
              <w:rPr>
                <w:color w:val="000000"/>
                <w:szCs w:val="17"/>
              </w:rPr>
              <w:t>Repeal of existing wagering taxes</w:t>
            </w:r>
          </w:p>
        </w:tc>
        <w:tc>
          <w:tcPr>
            <w:tcW w:w="821" w:type="dxa"/>
            <w:tcBorders>
              <w:top w:val="nil"/>
              <w:left w:val="nil"/>
              <w:bottom w:val="nil"/>
              <w:right w:val="nil"/>
            </w:tcBorders>
            <w:shd w:val="clear" w:color="auto" w:fill="auto"/>
          </w:tcPr>
          <w:p w:rsidR="00B32D50" w:rsidRPr="00BF1E77" w:rsidRDefault="00B32D50" w:rsidP="00F17BCD">
            <w:pPr>
              <w:cnfStyle w:val="000000000000" w:firstRow="0" w:lastRow="0" w:firstColumn="0" w:lastColumn="0" w:oddVBand="0" w:evenVBand="0" w:oddHBand="0" w:evenHBand="0" w:firstRowFirstColumn="0" w:firstRowLastColumn="0" w:lastRowFirstColumn="0" w:lastRowLastColumn="0"/>
              <w:rPr>
                <w:color w:val="000000"/>
                <w:szCs w:val="17"/>
              </w:rPr>
            </w:pPr>
            <w:r w:rsidRPr="00E118E1">
              <w:rPr>
                <w:color w:val="000000"/>
                <w:szCs w:val="17"/>
              </w:rPr>
              <w:t>(18.0)</w:t>
            </w:r>
          </w:p>
        </w:tc>
        <w:tc>
          <w:tcPr>
            <w:tcW w:w="850" w:type="dxa"/>
            <w:tcBorders>
              <w:top w:val="nil"/>
              <w:left w:val="nil"/>
              <w:bottom w:val="nil"/>
              <w:right w:val="nil"/>
            </w:tcBorders>
            <w:shd w:val="clear" w:color="auto" w:fill="auto"/>
          </w:tcPr>
          <w:p w:rsidR="00B32D50" w:rsidRPr="00BF1E77" w:rsidRDefault="00B32D50" w:rsidP="00F17BCD">
            <w:pPr>
              <w:cnfStyle w:val="000000000000" w:firstRow="0" w:lastRow="0" w:firstColumn="0" w:lastColumn="0" w:oddVBand="0" w:evenVBand="0" w:oddHBand="0" w:evenHBand="0" w:firstRowFirstColumn="0" w:firstRowLastColumn="0" w:lastRowFirstColumn="0" w:lastRowLastColumn="0"/>
              <w:rPr>
                <w:color w:val="000000"/>
                <w:szCs w:val="17"/>
              </w:rPr>
            </w:pPr>
            <w:r w:rsidRPr="00E118E1">
              <w:rPr>
                <w:color w:val="000000"/>
                <w:szCs w:val="17"/>
              </w:rPr>
              <w:t>(55.0)</w:t>
            </w:r>
          </w:p>
        </w:tc>
        <w:tc>
          <w:tcPr>
            <w:tcW w:w="850" w:type="dxa"/>
            <w:tcBorders>
              <w:top w:val="nil"/>
              <w:left w:val="nil"/>
              <w:bottom w:val="nil"/>
              <w:right w:val="nil"/>
            </w:tcBorders>
            <w:shd w:val="clear" w:color="auto" w:fill="auto"/>
          </w:tcPr>
          <w:p w:rsidR="00B32D50" w:rsidRPr="00BF1E77" w:rsidRDefault="00B32D50" w:rsidP="00F17BCD">
            <w:pPr>
              <w:cnfStyle w:val="000000000000" w:firstRow="0" w:lastRow="0" w:firstColumn="0" w:lastColumn="0" w:oddVBand="0" w:evenVBand="0" w:oddHBand="0" w:evenHBand="0" w:firstRowFirstColumn="0" w:firstRowLastColumn="0" w:lastRowFirstColumn="0" w:lastRowLastColumn="0"/>
              <w:rPr>
                <w:color w:val="000000"/>
                <w:szCs w:val="17"/>
              </w:rPr>
            </w:pPr>
            <w:r w:rsidRPr="00E118E1">
              <w:rPr>
                <w:color w:val="000000"/>
                <w:szCs w:val="17"/>
              </w:rPr>
              <w:t>(55.0)</w:t>
            </w:r>
          </w:p>
        </w:tc>
        <w:tc>
          <w:tcPr>
            <w:tcW w:w="850" w:type="dxa"/>
            <w:tcBorders>
              <w:top w:val="nil"/>
              <w:left w:val="nil"/>
              <w:bottom w:val="nil"/>
              <w:right w:val="nil"/>
            </w:tcBorders>
            <w:shd w:val="clear" w:color="auto" w:fill="auto"/>
          </w:tcPr>
          <w:p w:rsidR="00B32D50" w:rsidRPr="00BF1E77" w:rsidRDefault="00B32D50" w:rsidP="00F17BCD">
            <w:pPr>
              <w:cnfStyle w:val="000000000000" w:firstRow="0" w:lastRow="0" w:firstColumn="0" w:lastColumn="0" w:oddVBand="0" w:evenVBand="0" w:oddHBand="0" w:evenHBand="0" w:firstRowFirstColumn="0" w:firstRowLastColumn="0" w:lastRowFirstColumn="0" w:lastRowLastColumn="0"/>
              <w:rPr>
                <w:color w:val="000000"/>
                <w:szCs w:val="17"/>
              </w:rPr>
            </w:pPr>
            <w:r w:rsidRPr="00E118E1">
              <w:rPr>
                <w:color w:val="000000"/>
                <w:szCs w:val="17"/>
              </w:rPr>
              <w:t>(55.0)</w:t>
            </w:r>
          </w:p>
        </w:tc>
      </w:tr>
      <w:tr w:rsidR="00B32D50" w:rsidRPr="00BF1E77"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auto"/>
              <w:bottom w:val="single" w:sz="12" w:space="0" w:color="auto"/>
            </w:tcBorders>
            <w:shd w:val="solid" w:color="FFFFFF" w:fill="auto"/>
          </w:tcPr>
          <w:p w:rsidR="00B32D50" w:rsidRPr="00BF1E77" w:rsidRDefault="00B32D50" w:rsidP="00F17BCD">
            <w:pPr>
              <w:rPr>
                <w:bCs/>
                <w:color w:val="000000"/>
                <w:lang w:eastAsia="en-AU"/>
              </w:rPr>
            </w:pPr>
            <w:r w:rsidRPr="00BF1E77">
              <w:rPr>
                <w:bCs/>
                <w:color w:val="000000"/>
                <w:lang w:eastAsia="en-AU"/>
              </w:rPr>
              <w:t>Total revenue initiatives</w:t>
            </w:r>
            <w:r>
              <w:rPr>
                <w:bCs/>
                <w:color w:val="000000"/>
                <w:vertAlign w:val="superscript"/>
                <w:lang w:eastAsia="en-AU"/>
              </w:rPr>
              <w:t>(a</w:t>
            </w:r>
            <w:r w:rsidRPr="001243E7">
              <w:rPr>
                <w:bCs/>
                <w:color w:val="000000"/>
                <w:vertAlign w:val="superscript"/>
                <w:lang w:eastAsia="en-AU"/>
              </w:rPr>
              <w:t>)</w:t>
            </w:r>
            <w:r>
              <w:rPr>
                <w:bCs/>
                <w:color w:val="000000"/>
                <w:lang w:eastAsia="en-AU"/>
              </w:rPr>
              <w:t xml:space="preserve"> </w:t>
            </w:r>
          </w:p>
        </w:tc>
        <w:tc>
          <w:tcPr>
            <w:tcW w:w="821" w:type="dxa"/>
            <w:tcBorders>
              <w:top w:val="single" w:sz="6" w:space="0" w:color="auto"/>
              <w:bottom w:val="single" w:sz="12" w:space="0" w:color="auto"/>
            </w:tcBorders>
          </w:tcPr>
          <w:p w:rsidR="00B32D50" w:rsidRPr="00843223" w:rsidRDefault="00B32D50" w:rsidP="00F17BCD">
            <w:pPr>
              <w:keepLines w:val="0"/>
              <w:cnfStyle w:val="010000000000" w:firstRow="0" w:lastRow="1" w:firstColumn="0" w:lastColumn="0" w:oddVBand="0" w:evenVBand="0" w:oddHBand="0" w:evenHBand="0" w:firstRowFirstColumn="0" w:firstRowLastColumn="0" w:lastRowFirstColumn="0" w:lastRowLastColumn="0"/>
              <w:rPr>
                <w:rFonts w:cs="Calibri"/>
                <w:b w:val="0"/>
                <w:bCs/>
                <w:color w:val="000000"/>
                <w:szCs w:val="17"/>
              </w:rPr>
            </w:pPr>
            <w:r>
              <w:rPr>
                <w:rFonts w:cs="Calibri"/>
                <w:bCs/>
                <w:color w:val="000000"/>
                <w:szCs w:val="17"/>
              </w:rPr>
              <w:t>16</w:t>
            </w:r>
            <w:r w:rsidRPr="00843223">
              <w:rPr>
                <w:rFonts w:cs="Calibri"/>
                <w:bCs/>
                <w:color w:val="000000"/>
                <w:szCs w:val="17"/>
              </w:rPr>
              <w:t>.0</w:t>
            </w:r>
          </w:p>
        </w:tc>
        <w:tc>
          <w:tcPr>
            <w:tcW w:w="850" w:type="dxa"/>
            <w:tcBorders>
              <w:top w:val="single" w:sz="6" w:space="0" w:color="auto"/>
              <w:bottom w:val="single" w:sz="12" w:space="0" w:color="auto"/>
            </w:tcBorders>
          </w:tcPr>
          <w:p w:rsidR="00B32D50" w:rsidRPr="00843223" w:rsidRDefault="00B32D50" w:rsidP="00F17BCD">
            <w:pPr>
              <w:cnfStyle w:val="010000000000" w:firstRow="0" w:lastRow="1" w:firstColumn="0" w:lastColumn="0" w:oddVBand="0" w:evenVBand="0" w:oddHBand="0" w:evenHBand="0" w:firstRowFirstColumn="0" w:firstRowLastColumn="0" w:lastRowFirstColumn="0" w:lastRowLastColumn="0"/>
              <w:rPr>
                <w:rFonts w:cs="Calibri"/>
                <w:b w:val="0"/>
                <w:bCs/>
                <w:color w:val="000000"/>
                <w:szCs w:val="17"/>
              </w:rPr>
            </w:pPr>
            <w:r>
              <w:rPr>
                <w:rFonts w:cs="Calibri"/>
                <w:bCs/>
                <w:color w:val="000000"/>
                <w:szCs w:val="17"/>
              </w:rPr>
              <w:t>51</w:t>
            </w:r>
            <w:r w:rsidRPr="00843223">
              <w:rPr>
                <w:rFonts w:cs="Calibri"/>
                <w:bCs/>
                <w:color w:val="000000"/>
                <w:szCs w:val="17"/>
              </w:rPr>
              <w:t>.0</w:t>
            </w:r>
          </w:p>
        </w:tc>
        <w:tc>
          <w:tcPr>
            <w:tcW w:w="850" w:type="dxa"/>
            <w:tcBorders>
              <w:top w:val="single" w:sz="6" w:space="0" w:color="auto"/>
              <w:bottom w:val="single" w:sz="12" w:space="0" w:color="auto"/>
            </w:tcBorders>
          </w:tcPr>
          <w:p w:rsidR="00B32D50" w:rsidRPr="00843223" w:rsidRDefault="00B32D50" w:rsidP="00F17BCD">
            <w:pPr>
              <w:cnfStyle w:val="010000000000" w:firstRow="0" w:lastRow="1" w:firstColumn="0" w:lastColumn="0" w:oddVBand="0" w:evenVBand="0" w:oddHBand="0" w:evenHBand="0" w:firstRowFirstColumn="0" w:firstRowLastColumn="0" w:lastRowFirstColumn="0" w:lastRowLastColumn="0"/>
              <w:rPr>
                <w:rFonts w:cs="Calibri"/>
                <w:b w:val="0"/>
                <w:bCs/>
                <w:color w:val="000000"/>
                <w:szCs w:val="17"/>
              </w:rPr>
            </w:pPr>
            <w:r>
              <w:rPr>
                <w:rFonts w:cs="Calibri"/>
                <w:bCs/>
                <w:color w:val="000000"/>
                <w:szCs w:val="17"/>
              </w:rPr>
              <w:t>54</w:t>
            </w:r>
            <w:r w:rsidRPr="00843223">
              <w:rPr>
                <w:rFonts w:cs="Calibri"/>
                <w:bCs/>
                <w:color w:val="000000"/>
                <w:szCs w:val="17"/>
              </w:rPr>
              <w:t>.0</w:t>
            </w:r>
          </w:p>
        </w:tc>
        <w:tc>
          <w:tcPr>
            <w:tcW w:w="850" w:type="dxa"/>
            <w:tcBorders>
              <w:top w:val="single" w:sz="6" w:space="0" w:color="auto"/>
              <w:bottom w:val="single" w:sz="12" w:space="0" w:color="auto"/>
            </w:tcBorders>
          </w:tcPr>
          <w:p w:rsidR="00B32D50" w:rsidRPr="00843223" w:rsidRDefault="00B32D50" w:rsidP="00F17BCD">
            <w:pPr>
              <w:cnfStyle w:val="010000000000" w:firstRow="0" w:lastRow="1" w:firstColumn="0" w:lastColumn="0" w:oddVBand="0" w:evenVBand="0" w:oddHBand="0" w:evenHBand="0" w:firstRowFirstColumn="0" w:firstRowLastColumn="0" w:lastRowFirstColumn="0" w:lastRowLastColumn="0"/>
              <w:rPr>
                <w:rFonts w:cs="Calibri"/>
                <w:b w:val="0"/>
                <w:bCs/>
                <w:color w:val="000000"/>
                <w:szCs w:val="17"/>
              </w:rPr>
            </w:pPr>
            <w:r>
              <w:rPr>
                <w:rFonts w:cs="Calibri"/>
                <w:bCs/>
                <w:color w:val="000000"/>
                <w:szCs w:val="17"/>
              </w:rPr>
              <w:t>58</w:t>
            </w:r>
            <w:r w:rsidRPr="00843223">
              <w:rPr>
                <w:rFonts w:cs="Calibri"/>
                <w:bCs/>
                <w:color w:val="000000"/>
                <w:szCs w:val="17"/>
              </w:rPr>
              <w:t>.0</w:t>
            </w:r>
          </w:p>
        </w:tc>
      </w:tr>
    </w:tbl>
    <w:p w:rsidR="00B32D50" w:rsidRPr="00173C22" w:rsidRDefault="00B32D50" w:rsidP="00F17BCD">
      <w:pPr>
        <w:pStyle w:val="Note"/>
      </w:pPr>
      <w:r w:rsidRPr="00173C22">
        <w:t>Note:</w:t>
      </w:r>
    </w:p>
    <w:p w:rsidR="00B32D50" w:rsidRPr="00173C22" w:rsidRDefault="00B32D50" w:rsidP="00F17BCD">
      <w:pPr>
        <w:pStyle w:val="Note"/>
      </w:pPr>
      <w:r w:rsidRPr="00173C22">
        <w:t xml:space="preserve">(a) </w:t>
      </w:r>
      <w:r w:rsidRPr="00173C22">
        <w:tab/>
        <w:t>Table may not add due to rounding.</w:t>
      </w:r>
    </w:p>
    <w:p w:rsidR="00B32D50" w:rsidRPr="007F4B6F" w:rsidRDefault="00B32D50" w:rsidP="00F17BCD">
      <w:pPr>
        <w:pStyle w:val="Heading30"/>
      </w:pPr>
      <w:r w:rsidRPr="007F4B6F">
        <w:t>Point of Consumption Tax</w:t>
      </w:r>
    </w:p>
    <w:p w:rsidR="00B32D50" w:rsidRPr="004B3B21" w:rsidRDefault="00B32D50" w:rsidP="00F17BCD">
      <w:pPr>
        <w:rPr>
          <w:rFonts w:ascii="Garamond" w:eastAsia="Garamond" w:hAnsi="Garamond" w:cs="Times New Roman"/>
        </w:rPr>
      </w:pPr>
      <w:bookmarkStart w:id="96" w:name="_Hlk527022984"/>
      <w:bookmarkEnd w:id="95"/>
      <w:r w:rsidRPr="004B3B21">
        <w:rPr>
          <w:rFonts w:ascii="Garamond" w:eastAsia="Garamond" w:hAnsi="Garamond" w:cs="Times New Roman"/>
        </w:rPr>
        <w:t>Commencing on 1 January 2019, a Point of Consumption Tax (POCT) will apply to all wagering and betting in Victoria. The POCT will apply at a rate of 8 per cent of net wagering revenue earned in excess of an annual $1 million tax-free threshold, on bets placed by persons located in Victoria.</w:t>
      </w:r>
    </w:p>
    <w:p w:rsidR="00B32D50" w:rsidRPr="004B3B21" w:rsidRDefault="00B32D50" w:rsidP="00F17BCD">
      <w:pPr>
        <w:rPr>
          <w:rFonts w:ascii="Garamond" w:eastAsia="Garamond" w:hAnsi="Garamond" w:cs="Times New Roman"/>
        </w:rPr>
      </w:pPr>
      <w:r w:rsidRPr="004B3B21">
        <w:rPr>
          <w:rFonts w:ascii="Garamond" w:eastAsia="Garamond" w:hAnsi="Garamond" w:cs="Times New Roman"/>
        </w:rPr>
        <w:t>The POCT will replace the current wagering tax framework which was estimated to raise around $55 million in 2019-20 and will apply to all bets taken by wagering and betting operators from persons located in Victoria, regardless of where the entity is located or licensed. It will better align the wagering tax framework with the increasingly digital betting environment.</w:t>
      </w:r>
    </w:p>
    <w:p w:rsidR="00B32D50" w:rsidRDefault="00B32D50" w:rsidP="00F17BCD">
      <w:pPr>
        <w:rPr>
          <w:rFonts w:ascii="Garamond" w:eastAsia="Garamond" w:hAnsi="Garamond" w:cs="Times New Roman"/>
        </w:rPr>
      </w:pPr>
      <w:r w:rsidRPr="004B3B21">
        <w:rPr>
          <w:rFonts w:ascii="Garamond" w:eastAsia="Garamond" w:hAnsi="Garamond" w:cs="Times New Roman"/>
        </w:rPr>
        <w:t xml:space="preserve">In line with the introduction of the POCT, 1.5 per cent of taxable net wagering revenue received will </w:t>
      </w:r>
      <w:r>
        <w:rPr>
          <w:rFonts w:ascii="Garamond" w:eastAsia="Garamond" w:hAnsi="Garamond" w:cs="Times New Roman"/>
        </w:rPr>
        <w:t>be provided</w:t>
      </w:r>
      <w:r w:rsidRPr="004B3B21">
        <w:rPr>
          <w:rFonts w:ascii="Garamond" w:eastAsia="Garamond" w:hAnsi="Garamond" w:cs="Times New Roman"/>
        </w:rPr>
        <w:t xml:space="preserve"> to the Victorian Racing Industry</w:t>
      </w:r>
      <w:r>
        <w:rPr>
          <w:rFonts w:ascii="Garamond" w:eastAsia="Garamond" w:hAnsi="Garamond" w:cs="Times New Roman"/>
        </w:rPr>
        <w:t xml:space="preserve"> (VRI)</w:t>
      </w:r>
      <w:r w:rsidRPr="004B3B21">
        <w:rPr>
          <w:rFonts w:ascii="Garamond" w:eastAsia="Garamond" w:hAnsi="Garamond" w:cs="Times New Roman"/>
        </w:rPr>
        <w:t>. The revenue raised by the POCT, after this disbursement of funds to the V</w:t>
      </w:r>
      <w:r>
        <w:rPr>
          <w:rFonts w:ascii="Garamond" w:eastAsia="Garamond" w:hAnsi="Garamond" w:cs="Times New Roman"/>
        </w:rPr>
        <w:t>RI</w:t>
      </w:r>
      <w:r w:rsidRPr="004B3B21">
        <w:rPr>
          <w:rFonts w:ascii="Garamond" w:eastAsia="Garamond" w:hAnsi="Garamond" w:cs="Times New Roman"/>
        </w:rPr>
        <w:t>, will be paid into the Hospitals and Charities Fund.</w:t>
      </w:r>
    </w:p>
    <w:p w:rsidR="00B32D50" w:rsidRPr="004B3B21" w:rsidRDefault="00B32D50" w:rsidP="00F17BCD">
      <w:pPr>
        <w:rPr>
          <w:rFonts w:ascii="Garamond" w:eastAsia="Garamond" w:hAnsi="Garamond" w:cs="Times New Roman"/>
        </w:rPr>
      </w:pPr>
      <w:r>
        <w:rPr>
          <w:rFonts w:ascii="Garamond" w:eastAsia="Garamond" w:hAnsi="Garamond" w:cs="Times New Roman"/>
        </w:rPr>
        <w:t xml:space="preserve">The POCT will raise approximately $106 million in total revenue per year from 2019-20, its first full year of operation, resulting in total additional revenue of approximately $51 million per year from 2019-20. After accounting for the VRI payment, the net additional revenue raised by the </w:t>
      </w:r>
      <w:r w:rsidRPr="00E90607">
        <w:rPr>
          <w:rFonts w:ascii="Garamond" w:eastAsia="Garamond" w:hAnsi="Garamond" w:cs="Times New Roman"/>
        </w:rPr>
        <w:t>POCT will be a</w:t>
      </w:r>
      <w:r>
        <w:rPr>
          <w:rFonts w:ascii="Garamond" w:eastAsia="Garamond" w:hAnsi="Garamond" w:cs="Times New Roman"/>
        </w:rPr>
        <w:t>pproximately</w:t>
      </w:r>
      <w:r w:rsidRPr="00E90607">
        <w:rPr>
          <w:rFonts w:ascii="Garamond" w:eastAsia="Garamond" w:hAnsi="Garamond" w:cs="Times New Roman"/>
        </w:rPr>
        <w:t xml:space="preserve"> $34 million</w:t>
      </w:r>
      <w:r>
        <w:rPr>
          <w:rFonts w:ascii="Garamond" w:eastAsia="Garamond" w:hAnsi="Garamond" w:cs="Times New Roman"/>
        </w:rPr>
        <w:t xml:space="preserve"> per year across the forward estimates.</w:t>
      </w:r>
      <w:r w:rsidRPr="001C0A97">
        <w:t xml:space="preserve"> </w:t>
      </w:r>
      <w:r>
        <w:rPr>
          <w:rFonts w:ascii="Garamond" w:eastAsia="Garamond" w:hAnsi="Garamond" w:cs="Times New Roman"/>
        </w:rPr>
        <w:t xml:space="preserve">The payment to the VRI is outlined further in the </w:t>
      </w:r>
      <w:r w:rsidRPr="001C0A97">
        <w:rPr>
          <w:rFonts w:ascii="Garamond" w:eastAsia="Garamond" w:hAnsi="Garamond" w:cs="Times New Roman"/>
        </w:rPr>
        <w:t>output initiative published in the Department of Justice and Regulation section of this</w:t>
      </w:r>
      <w:r>
        <w:rPr>
          <w:rFonts w:ascii="Garamond" w:eastAsia="Garamond" w:hAnsi="Garamond" w:cs="Times New Roman"/>
        </w:rPr>
        <w:t xml:space="preserve"> Appendix.</w:t>
      </w:r>
    </w:p>
    <w:p w:rsidR="00B32D50" w:rsidRDefault="00B32D50" w:rsidP="00F17BCD"/>
    <w:p w:rsidR="00B32D50" w:rsidRPr="004B3B21" w:rsidRDefault="00B32D50" w:rsidP="00F17BCD">
      <w:pPr>
        <w:rPr>
          <w:rFonts w:ascii="Garamond" w:eastAsia="Garamond" w:hAnsi="Garamond" w:cs="Times New Roman"/>
        </w:rPr>
      </w:pPr>
    </w:p>
    <w:bookmarkEnd w:id="96"/>
    <w:p w:rsidR="00B32D50" w:rsidRDefault="00B32D50">
      <w:pPr>
        <w:keepLines w:val="0"/>
      </w:pPr>
      <w:r>
        <w:br w:type="page"/>
      </w:r>
    </w:p>
    <w:p w:rsidR="00B32D50" w:rsidRDefault="00B32D50" w:rsidP="00F17BCD">
      <w:pPr>
        <w:pStyle w:val="Heading10"/>
      </w:pPr>
      <w:bookmarkStart w:id="97" w:name="_Toc528864775"/>
      <w:bookmarkStart w:id="98" w:name="_Hlk527367141"/>
      <w:r>
        <w:lastRenderedPageBreak/>
        <w:t>Department of Economic Development, Jobs, Transport and Resources</w:t>
      </w:r>
      <w:bookmarkEnd w:id="97"/>
    </w:p>
    <w:p w:rsidR="00B32D50" w:rsidRPr="007F4B6F" w:rsidRDefault="00B32D50" w:rsidP="00F17BCD">
      <w:pPr>
        <w:pStyle w:val="Heading20"/>
        <w:rPr>
          <w:i/>
        </w:rPr>
      </w:pPr>
      <w:r w:rsidRPr="007F4B6F">
        <w:rPr>
          <w:i/>
        </w:rPr>
        <w:t>Output initiatives</w:t>
      </w:r>
    </w:p>
    <w:p w:rsidR="00B32D50" w:rsidRPr="00713017" w:rsidRDefault="00B32D50" w:rsidP="00F17BCD">
      <w:pPr>
        <w:pStyle w:val="TableHeading"/>
        <w:spacing w:before="180"/>
        <w:rPr>
          <w:rFonts w:cstheme="majorHAnsi"/>
          <w:kern w:val="28"/>
          <w:sz w:val="24"/>
          <w:szCs w:val="22"/>
        </w:rPr>
      </w:pPr>
      <w:bookmarkStart w:id="99" w:name="_Hlk527370141"/>
      <w:bookmarkEnd w:id="98"/>
      <w:r>
        <w:rPr>
          <w:rFonts w:eastAsia="Garamond" w:cstheme="majorHAnsi"/>
          <w:szCs w:val="22"/>
        </w:rPr>
        <w:t>Table A.4</w:t>
      </w:r>
      <w:r w:rsidRPr="00713017">
        <w:rPr>
          <w:rFonts w:eastAsia="Garamond" w:cstheme="majorHAnsi"/>
          <w:szCs w:val="22"/>
        </w:rPr>
        <w:t>:</w:t>
      </w:r>
      <w:r w:rsidRPr="00713017">
        <w:rPr>
          <w:rFonts w:eastAsia="Garamond" w:cstheme="majorHAnsi"/>
          <w:szCs w:val="22"/>
        </w:rPr>
        <w:tab/>
        <w:t xml:space="preserve">Output initiatives – Department of Economic Development, Jobs, </w:t>
      </w:r>
      <w:r w:rsidRPr="00713017">
        <w:rPr>
          <w:rFonts w:eastAsia="Garamond" w:cstheme="majorHAnsi"/>
          <w:szCs w:val="22"/>
        </w:rPr>
        <w:br/>
        <w:t>Transport and Resources</w:t>
      </w:r>
      <w:r w:rsidRPr="00713017">
        <w:rPr>
          <w:rFonts w:eastAsia="Garamond" w:cstheme="majorHAnsi"/>
          <w:szCs w:val="22"/>
        </w:rPr>
        <w:tab/>
        <w:t>($ million)</w:t>
      </w:r>
    </w:p>
    <w:tbl>
      <w:tblPr>
        <w:tblStyle w:val="DTFTable2"/>
        <w:tblW w:w="7773" w:type="dxa"/>
        <w:tblInd w:w="45" w:type="dxa"/>
        <w:tblLayout w:type="fixed"/>
        <w:tblCellMar>
          <w:left w:w="45" w:type="dxa"/>
          <w:right w:w="45" w:type="dxa"/>
        </w:tblCellMar>
        <w:tblLook w:val="06E0" w:firstRow="1" w:lastRow="1" w:firstColumn="1" w:lastColumn="0" w:noHBand="1" w:noVBand="1"/>
      </w:tblPr>
      <w:tblGrid>
        <w:gridCol w:w="4395"/>
        <w:gridCol w:w="844"/>
        <w:gridCol w:w="845"/>
        <w:gridCol w:w="844"/>
        <w:gridCol w:w="845"/>
      </w:tblGrid>
      <w:tr w:rsidR="00B32D50" w:rsidRPr="00713017" w:rsidTr="005310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solid" w:color="000000" w:fill="auto"/>
          </w:tcPr>
          <w:p w:rsidR="00B32D50" w:rsidRPr="00713017" w:rsidRDefault="00B32D50" w:rsidP="00F17BCD">
            <w:pPr>
              <w:rPr>
                <w:lang w:eastAsia="en-AU"/>
              </w:rPr>
            </w:pPr>
            <w:bookmarkStart w:id="100" w:name="_Hlk527368339"/>
            <w:bookmarkEnd w:id="99"/>
          </w:p>
        </w:tc>
        <w:tc>
          <w:tcPr>
            <w:tcW w:w="844" w:type="dxa"/>
            <w:tcBorders>
              <w:top w:val="nil"/>
              <w:left w:val="nil"/>
              <w:bottom w:val="nil"/>
              <w:right w:val="nil"/>
            </w:tcBorders>
            <w:shd w:val="solid" w:color="000000" w:fill="auto"/>
          </w:tcPr>
          <w:p w:rsidR="00B32D50" w:rsidRPr="00713017"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2018-19</w:t>
            </w:r>
          </w:p>
        </w:tc>
        <w:tc>
          <w:tcPr>
            <w:tcW w:w="845" w:type="dxa"/>
            <w:tcBorders>
              <w:top w:val="nil"/>
              <w:left w:val="nil"/>
              <w:bottom w:val="nil"/>
              <w:right w:val="nil"/>
            </w:tcBorders>
            <w:shd w:val="solid" w:color="000000" w:fill="auto"/>
          </w:tcPr>
          <w:p w:rsidR="00B32D50" w:rsidRPr="00713017"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2019-20</w:t>
            </w:r>
          </w:p>
        </w:tc>
        <w:tc>
          <w:tcPr>
            <w:tcW w:w="844" w:type="dxa"/>
            <w:tcBorders>
              <w:top w:val="nil"/>
              <w:left w:val="nil"/>
              <w:bottom w:val="nil"/>
              <w:right w:val="nil"/>
            </w:tcBorders>
            <w:shd w:val="solid" w:color="000000" w:fill="auto"/>
          </w:tcPr>
          <w:p w:rsidR="00B32D50" w:rsidRPr="00713017"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2020-21</w:t>
            </w:r>
          </w:p>
        </w:tc>
        <w:tc>
          <w:tcPr>
            <w:tcW w:w="845" w:type="dxa"/>
            <w:tcBorders>
              <w:top w:val="nil"/>
              <w:left w:val="nil"/>
              <w:bottom w:val="nil"/>
              <w:right w:val="nil"/>
            </w:tcBorders>
            <w:shd w:val="solid" w:color="000000" w:fill="auto"/>
          </w:tcPr>
          <w:p w:rsidR="00B32D50" w:rsidRPr="00713017"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2021-22</w:t>
            </w:r>
          </w:p>
        </w:tc>
      </w:tr>
      <w:tr w:rsidR="00B32D50" w:rsidRPr="00173C22" w:rsidTr="005310BA">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B32D50" w:rsidRPr="00173C22" w:rsidRDefault="00B32D50" w:rsidP="00F17BCD">
            <w:r w:rsidRPr="00173C22">
              <w:t>Como House</w:t>
            </w:r>
            <w:r>
              <w:t xml:space="preserve"> preservation w</w:t>
            </w:r>
            <w:r w:rsidRPr="00970543">
              <w:t>orks</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1.0</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r>
      <w:tr w:rsidR="00B32D50" w:rsidRPr="00173C22" w:rsidTr="005310BA">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B32D50" w:rsidRPr="00173C22" w:rsidRDefault="00B32D50" w:rsidP="00F17BCD">
            <w:r>
              <w:t>Frankston signal b</w:t>
            </w:r>
            <w:r w:rsidRPr="00173C22">
              <w:t>ox</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0.7</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0.7</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0.7</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0.7</w:t>
            </w:r>
          </w:p>
        </w:tc>
      </w:tr>
      <w:tr w:rsidR="00B32D50" w:rsidRPr="00173C22" w:rsidTr="005310BA">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B32D50" w:rsidRPr="00173C22" w:rsidRDefault="00B32D50" w:rsidP="00F17BCD">
            <w:r>
              <w:t>Geelong ferry t</w:t>
            </w:r>
            <w:r w:rsidRPr="00173C22">
              <w:t>rial</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6.0</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r>
      <w:tr w:rsidR="00B32D50" w:rsidRPr="00173C22" w:rsidTr="005310BA">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B32D50" w:rsidRPr="00173C22" w:rsidRDefault="00B32D50" w:rsidP="00F17BCD">
            <w:r w:rsidRPr="00173C22">
              <w:t>Preliminary design of new X</w:t>
            </w:r>
            <w:r>
              <w:t>’</w:t>
            </w:r>
            <w:r w:rsidRPr="00173C22">
              <w:t>Trapolis trains</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15.0</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r>
      <w:tr w:rsidR="00B32D50" w:rsidRPr="00173C22" w:rsidTr="005310BA">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B32D50" w:rsidRPr="00173C22" w:rsidRDefault="00B32D50" w:rsidP="00F17BCD">
            <w:r w:rsidRPr="00173C22">
              <w:t>Regional Roads Victoria</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1.8</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w:t>
            </w:r>
          </w:p>
        </w:tc>
      </w:tr>
      <w:tr w:rsidR="00B32D50" w:rsidRPr="00173C22" w:rsidTr="005310BA">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B32D50" w:rsidRPr="00173C22" w:rsidRDefault="00B32D50" w:rsidP="00F17BCD">
            <w:r w:rsidRPr="00F90890">
              <w:t>Supporting local communities impacted by sawmill closures</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t>7.0</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t>2.4</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t>..</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t>..</w:t>
            </w:r>
          </w:p>
        </w:tc>
      </w:tr>
      <w:tr w:rsidR="00B32D50" w:rsidRPr="00173C22" w:rsidTr="005310BA">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tcPr>
          <w:p w:rsidR="00B32D50" w:rsidRPr="00173C22" w:rsidRDefault="00B32D50" w:rsidP="00F17BCD">
            <w:r w:rsidRPr="00173C22">
              <w:t>Wage Inspectorate Victoria</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6.6</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5.4</w:t>
            </w:r>
          </w:p>
        </w:tc>
        <w:tc>
          <w:tcPr>
            <w:tcW w:w="844"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5.1</w:t>
            </w:r>
          </w:p>
        </w:tc>
        <w:tc>
          <w:tcPr>
            <w:tcW w:w="845" w:type="dxa"/>
            <w:tcBorders>
              <w:top w:val="nil"/>
              <w:left w:val="nil"/>
              <w:bottom w:val="nil"/>
              <w:right w:val="nil"/>
            </w:tcBorders>
          </w:tcPr>
          <w:p w:rsidR="00B32D50" w:rsidRPr="00173C22" w:rsidRDefault="00B32D50" w:rsidP="00F17BCD">
            <w:pPr>
              <w:cnfStyle w:val="000000000000" w:firstRow="0" w:lastRow="0" w:firstColumn="0" w:lastColumn="0" w:oddVBand="0" w:evenVBand="0" w:oddHBand="0" w:evenHBand="0" w:firstRowFirstColumn="0" w:firstRowLastColumn="0" w:lastRowFirstColumn="0" w:lastRowLastColumn="0"/>
            </w:pPr>
            <w:r w:rsidRPr="00173C22">
              <w:t>5.1</w:t>
            </w:r>
          </w:p>
        </w:tc>
      </w:tr>
      <w:tr w:rsidR="00B32D50" w:rsidRPr="00173C22" w:rsidTr="005310B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auto"/>
              <w:bottom w:val="single" w:sz="12" w:space="0" w:color="auto"/>
            </w:tcBorders>
          </w:tcPr>
          <w:p w:rsidR="00B32D50" w:rsidRPr="00173C22" w:rsidRDefault="00B32D50" w:rsidP="00F17BCD">
            <w:pPr>
              <w:rPr>
                <w:b w:val="0"/>
                <w:bCs/>
                <w:color w:val="000000"/>
                <w:vertAlign w:val="superscript"/>
                <w:lang w:eastAsia="en-AU"/>
              </w:rPr>
            </w:pPr>
            <w:r w:rsidRPr="00173C22">
              <w:rPr>
                <w:bCs/>
                <w:color w:val="000000"/>
                <w:lang w:eastAsia="en-AU"/>
              </w:rPr>
              <w:t xml:space="preserve">Total output initiatives </w:t>
            </w:r>
            <w:r w:rsidRPr="00173C22">
              <w:rPr>
                <w:b w:val="0"/>
                <w:bCs/>
                <w:color w:val="000000"/>
                <w:vertAlign w:val="superscript"/>
                <w:lang w:eastAsia="en-AU"/>
              </w:rPr>
              <w:t>(a)</w:t>
            </w:r>
            <w:r w:rsidRPr="00173C22">
              <w:rPr>
                <w:bCs/>
                <w:color w:val="000000"/>
                <w:vertAlign w:val="superscript"/>
                <w:lang w:eastAsia="en-AU"/>
              </w:rPr>
              <w:t xml:space="preserve"> </w:t>
            </w:r>
          </w:p>
        </w:tc>
        <w:tc>
          <w:tcPr>
            <w:tcW w:w="844" w:type="dxa"/>
            <w:tcBorders>
              <w:top w:val="single" w:sz="6" w:space="0" w:color="auto"/>
              <w:bottom w:val="single" w:sz="12" w:space="0" w:color="auto"/>
            </w:tcBorders>
          </w:tcPr>
          <w:p w:rsidR="00B32D50" w:rsidRPr="00173C22" w:rsidRDefault="00B32D50" w:rsidP="00F17BCD">
            <w:pPr>
              <w:cnfStyle w:val="010000000000" w:firstRow="0" w:lastRow="1" w:firstColumn="0" w:lastColumn="0" w:oddVBand="0" w:evenVBand="0" w:oddHBand="0" w:evenHBand="0" w:firstRowFirstColumn="0" w:firstRowLastColumn="0" w:lastRowFirstColumn="0" w:lastRowLastColumn="0"/>
            </w:pPr>
            <w:r>
              <w:t>38.1</w:t>
            </w:r>
          </w:p>
        </w:tc>
        <w:tc>
          <w:tcPr>
            <w:tcW w:w="845" w:type="dxa"/>
            <w:tcBorders>
              <w:top w:val="single" w:sz="6" w:space="0" w:color="auto"/>
              <w:bottom w:val="single" w:sz="12" w:space="0" w:color="auto"/>
            </w:tcBorders>
          </w:tcPr>
          <w:p w:rsidR="00B32D50" w:rsidRPr="00173C22" w:rsidRDefault="00B32D50" w:rsidP="00F17BCD">
            <w:pPr>
              <w:cnfStyle w:val="010000000000" w:firstRow="0" w:lastRow="1" w:firstColumn="0" w:lastColumn="0" w:oddVBand="0" w:evenVBand="0" w:oddHBand="0" w:evenHBand="0" w:firstRowFirstColumn="0" w:firstRowLastColumn="0" w:lastRowFirstColumn="0" w:lastRowLastColumn="0"/>
            </w:pPr>
            <w:r>
              <w:t>8.5</w:t>
            </w:r>
          </w:p>
        </w:tc>
        <w:tc>
          <w:tcPr>
            <w:tcW w:w="844" w:type="dxa"/>
            <w:tcBorders>
              <w:top w:val="single" w:sz="6" w:space="0" w:color="auto"/>
              <w:bottom w:val="single" w:sz="12" w:space="0" w:color="auto"/>
            </w:tcBorders>
          </w:tcPr>
          <w:p w:rsidR="00B32D50" w:rsidRPr="00173C22" w:rsidRDefault="00B32D50" w:rsidP="00F17BCD">
            <w:pPr>
              <w:cnfStyle w:val="010000000000" w:firstRow="0" w:lastRow="1" w:firstColumn="0" w:lastColumn="0" w:oddVBand="0" w:evenVBand="0" w:oddHBand="0" w:evenHBand="0" w:firstRowFirstColumn="0" w:firstRowLastColumn="0" w:lastRowFirstColumn="0" w:lastRowLastColumn="0"/>
            </w:pPr>
            <w:r w:rsidRPr="00173C22">
              <w:t>5.8</w:t>
            </w:r>
          </w:p>
        </w:tc>
        <w:tc>
          <w:tcPr>
            <w:tcW w:w="845" w:type="dxa"/>
            <w:tcBorders>
              <w:top w:val="single" w:sz="6" w:space="0" w:color="auto"/>
              <w:bottom w:val="single" w:sz="12" w:space="0" w:color="auto"/>
            </w:tcBorders>
          </w:tcPr>
          <w:p w:rsidR="00B32D50" w:rsidRPr="00173C22" w:rsidRDefault="00B32D50" w:rsidP="00F17BCD">
            <w:pPr>
              <w:cnfStyle w:val="010000000000" w:firstRow="0" w:lastRow="1" w:firstColumn="0" w:lastColumn="0" w:oddVBand="0" w:evenVBand="0" w:oddHBand="0" w:evenHBand="0" w:firstRowFirstColumn="0" w:firstRowLastColumn="0" w:lastRowFirstColumn="0" w:lastRowLastColumn="0"/>
            </w:pPr>
            <w:r>
              <w:t>5.9</w:t>
            </w:r>
          </w:p>
        </w:tc>
      </w:tr>
    </w:tbl>
    <w:p w:rsidR="00B32D50" w:rsidRPr="00173C22" w:rsidRDefault="00B32D50" w:rsidP="00F17BCD">
      <w:pPr>
        <w:pStyle w:val="Note"/>
      </w:pPr>
      <w:bookmarkStart w:id="101" w:name="_Hlk528584645"/>
      <w:bookmarkEnd w:id="100"/>
      <w:r w:rsidRPr="00173C22">
        <w:t>Note:</w:t>
      </w:r>
    </w:p>
    <w:p w:rsidR="00B32D50" w:rsidRPr="00173C22" w:rsidRDefault="00B32D50" w:rsidP="00F17BCD">
      <w:pPr>
        <w:pStyle w:val="Note"/>
      </w:pPr>
      <w:r w:rsidRPr="00173C22">
        <w:t xml:space="preserve">(a) </w:t>
      </w:r>
      <w:r w:rsidRPr="00173C22">
        <w:tab/>
        <w:t>Table may not add due to rounding.</w:t>
      </w:r>
    </w:p>
    <w:p w:rsidR="00B32D50" w:rsidRPr="00173C22" w:rsidRDefault="00B32D50" w:rsidP="00F17BCD">
      <w:pPr>
        <w:pStyle w:val="Heading30"/>
        <w:spacing w:before="180"/>
        <w:rPr>
          <w:rFonts w:ascii="Helv" w:hAnsi="Helv" w:cs="Helv"/>
          <w:color w:val="000000"/>
          <w:szCs w:val="20"/>
        </w:rPr>
      </w:pPr>
      <w:bookmarkStart w:id="102" w:name="_Hlk527367558"/>
      <w:bookmarkEnd w:id="101"/>
      <w:r w:rsidRPr="00173C22">
        <w:t xml:space="preserve">Como House </w:t>
      </w:r>
      <w:r>
        <w:t>preservation w</w:t>
      </w:r>
      <w:r w:rsidRPr="00173C22">
        <w:t>orks</w:t>
      </w:r>
    </w:p>
    <w:p w:rsidR="00B32D50" w:rsidRPr="00173C22" w:rsidRDefault="00B32D50" w:rsidP="00F17BCD">
      <w:r w:rsidRPr="00173C22">
        <w:t>Funding will be provided for urgent preservation and restoration works at Co</w:t>
      </w:r>
      <w:r>
        <w:t>mo House.</w:t>
      </w:r>
    </w:p>
    <w:p w:rsidR="00B32D50" w:rsidRPr="00173C22" w:rsidRDefault="00B32D50" w:rsidP="00F17BCD">
      <w:r w:rsidRPr="00173C22">
        <w:t>This initiative contributes to the Department of Economic Development, Jobs, Transport and Resources</w:t>
      </w:r>
      <w:r>
        <w:t>’</w:t>
      </w:r>
      <w:r w:rsidRPr="00173C22">
        <w:t xml:space="preserve"> Creative Industries Portfolio Agencies output. </w:t>
      </w:r>
    </w:p>
    <w:bookmarkEnd w:id="102"/>
    <w:p w:rsidR="00B32D50" w:rsidRDefault="00B32D50" w:rsidP="00F17BCD">
      <w:pPr>
        <w:pStyle w:val="Heading30"/>
        <w:spacing w:before="180"/>
      </w:pPr>
      <w:r>
        <w:t xml:space="preserve">Frankston signal box </w:t>
      </w:r>
    </w:p>
    <w:p w:rsidR="00B32D50" w:rsidRPr="001243E7" w:rsidRDefault="00B32D50" w:rsidP="00F17BCD">
      <w:r w:rsidRPr="001243E7">
        <w:t>Funding will be provided for additional signalling operators at Frankston Station. There is currently a combination of computerised and manually operated signalling and interlocking systems at Frankston. The additional signalling staff will improve the safety and reliability o</w:t>
      </w:r>
      <w:r>
        <w:t>f signalling operators</w:t>
      </w:r>
      <w:r w:rsidRPr="001243E7">
        <w:t xml:space="preserve"> along the Frankston and Stony Point lines.</w:t>
      </w:r>
    </w:p>
    <w:p w:rsidR="00B32D50" w:rsidRDefault="00B32D50" w:rsidP="00F17BCD">
      <w:r w:rsidRPr="00F31702">
        <w:t>This initiative contributes to the Department of Economic Development, Jobs, Transport and Resources</w:t>
      </w:r>
      <w:r>
        <w:t>’</w:t>
      </w:r>
      <w:r w:rsidRPr="00F31702">
        <w:t xml:space="preserve"> </w:t>
      </w:r>
      <w:r>
        <w:t xml:space="preserve">Train Services </w:t>
      </w:r>
      <w:r w:rsidRPr="00F31702">
        <w:t>output.</w:t>
      </w:r>
    </w:p>
    <w:p w:rsidR="00B32D50" w:rsidRDefault="00B32D50" w:rsidP="00F17BCD">
      <w:pPr>
        <w:pStyle w:val="Heading30"/>
        <w:spacing w:before="180"/>
      </w:pPr>
      <w:r>
        <w:t xml:space="preserve">Geelong ferry trial </w:t>
      </w:r>
    </w:p>
    <w:p w:rsidR="00B32D50" w:rsidRPr="001243E7" w:rsidRDefault="00B32D50" w:rsidP="00F17BCD">
      <w:r>
        <w:t xml:space="preserve">Funding </w:t>
      </w:r>
      <w:r w:rsidRPr="001243E7">
        <w:t xml:space="preserve">will </w:t>
      </w:r>
      <w:r>
        <w:t xml:space="preserve">be provided to </w:t>
      </w:r>
      <w:r w:rsidRPr="001243E7">
        <w:t>support a three-year trial of a ferry service between Victoria Harbour and Geelong. This service will provide an additional transport option to Melbourne for local residents and is expected to support tourism in Geelong.</w:t>
      </w:r>
    </w:p>
    <w:p w:rsidR="00B32D50" w:rsidRDefault="00B32D50" w:rsidP="00F17BCD">
      <w:r w:rsidRPr="00F31702">
        <w:t>This initiative contributes to the Department of Economic Development, Jobs, Transport and Resources</w:t>
      </w:r>
      <w:r>
        <w:t>’</w:t>
      </w:r>
      <w:r w:rsidRPr="00F31702">
        <w:t xml:space="preserve"> Port and Freight Network Access output.</w:t>
      </w:r>
    </w:p>
    <w:p w:rsidR="00B32D50" w:rsidRPr="00173C22" w:rsidRDefault="00B32D50" w:rsidP="00F17BCD">
      <w:pPr>
        <w:pStyle w:val="Heading30"/>
        <w:spacing w:before="180"/>
      </w:pPr>
      <w:r w:rsidRPr="00173C22">
        <w:t>Preliminary design of new X</w:t>
      </w:r>
      <w:r>
        <w:t>’</w:t>
      </w:r>
      <w:r w:rsidRPr="00173C22">
        <w:t>Trapolis trains</w:t>
      </w:r>
    </w:p>
    <w:p w:rsidR="00B32D50" w:rsidRPr="00173C22" w:rsidRDefault="00B32D50" w:rsidP="00F17BCD">
      <w:r w:rsidRPr="00173C22">
        <w:t>Design works will be undertaken to ensure that Victoria</w:t>
      </w:r>
      <w:r>
        <w:t>’</w:t>
      </w:r>
      <w:r w:rsidRPr="00173C22">
        <w:t>s next generation train carriages will meet the growing needs of the Melbourne network, including contemporary safety and accessibility standards.</w:t>
      </w:r>
    </w:p>
    <w:p w:rsidR="00B32D50" w:rsidRPr="00173C22" w:rsidRDefault="00B32D50" w:rsidP="00F17BCD">
      <w:r>
        <w:t>This initiative</w:t>
      </w:r>
      <w:r w:rsidRPr="00173C22">
        <w:t xml:space="preserve"> contributes to the Department of Economic Development, Jobs, Transports and Resources</w:t>
      </w:r>
      <w:r>
        <w:t>’</w:t>
      </w:r>
      <w:r w:rsidRPr="00173C22">
        <w:t xml:space="preserve"> Train Services output.</w:t>
      </w:r>
    </w:p>
    <w:p w:rsidR="00B32D50" w:rsidRPr="00173C22" w:rsidRDefault="00B32D50" w:rsidP="00F17BCD">
      <w:pPr>
        <w:pStyle w:val="Heading30"/>
      </w:pPr>
      <w:r w:rsidRPr="00173C22">
        <w:lastRenderedPageBreak/>
        <w:t xml:space="preserve">Regional Roads Victoria </w:t>
      </w:r>
    </w:p>
    <w:p w:rsidR="00B32D50" w:rsidRPr="00173C22" w:rsidRDefault="00B32D50" w:rsidP="00F17BCD">
      <w:r w:rsidRPr="00173C22">
        <w:t>Regional Roads Victoria will receive additional funding to support its establishment, including IT system development, branding and communications, office fit-out and collateral for all regional offices, and a new website.</w:t>
      </w:r>
    </w:p>
    <w:p w:rsidR="00B32D50" w:rsidRPr="00173C22" w:rsidRDefault="00B32D50" w:rsidP="00F17BCD">
      <w:pPr>
        <w:rPr>
          <w:lang w:eastAsia="en-AU"/>
        </w:rPr>
      </w:pPr>
      <w:r w:rsidRPr="00173C22">
        <w:t>This initiative contributes to the Department of Economic Development, Jobs, Transport and Resources</w:t>
      </w:r>
      <w:r>
        <w:t>’</w:t>
      </w:r>
      <w:r w:rsidRPr="00173C22">
        <w:t xml:space="preserve"> Road Operations and Network Improvements output.</w:t>
      </w:r>
    </w:p>
    <w:p w:rsidR="00B32D50" w:rsidRPr="00F90890" w:rsidRDefault="00B32D50" w:rsidP="00F17BCD">
      <w:pPr>
        <w:pStyle w:val="Heading30"/>
      </w:pPr>
      <w:r w:rsidRPr="00F90890">
        <w:t>Supporting local communities impacted by sawmill closures</w:t>
      </w:r>
    </w:p>
    <w:p w:rsidR="00B32D50" w:rsidRDefault="00B32D50" w:rsidP="00F17BCD">
      <w:pPr>
        <w:keepLines w:val="0"/>
      </w:pPr>
      <w:r w:rsidRPr="00703572">
        <w:t>Funding will be provided to support the exit of sawmills in the Hume and Gippsland regions. In addition, assistance will be provided to the impacted workforce and affected local communities to achieve a stable transition.</w:t>
      </w:r>
    </w:p>
    <w:p w:rsidR="00B32D50" w:rsidRDefault="00B32D50" w:rsidP="00F17BCD">
      <w:pPr>
        <w:keepLines w:val="0"/>
        <w:rPr>
          <w:rFonts w:asciiTheme="majorHAnsi" w:eastAsiaTheme="majorEastAsia" w:hAnsiTheme="majorHAnsi" w:cstheme="majorBidi"/>
          <w:b/>
          <w:bCs/>
          <w:spacing w:val="-2"/>
          <w:sz w:val="20"/>
          <w:szCs w:val="26"/>
        </w:rPr>
      </w:pPr>
      <w:r w:rsidRPr="00F90890">
        <w:t>This initiative contributes to the Department of Economic Development, Jobs, Transport and Resources</w:t>
      </w:r>
      <w:r>
        <w:t>’</w:t>
      </w:r>
      <w:r w:rsidRPr="00F90890">
        <w:t xml:space="preserve"> Agriculture and Jobs and Investment outputs.</w:t>
      </w:r>
    </w:p>
    <w:p w:rsidR="00B32D50" w:rsidRDefault="00B32D50" w:rsidP="00F17BCD">
      <w:pPr>
        <w:pStyle w:val="Heading30"/>
      </w:pPr>
      <w:r>
        <w:t>Wage Inspectorate Victoria</w:t>
      </w:r>
    </w:p>
    <w:p w:rsidR="00B32D50" w:rsidRDefault="00B32D50" w:rsidP="00F17BCD">
      <w:r>
        <w:t xml:space="preserve">Funding will be provided to establish the </w:t>
      </w:r>
      <w:r w:rsidRPr="002F25D2">
        <w:t>Wage Inspectorate Victoria</w:t>
      </w:r>
      <w:r>
        <w:t xml:space="preserve">, to promote and enforce the State’s industrial relations laws. The inspectorate will protect Victorian workers by promoting workers’ rights, approving and monitoring child employment permits, and managing the regulation of the State’s long service leave law. </w:t>
      </w:r>
    </w:p>
    <w:p w:rsidR="00B32D50" w:rsidRDefault="00B32D50" w:rsidP="00F17BCD">
      <w:r>
        <w:t>This initiative contributes to the Department of Economic Development, Jobs, Transport and Resources’ Industrial Relations output.</w:t>
      </w:r>
    </w:p>
    <w:p w:rsidR="00B32D50" w:rsidRDefault="00B32D50">
      <w:pPr>
        <w:keepLines w:val="0"/>
        <w:rPr>
          <w:rFonts w:asciiTheme="majorHAnsi" w:eastAsiaTheme="majorEastAsia" w:hAnsiTheme="majorHAnsi" w:cstheme="majorBidi"/>
          <w:b/>
          <w:spacing w:val="-2"/>
          <w:sz w:val="26"/>
          <w:szCs w:val="26"/>
        </w:rPr>
      </w:pPr>
      <w:r>
        <w:br w:type="page"/>
      </w:r>
    </w:p>
    <w:p w:rsidR="00B32D50" w:rsidRPr="007F4B6F" w:rsidRDefault="00B32D50" w:rsidP="00F17BCD">
      <w:pPr>
        <w:pStyle w:val="Heading20"/>
        <w:rPr>
          <w:i/>
        </w:rPr>
      </w:pPr>
      <w:r w:rsidRPr="007F4B6F">
        <w:rPr>
          <w:i/>
        </w:rPr>
        <w:lastRenderedPageBreak/>
        <w:t>Asset initiatives</w:t>
      </w:r>
    </w:p>
    <w:p w:rsidR="00B32D50" w:rsidRPr="001A474B" w:rsidRDefault="00B32D50" w:rsidP="00F17BCD">
      <w:pPr>
        <w:pStyle w:val="TableHeading"/>
      </w:pPr>
      <w:r>
        <w:t>Table A.5</w:t>
      </w:r>
      <w:r w:rsidRPr="001A474B">
        <w:tab/>
        <w:t xml:space="preserve">Asset initiatives – Department of Economic Development, Jobs, </w:t>
      </w:r>
      <w:r w:rsidRPr="001A474B">
        <w:br/>
        <w:t>Transport and Resources</w:t>
      </w:r>
      <w:r w:rsidRPr="001A474B">
        <w:tab/>
        <w:t>($ million)</w:t>
      </w:r>
    </w:p>
    <w:tbl>
      <w:tblPr>
        <w:tblStyle w:val="DTFTable"/>
        <w:tblW w:w="7755" w:type="dxa"/>
        <w:tblInd w:w="45" w:type="dxa"/>
        <w:tblLayout w:type="fixed"/>
        <w:tblCellMar>
          <w:left w:w="45" w:type="dxa"/>
          <w:right w:w="45" w:type="dxa"/>
        </w:tblCellMar>
        <w:tblLook w:val="06A0" w:firstRow="1" w:lastRow="0" w:firstColumn="1" w:lastColumn="0" w:noHBand="1" w:noVBand="1"/>
      </w:tblPr>
      <w:tblGrid>
        <w:gridCol w:w="3686"/>
        <w:gridCol w:w="813"/>
        <w:gridCol w:w="814"/>
        <w:gridCol w:w="814"/>
        <w:gridCol w:w="814"/>
        <w:gridCol w:w="814"/>
      </w:tblGrid>
      <w:tr w:rsidR="00B32D50" w:rsidRPr="00680698" w:rsidTr="005310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solid" w:color="000000" w:fill="auto"/>
          </w:tcPr>
          <w:p w:rsidR="00B32D50" w:rsidRPr="00680698" w:rsidRDefault="00B32D50" w:rsidP="00F17BCD">
            <w:pPr>
              <w:rPr>
                <w:lang w:eastAsia="en-AU"/>
              </w:rPr>
            </w:pPr>
          </w:p>
        </w:tc>
        <w:tc>
          <w:tcPr>
            <w:tcW w:w="813"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2018-19</w:t>
            </w:r>
          </w:p>
        </w:tc>
        <w:tc>
          <w:tcPr>
            <w:tcW w:w="814"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2019-20</w:t>
            </w:r>
          </w:p>
        </w:tc>
        <w:tc>
          <w:tcPr>
            <w:tcW w:w="814"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2020-21</w:t>
            </w:r>
          </w:p>
        </w:tc>
        <w:tc>
          <w:tcPr>
            <w:tcW w:w="814"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2021-22</w:t>
            </w:r>
          </w:p>
        </w:tc>
        <w:tc>
          <w:tcPr>
            <w:tcW w:w="814"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sidRPr="00680698">
              <w:rPr>
                <w:iCs/>
                <w:lang w:eastAsia="en-AU"/>
              </w:rPr>
              <w:t>TEI</w:t>
            </w:r>
          </w:p>
        </w:tc>
      </w:tr>
      <w:tr w:rsidR="00B32D50" w:rsidRPr="00680698" w:rsidTr="005310BA">
        <w:trPr>
          <w:cantSplit w:val="0"/>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tcPr>
          <w:p w:rsidR="00B32D50" w:rsidRPr="00DD24B3" w:rsidRDefault="00B32D50" w:rsidP="00F17BCD">
            <w:pPr>
              <w:spacing w:after="0"/>
              <w:rPr>
                <w:rFonts w:cstheme="majorHAnsi"/>
                <w:szCs w:val="17"/>
              </w:rPr>
            </w:pPr>
            <w:r w:rsidRPr="00DD24B3">
              <w:rPr>
                <w:rFonts w:cstheme="majorHAnsi"/>
                <w:szCs w:val="17"/>
              </w:rPr>
              <w:t>E-Class trams</w:t>
            </w:r>
          </w:p>
        </w:tc>
        <w:tc>
          <w:tcPr>
            <w:tcW w:w="813" w:type="dxa"/>
            <w:tcBorders>
              <w:top w:val="nil"/>
              <w:left w:val="nil"/>
              <w:bottom w:val="nil"/>
              <w:right w:val="nil"/>
            </w:tcBorders>
            <w:shd w:val="clear" w:color="auto" w:fill="auto"/>
          </w:tcPr>
          <w:p w:rsidR="00B32D50" w:rsidRPr="00DD24B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color w:val="000000"/>
                <w:szCs w:val="17"/>
                <w:lang w:eastAsia="en-AU"/>
              </w:rPr>
            </w:pPr>
            <w:r w:rsidRPr="00DD24B3">
              <w:rPr>
                <w:rFonts w:cstheme="majorHAnsi"/>
                <w:color w:val="000000"/>
                <w:szCs w:val="17"/>
              </w:rPr>
              <w:t>22.1</w:t>
            </w:r>
          </w:p>
        </w:tc>
        <w:tc>
          <w:tcPr>
            <w:tcW w:w="814" w:type="dxa"/>
            <w:tcBorders>
              <w:top w:val="nil"/>
              <w:left w:val="nil"/>
              <w:bottom w:val="nil"/>
              <w:right w:val="nil"/>
            </w:tcBorders>
            <w:shd w:val="clear" w:color="auto" w:fill="auto"/>
          </w:tcPr>
          <w:p w:rsidR="00B32D50" w:rsidRPr="00DD24B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color w:val="000000"/>
                <w:szCs w:val="17"/>
              </w:rPr>
            </w:pPr>
            <w:r w:rsidRPr="00DD24B3">
              <w:rPr>
                <w:rFonts w:cstheme="majorHAnsi"/>
                <w:color w:val="000000"/>
                <w:szCs w:val="17"/>
              </w:rPr>
              <w:t>51.4</w:t>
            </w:r>
          </w:p>
        </w:tc>
        <w:tc>
          <w:tcPr>
            <w:tcW w:w="814" w:type="dxa"/>
            <w:tcBorders>
              <w:top w:val="nil"/>
              <w:left w:val="nil"/>
              <w:bottom w:val="nil"/>
              <w:right w:val="nil"/>
            </w:tcBorders>
            <w:shd w:val="clear" w:color="auto" w:fill="auto"/>
          </w:tcPr>
          <w:p w:rsidR="00B32D50" w:rsidRPr="00DD24B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color w:val="000000"/>
                <w:szCs w:val="17"/>
              </w:rPr>
            </w:pPr>
            <w:r w:rsidRPr="00DD24B3">
              <w:rPr>
                <w:rFonts w:cstheme="majorHAnsi"/>
                <w:color w:val="000000"/>
                <w:szCs w:val="17"/>
              </w:rPr>
              <w:t>5.4</w:t>
            </w:r>
          </w:p>
        </w:tc>
        <w:tc>
          <w:tcPr>
            <w:tcW w:w="814" w:type="dxa"/>
            <w:tcBorders>
              <w:top w:val="nil"/>
              <w:left w:val="nil"/>
              <w:bottom w:val="nil"/>
              <w:right w:val="nil"/>
            </w:tcBorders>
            <w:shd w:val="clear" w:color="auto" w:fill="auto"/>
          </w:tcPr>
          <w:p w:rsidR="00B32D50" w:rsidRPr="00DD24B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color w:val="000000"/>
                <w:szCs w:val="17"/>
              </w:rPr>
            </w:pPr>
            <w:r w:rsidRPr="00DD24B3">
              <w:rPr>
                <w:rFonts w:cstheme="majorHAnsi"/>
                <w:color w:val="000000"/>
                <w:szCs w:val="17"/>
              </w:rPr>
              <w:t>4.0</w:t>
            </w:r>
          </w:p>
        </w:tc>
        <w:tc>
          <w:tcPr>
            <w:tcW w:w="814" w:type="dxa"/>
            <w:tcBorders>
              <w:top w:val="nil"/>
              <w:left w:val="nil"/>
              <w:bottom w:val="nil"/>
              <w:right w:val="nil"/>
            </w:tcBorders>
            <w:shd w:val="clear" w:color="auto" w:fill="auto"/>
          </w:tcPr>
          <w:p w:rsidR="00B32D50" w:rsidRPr="00DD24B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color w:val="000000"/>
                <w:szCs w:val="17"/>
              </w:rPr>
            </w:pPr>
            <w:r w:rsidRPr="00DD24B3">
              <w:rPr>
                <w:rFonts w:cstheme="majorHAnsi"/>
                <w:color w:val="000000"/>
                <w:szCs w:val="17"/>
              </w:rPr>
              <w:t>82.9</w:t>
            </w:r>
          </w:p>
        </w:tc>
      </w:tr>
      <w:tr w:rsidR="00B32D50" w:rsidRPr="00680698" w:rsidTr="005310BA">
        <w:trPr>
          <w:cantSplit w:val="0"/>
        </w:trPr>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left w:val="nil"/>
              <w:bottom w:val="single" w:sz="12" w:space="0" w:color="auto"/>
              <w:right w:val="nil"/>
            </w:tcBorders>
          </w:tcPr>
          <w:p w:rsidR="00B32D50" w:rsidRPr="00DD24B3" w:rsidRDefault="00B32D50" w:rsidP="00F17BCD">
            <w:pPr>
              <w:autoSpaceDE w:val="0"/>
              <w:autoSpaceDN w:val="0"/>
              <w:adjustRightInd w:val="0"/>
              <w:spacing w:after="0"/>
              <w:rPr>
                <w:rFonts w:eastAsiaTheme="minorEastAsia" w:cstheme="majorHAnsi"/>
                <w:b/>
                <w:bCs/>
                <w:color w:val="000000"/>
                <w:szCs w:val="17"/>
                <w:vertAlign w:val="superscript"/>
                <w:lang w:eastAsia="en-AU"/>
              </w:rPr>
            </w:pPr>
            <w:r w:rsidRPr="00DD24B3">
              <w:rPr>
                <w:rFonts w:eastAsiaTheme="minorEastAsia" w:cstheme="majorHAnsi"/>
                <w:b/>
                <w:bCs/>
                <w:color w:val="000000"/>
                <w:szCs w:val="17"/>
                <w:lang w:eastAsia="en-AU"/>
              </w:rPr>
              <w:t xml:space="preserve">Total asset initiatives </w:t>
            </w:r>
          </w:p>
        </w:tc>
        <w:tc>
          <w:tcPr>
            <w:tcW w:w="813" w:type="dxa"/>
            <w:tcBorders>
              <w:top w:val="single" w:sz="6" w:space="0" w:color="auto"/>
              <w:left w:val="nil"/>
              <w:bottom w:val="single" w:sz="12" w:space="0" w:color="auto"/>
              <w:right w:val="nil"/>
            </w:tcBorders>
          </w:tcPr>
          <w:p w:rsidR="00B32D50" w:rsidRPr="00142C5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b/>
                <w:color w:val="000000"/>
                <w:szCs w:val="17"/>
              </w:rPr>
            </w:pPr>
            <w:r w:rsidRPr="00142C53">
              <w:rPr>
                <w:b/>
              </w:rPr>
              <w:t>22.1</w:t>
            </w:r>
          </w:p>
        </w:tc>
        <w:tc>
          <w:tcPr>
            <w:tcW w:w="814" w:type="dxa"/>
            <w:tcBorders>
              <w:top w:val="single" w:sz="6" w:space="0" w:color="auto"/>
              <w:left w:val="nil"/>
              <w:bottom w:val="single" w:sz="12" w:space="0" w:color="auto"/>
              <w:right w:val="nil"/>
            </w:tcBorders>
          </w:tcPr>
          <w:p w:rsidR="00B32D50" w:rsidRPr="00142C5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b/>
                <w:color w:val="000000"/>
                <w:szCs w:val="17"/>
              </w:rPr>
            </w:pPr>
            <w:r w:rsidRPr="00142C53">
              <w:rPr>
                <w:b/>
              </w:rPr>
              <w:t>51.4</w:t>
            </w:r>
          </w:p>
        </w:tc>
        <w:tc>
          <w:tcPr>
            <w:tcW w:w="814" w:type="dxa"/>
            <w:tcBorders>
              <w:top w:val="single" w:sz="6" w:space="0" w:color="auto"/>
              <w:left w:val="nil"/>
              <w:bottom w:val="single" w:sz="12" w:space="0" w:color="auto"/>
              <w:right w:val="nil"/>
            </w:tcBorders>
          </w:tcPr>
          <w:p w:rsidR="00B32D50" w:rsidRPr="00142C5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b/>
                <w:color w:val="000000"/>
                <w:szCs w:val="17"/>
              </w:rPr>
            </w:pPr>
            <w:r w:rsidRPr="00142C53">
              <w:rPr>
                <w:b/>
              </w:rPr>
              <w:t>5.4</w:t>
            </w:r>
          </w:p>
        </w:tc>
        <w:tc>
          <w:tcPr>
            <w:tcW w:w="814" w:type="dxa"/>
            <w:tcBorders>
              <w:top w:val="single" w:sz="6" w:space="0" w:color="auto"/>
              <w:left w:val="nil"/>
              <w:bottom w:val="single" w:sz="12" w:space="0" w:color="auto"/>
              <w:right w:val="nil"/>
            </w:tcBorders>
          </w:tcPr>
          <w:p w:rsidR="00B32D50" w:rsidRPr="00142C5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b/>
                <w:color w:val="000000"/>
                <w:szCs w:val="17"/>
              </w:rPr>
            </w:pPr>
            <w:r w:rsidRPr="00142C53">
              <w:rPr>
                <w:b/>
              </w:rPr>
              <w:t>4.0</w:t>
            </w:r>
          </w:p>
        </w:tc>
        <w:tc>
          <w:tcPr>
            <w:tcW w:w="814" w:type="dxa"/>
            <w:tcBorders>
              <w:top w:val="single" w:sz="6" w:space="0" w:color="auto"/>
              <w:left w:val="nil"/>
              <w:bottom w:val="single" w:sz="12" w:space="0" w:color="auto"/>
              <w:right w:val="nil"/>
            </w:tcBorders>
          </w:tcPr>
          <w:p w:rsidR="00B32D50" w:rsidRPr="00142C53"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theme="majorHAnsi"/>
                <w:b/>
                <w:color w:val="000000"/>
                <w:szCs w:val="17"/>
              </w:rPr>
            </w:pPr>
            <w:r w:rsidRPr="00142C53">
              <w:rPr>
                <w:b/>
              </w:rPr>
              <w:t>82.9</w:t>
            </w:r>
          </w:p>
        </w:tc>
      </w:tr>
    </w:tbl>
    <w:p w:rsidR="00B32D50" w:rsidRDefault="00B32D50" w:rsidP="00F17BCD">
      <w:pPr>
        <w:pStyle w:val="Heading30"/>
      </w:pPr>
      <w:r>
        <w:t xml:space="preserve">E-Class trams </w:t>
      </w:r>
    </w:p>
    <w:p w:rsidR="00B32D50" w:rsidRPr="00325527" w:rsidRDefault="00B32D50" w:rsidP="00F17BCD">
      <w:r w:rsidRPr="00325527">
        <w:t xml:space="preserve">Funding will be provided for the purchase of </w:t>
      </w:r>
      <w:r>
        <w:t>10</w:t>
      </w:r>
      <w:r w:rsidRPr="00325527">
        <w:t xml:space="preserve"> additional E-Class trams to be built in Dandenong. This initiative will improve service delivery and accessibility to public transport in Melbourne. The new E-Class trams have increased safety features and will improve customer experience on Melbourne</w:t>
      </w:r>
      <w:r>
        <w:t>’</w:t>
      </w:r>
      <w:r w:rsidRPr="00325527">
        <w:t>s tram network.</w:t>
      </w:r>
    </w:p>
    <w:p w:rsidR="00B32D50" w:rsidRDefault="00B32D50" w:rsidP="00F17BCD">
      <w:r w:rsidRPr="00F31702">
        <w:t>This initiative contributes to the Department of Economic Development, Jobs, Transport and Resources</w:t>
      </w:r>
      <w:r>
        <w:t>’</w:t>
      </w:r>
      <w:r w:rsidRPr="00F31702">
        <w:t xml:space="preserve"> </w:t>
      </w:r>
      <w:r>
        <w:t xml:space="preserve">Tram Services </w:t>
      </w:r>
      <w:r w:rsidRPr="00F31702">
        <w:t>output.</w:t>
      </w:r>
    </w:p>
    <w:p w:rsidR="00B32D50" w:rsidRDefault="00B32D50">
      <w:pPr>
        <w:keepLines w:val="0"/>
        <w:rPr>
          <w:rFonts w:ascii="Calibri" w:hAnsi="Calibri"/>
          <w:b/>
          <w:bCs/>
          <w:caps/>
          <w:spacing w:val="-2"/>
          <w:sz w:val="26"/>
          <w:szCs w:val="28"/>
          <w:lang w:eastAsia="en-AU"/>
        </w:rPr>
      </w:pPr>
      <w:bookmarkStart w:id="103" w:name="_Hlk527367221"/>
      <w:bookmarkStart w:id="104" w:name="_Toc500179546"/>
      <w:r>
        <w:rPr>
          <w:rFonts w:ascii="Calibri" w:hAnsi="Calibri"/>
          <w:b/>
          <w:bCs/>
          <w:caps/>
          <w:spacing w:val="-2"/>
          <w:sz w:val="26"/>
          <w:szCs w:val="28"/>
          <w:lang w:eastAsia="en-AU"/>
        </w:rPr>
        <w:br w:type="page"/>
      </w:r>
    </w:p>
    <w:p w:rsidR="00B32D50" w:rsidRPr="00680698" w:rsidRDefault="00B32D50" w:rsidP="00834D1D">
      <w:pPr>
        <w:pStyle w:val="Heading10"/>
        <w:rPr>
          <w:lang w:eastAsia="en-AU"/>
        </w:rPr>
      </w:pPr>
      <w:bookmarkStart w:id="105" w:name="_Toc528864776"/>
      <w:r w:rsidRPr="00680698">
        <w:rPr>
          <w:lang w:eastAsia="en-AU"/>
        </w:rPr>
        <w:lastRenderedPageBreak/>
        <w:t>Department of Education and Training</w:t>
      </w:r>
      <w:bookmarkEnd w:id="105"/>
    </w:p>
    <w:p w:rsidR="00B32D50" w:rsidRPr="007F4B6F" w:rsidRDefault="00B32D50" w:rsidP="00F17BCD">
      <w:pPr>
        <w:pStyle w:val="Heading20"/>
        <w:rPr>
          <w:i/>
          <w:lang w:eastAsia="en-AU"/>
        </w:rPr>
      </w:pPr>
      <w:r w:rsidRPr="007F4B6F">
        <w:rPr>
          <w:i/>
          <w:lang w:eastAsia="en-AU"/>
        </w:rPr>
        <w:t>Output initiatives</w:t>
      </w:r>
    </w:p>
    <w:p w:rsidR="00B32D50" w:rsidRDefault="00B32D50" w:rsidP="00F17BCD">
      <w:pPr>
        <w:pStyle w:val="TableHeading"/>
        <w:spacing w:before="180"/>
        <w:rPr>
          <w:lang w:eastAsia="en-AU"/>
        </w:rPr>
      </w:pPr>
      <w:bookmarkStart w:id="106" w:name="_Hlk527370104"/>
      <w:bookmarkEnd w:id="103"/>
      <w:r>
        <w:rPr>
          <w:lang w:eastAsia="en-AU"/>
        </w:rPr>
        <w:t>Table A.6</w:t>
      </w:r>
      <w:r w:rsidRPr="00680698">
        <w:rPr>
          <w:lang w:eastAsia="en-AU"/>
        </w:rPr>
        <w:t xml:space="preserve">: </w:t>
      </w:r>
      <w:r w:rsidRPr="00680698">
        <w:rPr>
          <w:lang w:eastAsia="en-AU"/>
        </w:rPr>
        <w:tab/>
        <w:t>Output initiatives – Department of Education and Training</w:t>
      </w:r>
      <w:r w:rsidRPr="00680698">
        <w:rPr>
          <w:lang w:eastAsia="en-AU"/>
        </w:rPr>
        <w:tab/>
        <w:t>($ million)</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B32D50" w:rsidRPr="00DC33D3"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B32D50" w:rsidRPr="00680698" w:rsidRDefault="00B32D50" w:rsidP="00F17BCD">
            <w:pPr>
              <w:rPr>
                <w:lang w:eastAsia="en-AU"/>
              </w:rPr>
            </w:pPr>
            <w:bookmarkStart w:id="107" w:name="_Hlk527368406"/>
            <w:bookmarkEnd w:id="106"/>
          </w:p>
        </w:tc>
        <w:tc>
          <w:tcPr>
            <w:tcW w:w="850"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2018-19</w:t>
            </w:r>
          </w:p>
        </w:tc>
        <w:tc>
          <w:tcPr>
            <w:tcW w:w="850"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2019-20</w:t>
            </w:r>
          </w:p>
        </w:tc>
        <w:tc>
          <w:tcPr>
            <w:tcW w:w="850"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2020-21</w:t>
            </w:r>
          </w:p>
        </w:tc>
        <w:tc>
          <w:tcPr>
            <w:tcW w:w="850" w:type="dxa"/>
            <w:tcBorders>
              <w:top w:val="nil"/>
              <w:left w:val="nil"/>
              <w:bottom w:val="nil"/>
              <w:right w:val="nil"/>
            </w:tcBorders>
            <w:shd w:val="solid" w:color="000000" w:fill="auto"/>
          </w:tcPr>
          <w:p w:rsidR="00B32D50" w:rsidRPr="00680698" w:rsidRDefault="00B32D50" w:rsidP="00F17BCD">
            <w:pPr>
              <w:cnfStyle w:val="100000000000" w:firstRow="1" w:lastRow="0" w:firstColumn="0" w:lastColumn="0" w:oddVBand="0" w:evenVBand="0" w:oddHBand="0" w:evenHBand="0" w:firstRowFirstColumn="0" w:firstRowLastColumn="0" w:lastRowFirstColumn="0" w:lastRowLastColumn="0"/>
              <w:rPr>
                <w:iCs/>
                <w:lang w:eastAsia="en-AU"/>
              </w:rPr>
            </w:pPr>
            <w:r>
              <w:rPr>
                <w:iCs/>
                <w:lang w:eastAsia="en-AU"/>
              </w:rPr>
              <w:t>2021-22</w:t>
            </w:r>
          </w:p>
        </w:tc>
      </w:tr>
      <w:tr w:rsidR="00B32D50" w:rsidRPr="00173C22"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rPr>
                <w:rFonts w:ascii="Calibri" w:hAnsi="Calibri" w:cs="Calibri"/>
                <w:color w:val="000000"/>
                <w:lang w:eastAsia="en-AU"/>
              </w:rPr>
            </w:pPr>
            <w:r w:rsidRPr="00173C22">
              <w:t>Cutting red tape and supporting Victoria</w:t>
            </w:r>
            <w:r>
              <w:t>’</w:t>
            </w:r>
            <w:r w:rsidRPr="00173C22">
              <w:t>s principals</w:t>
            </w:r>
          </w:p>
        </w:tc>
        <w:tc>
          <w:tcPr>
            <w:tcW w:w="850" w:type="dxa"/>
            <w:tcBorders>
              <w:top w:val="nil"/>
              <w:left w:val="nil"/>
              <w:bottom w:val="nil"/>
              <w:right w:val="nil"/>
            </w:tcBorders>
            <w:shd w:val="clear" w:color="auto" w:fill="auto"/>
            <w:noWrap/>
          </w:tcPr>
          <w:p w:rsidR="00B32D50" w:rsidRPr="00173C22" w:rsidRDefault="00B32D50" w:rsidP="00F17BCD">
            <w:pPr>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5.7</w:t>
            </w:r>
          </w:p>
        </w:tc>
        <w:tc>
          <w:tcPr>
            <w:tcW w:w="850" w:type="dxa"/>
            <w:tcBorders>
              <w:top w:val="nil"/>
              <w:left w:val="nil"/>
              <w:bottom w:val="nil"/>
              <w:right w:val="nil"/>
            </w:tcBorders>
            <w:shd w:val="clear" w:color="auto" w:fill="auto"/>
            <w:noWrap/>
          </w:tcPr>
          <w:p w:rsidR="00B32D50" w:rsidRPr="00173C22" w:rsidRDefault="00B32D50" w:rsidP="00F17BCD">
            <w:pPr>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13.6</w:t>
            </w:r>
          </w:p>
        </w:tc>
        <w:tc>
          <w:tcPr>
            <w:tcW w:w="850" w:type="dxa"/>
            <w:tcBorders>
              <w:top w:val="nil"/>
              <w:left w:val="nil"/>
              <w:bottom w:val="nil"/>
              <w:right w:val="nil"/>
            </w:tcBorders>
            <w:shd w:val="clear" w:color="auto" w:fill="auto"/>
            <w:noWrap/>
          </w:tcPr>
          <w:p w:rsidR="00B32D50" w:rsidRPr="00173C22" w:rsidRDefault="00B32D50" w:rsidP="00F17BCD">
            <w:pPr>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15.9</w:t>
            </w:r>
          </w:p>
        </w:tc>
        <w:tc>
          <w:tcPr>
            <w:tcW w:w="850" w:type="dxa"/>
            <w:tcBorders>
              <w:top w:val="nil"/>
              <w:left w:val="nil"/>
              <w:bottom w:val="nil"/>
              <w:right w:val="nil"/>
            </w:tcBorders>
            <w:shd w:val="clear" w:color="auto" w:fill="auto"/>
            <w:noWrap/>
          </w:tcPr>
          <w:p w:rsidR="00B32D50" w:rsidRPr="00173C22" w:rsidRDefault="00B32D50" w:rsidP="00F17BCD">
            <w:pPr>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15.9</w:t>
            </w:r>
          </w:p>
        </w:tc>
      </w:tr>
      <w:tr w:rsidR="00B32D50" w:rsidRPr="00173C22"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rPr>
                <w:rFonts w:ascii="Calibri" w:hAnsi="Calibri" w:cs="Calibri"/>
                <w:color w:val="000000"/>
                <w:lang w:eastAsia="en-AU"/>
              </w:rPr>
            </w:pPr>
            <w:bookmarkStart w:id="108" w:name="_Hlk526948012"/>
            <w:r w:rsidRPr="00173C22">
              <w:t xml:space="preserve">Funding </w:t>
            </w:r>
            <w:r>
              <w:t>for non-g</w:t>
            </w:r>
            <w:r w:rsidRPr="00173C22">
              <w:t>overnment schools</w:t>
            </w:r>
            <w:bookmarkEnd w:id="108"/>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4.0</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4.0</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w:t>
            </w:r>
          </w:p>
        </w:tc>
      </w:tr>
      <w:tr w:rsidR="00B32D50" w:rsidRPr="00173C22"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rPr>
                <w:rFonts w:ascii="Calibri" w:hAnsi="Calibri" w:cs="Calibri"/>
                <w:color w:val="000000"/>
                <w:lang w:eastAsia="en-AU"/>
              </w:rPr>
            </w:pPr>
            <w:r w:rsidRPr="00173C22">
              <w:t xml:space="preserve">Greater subject choice for rural and regional students </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3.1</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6.4</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6.4</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6.8</w:t>
            </w:r>
          </w:p>
        </w:tc>
      </w:tr>
      <w:tr w:rsidR="00B32D50" w:rsidRPr="00173C22"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rPr>
                <w:rFonts w:ascii="Calibri" w:hAnsi="Calibri" w:cs="Calibri"/>
                <w:color w:val="000000"/>
                <w:lang w:eastAsia="en-AU"/>
              </w:rPr>
            </w:pPr>
            <w:r w:rsidRPr="00173C22">
              <w:t>Kindergarten Information Management System</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0.9</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0.8</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0.8</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w:t>
            </w:r>
          </w:p>
        </w:tc>
      </w:tr>
      <w:tr w:rsidR="00B32D50" w:rsidRPr="00173C22"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rPr>
                <w:rFonts w:ascii="Calibri" w:hAnsi="Calibri" w:cs="Calibri"/>
                <w:color w:val="000000"/>
                <w:lang w:eastAsia="en-AU"/>
              </w:rPr>
            </w:pPr>
            <w:r w:rsidRPr="00173C22">
              <w:t>Maintaining universal access to four-year-old kindergarten</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8.7</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8.7</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w:t>
            </w:r>
          </w:p>
        </w:tc>
      </w:tr>
      <w:tr w:rsidR="00B32D50" w:rsidRPr="00173C22"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rPr>
                <w:rFonts w:ascii="Calibri" w:hAnsi="Calibri" w:cs="Calibri"/>
                <w:color w:val="000000"/>
                <w:lang w:eastAsia="en-AU"/>
              </w:rPr>
            </w:pPr>
            <w:r w:rsidRPr="00173C22">
              <w:t>Mental health reform in schools</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0.4</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6.3</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16.7</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010000" w:firstRow="0" w:lastRow="0" w:firstColumn="0" w:lastColumn="0" w:oddVBand="0" w:evenVBand="0" w:oddHBand="0" w:evenHBand="1" w:firstRowFirstColumn="0" w:firstRowLastColumn="0" w:lastRowFirstColumn="0" w:lastRowLastColumn="0"/>
              <w:rPr>
                <w:rFonts w:cstheme="majorHAnsi"/>
                <w:color w:val="000000"/>
                <w:szCs w:val="17"/>
              </w:rPr>
            </w:pPr>
            <w:r w:rsidRPr="00173C22">
              <w:rPr>
                <w:rFonts w:cstheme="majorHAnsi"/>
                <w:color w:val="000000"/>
                <w:szCs w:val="17"/>
              </w:rPr>
              <w:t>27.8</w:t>
            </w:r>
          </w:p>
        </w:tc>
      </w:tr>
      <w:tr w:rsidR="00B32D50" w:rsidRPr="00173C22"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rPr>
                <w:rFonts w:ascii="Calibri" w:hAnsi="Calibri" w:cs="Calibri"/>
                <w:color w:val="000000"/>
                <w:lang w:eastAsia="en-AU"/>
              </w:rPr>
            </w:pPr>
            <w:r w:rsidRPr="00173C22">
              <w:t>Middle years literacy and numeracy support package</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16.2</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38.4</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62.2</w:t>
            </w:r>
          </w:p>
        </w:tc>
        <w:tc>
          <w:tcPr>
            <w:tcW w:w="850" w:type="dxa"/>
            <w:tcBorders>
              <w:top w:val="nil"/>
              <w:left w:val="nil"/>
              <w:bottom w:val="nil"/>
              <w:right w:val="nil"/>
            </w:tcBorders>
            <w:shd w:val="clear" w:color="auto" w:fill="auto"/>
            <w:noWrap/>
          </w:tcPr>
          <w:p w:rsidR="00B32D50" w:rsidRPr="00173C22" w:rsidRDefault="00B32D50" w:rsidP="00F17BCD">
            <w:pPr>
              <w:spacing w:after="0"/>
              <w:cnfStyle w:val="000000100000" w:firstRow="0" w:lastRow="0" w:firstColumn="0" w:lastColumn="0" w:oddVBand="0" w:evenVBand="0" w:oddHBand="1" w:evenHBand="0" w:firstRowFirstColumn="0" w:firstRowLastColumn="0" w:lastRowFirstColumn="0" w:lastRowLastColumn="0"/>
              <w:rPr>
                <w:rFonts w:cstheme="majorHAnsi"/>
                <w:color w:val="000000"/>
                <w:szCs w:val="17"/>
              </w:rPr>
            </w:pPr>
            <w:r w:rsidRPr="00173C22">
              <w:rPr>
                <w:rFonts w:cstheme="majorHAnsi"/>
                <w:color w:val="000000"/>
                <w:szCs w:val="17"/>
              </w:rPr>
              <w:t>70.2</w:t>
            </w:r>
          </w:p>
        </w:tc>
      </w:tr>
      <w:tr w:rsidR="00B32D50" w:rsidRPr="00173C22" w:rsidTr="00F17BCD">
        <w:trPr>
          <w:cnfStyle w:val="010000000000" w:firstRow="0" w:lastRow="1"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B32D50" w:rsidRPr="00173C22" w:rsidRDefault="00B32D50" w:rsidP="00F17BCD">
            <w:pPr>
              <w:rPr>
                <w:bCs/>
                <w:color w:val="000000"/>
                <w:lang w:eastAsia="en-AU"/>
              </w:rPr>
            </w:pPr>
            <w:r w:rsidRPr="00173C22">
              <w:rPr>
                <w:bCs/>
                <w:color w:val="000000"/>
                <w:lang w:eastAsia="en-AU"/>
              </w:rPr>
              <w:t xml:space="preserve">Total output initiatives </w:t>
            </w:r>
            <w:r w:rsidRPr="00173C22">
              <w:rPr>
                <w:bCs/>
                <w:color w:val="000000"/>
                <w:vertAlign w:val="superscript"/>
                <w:lang w:eastAsia="en-AU"/>
              </w:rPr>
              <w:t>(a)</w:t>
            </w:r>
          </w:p>
        </w:tc>
        <w:tc>
          <w:tcPr>
            <w:tcW w:w="850" w:type="dxa"/>
            <w:tcBorders>
              <w:top w:val="single" w:sz="6" w:space="0" w:color="auto"/>
              <w:bottom w:val="single" w:sz="12" w:space="0" w:color="auto"/>
            </w:tcBorders>
          </w:tcPr>
          <w:p w:rsidR="00B32D50" w:rsidRPr="00173C22" w:rsidRDefault="00B32D50" w:rsidP="00F17BCD">
            <w:pPr>
              <w:spacing w:after="0"/>
              <w:cnfStyle w:val="010000000000" w:firstRow="0" w:lastRow="1" w:firstColumn="0" w:lastColumn="0" w:oddVBand="0" w:evenVBand="0" w:oddHBand="0" w:evenHBand="0" w:firstRowFirstColumn="0" w:firstRowLastColumn="0" w:lastRowFirstColumn="0" w:lastRowLastColumn="0"/>
              <w:rPr>
                <w:rFonts w:cstheme="majorHAnsi"/>
                <w:color w:val="000000"/>
                <w:szCs w:val="17"/>
              </w:rPr>
            </w:pPr>
            <w:r>
              <w:rPr>
                <w:rFonts w:cstheme="majorHAnsi"/>
                <w:color w:val="000000"/>
                <w:szCs w:val="17"/>
              </w:rPr>
              <w:t>3</w:t>
            </w:r>
            <w:r w:rsidRPr="00173C22">
              <w:rPr>
                <w:rFonts w:cstheme="majorHAnsi"/>
                <w:color w:val="000000"/>
                <w:szCs w:val="17"/>
              </w:rPr>
              <w:t>9.0</w:t>
            </w:r>
          </w:p>
        </w:tc>
        <w:tc>
          <w:tcPr>
            <w:tcW w:w="850" w:type="dxa"/>
            <w:tcBorders>
              <w:top w:val="single" w:sz="6" w:space="0" w:color="auto"/>
              <w:bottom w:val="single" w:sz="12" w:space="0" w:color="auto"/>
            </w:tcBorders>
          </w:tcPr>
          <w:p w:rsidR="00B32D50" w:rsidRPr="00173C22" w:rsidRDefault="00B32D50" w:rsidP="00F17BCD">
            <w:pPr>
              <w:spacing w:after="0"/>
              <w:cnfStyle w:val="010000000000" w:firstRow="0" w:lastRow="1" w:firstColumn="0" w:lastColumn="0" w:oddVBand="0" w:evenVBand="0" w:oddHBand="0" w:evenHBand="0" w:firstRowFirstColumn="0" w:firstRowLastColumn="0" w:lastRowFirstColumn="0" w:lastRowLastColumn="0"/>
              <w:rPr>
                <w:rFonts w:cstheme="majorHAnsi"/>
                <w:color w:val="000000"/>
                <w:szCs w:val="17"/>
              </w:rPr>
            </w:pPr>
            <w:r w:rsidRPr="00173C22">
              <w:rPr>
                <w:rFonts w:cstheme="majorHAnsi"/>
                <w:color w:val="000000"/>
                <w:szCs w:val="17"/>
              </w:rPr>
              <w:t>78.2</w:t>
            </w:r>
          </w:p>
        </w:tc>
        <w:tc>
          <w:tcPr>
            <w:tcW w:w="850" w:type="dxa"/>
            <w:tcBorders>
              <w:top w:val="single" w:sz="6" w:space="0" w:color="auto"/>
              <w:bottom w:val="single" w:sz="12" w:space="0" w:color="auto"/>
            </w:tcBorders>
          </w:tcPr>
          <w:p w:rsidR="00B32D50" w:rsidRPr="00173C22" w:rsidRDefault="00B32D50" w:rsidP="00F17BCD">
            <w:pPr>
              <w:spacing w:after="0"/>
              <w:cnfStyle w:val="010000000000" w:firstRow="0" w:lastRow="1" w:firstColumn="0" w:lastColumn="0" w:oddVBand="0" w:evenVBand="0" w:oddHBand="0" w:evenHBand="0" w:firstRowFirstColumn="0" w:firstRowLastColumn="0" w:lastRowFirstColumn="0" w:lastRowLastColumn="0"/>
              <w:rPr>
                <w:rFonts w:cstheme="majorHAnsi"/>
                <w:color w:val="000000"/>
                <w:szCs w:val="17"/>
              </w:rPr>
            </w:pPr>
            <w:r w:rsidRPr="00173C22">
              <w:rPr>
                <w:rFonts w:cstheme="majorHAnsi"/>
                <w:color w:val="000000"/>
                <w:szCs w:val="17"/>
              </w:rPr>
              <w:t>102.0</w:t>
            </w:r>
          </w:p>
        </w:tc>
        <w:tc>
          <w:tcPr>
            <w:tcW w:w="850" w:type="dxa"/>
            <w:tcBorders>
              <w:top w:val="single" w:sz="6" w:space="0" w:color="auto"/>
              <w:bottom w:val="single" w:sz="12" w:space="0" w:color="auto"/>
            </w:tcBorders>
          </w:tcPr>
          <w:p w:rsidR="00B32D50" w:rsidRPr="00173C22" w:rsidRDefault="00B32D50" w:rsidP="00F17BCD">
            <w:pPr>
              <w:spacing w:after="0"/>
              <w:cnfStyle w:val="010000000000" w:firstRow="0" w:lastRow="1" w:firstColumn="0" w:lastColumn="0" w:oddVBand="0" w:evenVBand="0" w:oddHBand="0" w:evenHBand="0" w:firstRowFirstColumn="0" w:firstRowLastColumn="0" w:lastRowFirstColumn="0" w:lastRowLastColumn="0"/>
              <w:rPr>
                <w:rFonts w:cstheme="majorHAnsi"/>
                <w:color w:val="000000"/>
                <w:szCs w:val="17"/>
              </w:rPr>
            </w:pPr>
            <w:r w:rsidRPr="00173C22">
              <w:rPr>
                <w:rFonts w:cstheme="majorHAnsi"/>
                <w:color w:val="000000"/>
                <w:szCs w:val="17"/>
              </w:rPr>
              <w:t>120.7</w:t>
            </w:r>
          </w:p>
        </w:tc>
      </w:tr>
    </w:tbl>
    <w:bookmarkEnd w:id="107"/>
    <w:p w:rsidR="00B32D50" w:rsidRPr="00173C22" w:rsidRDefault="00B32D50" w:rsidP="00F17BCD">
      <w:pPr>
        <w:pStyle w:val="Note"/>
        <w:rPr>
          <w:lang w:eastAsia="en-AU"/>
        </w:rPr>
      </w:pPr>
      <w:r w:rsidRPr="00173C22">
        <w:rPr>
          <w:lang w:eastAsia="en-AU"/>
        </w:rPr>
        <w:t>Note:</w:t>
      </w:r>
    </w:p>
    <w:p w:rsidR="00B32D50" w:rsidRPr="00173C22" w:rsidRDefault="00B32D50" w:rsidP="00F17BCD">
      <w:pPr>
        <w:pStyle w:val="Note"/>
        <w:rPr>
          <w:lang w:eastAsia="en-AU"/>
        </w:rPr>
      </w:pPr>
      <w:r w:rsidRPr="00173C22">
        <w:rPr>
          <w:lang w:eastAsia="en-AU"/>
        </w:rPr>
        <w:t>(a)</w:t>
      </w:r>
      <w:r w:rsidRPr="00173C22">
        <w:rPr>
          <w:lang w:eastAsia="en-AU"/>
        </w:rPr>
        <w:tab/>
        <w:t>Table may not add due to rounding.</w:t>
      </w:r>
    </w:p>
    <w:p w:rsidR="00B32D50" w:rsidRPr="00173C22" w:rsidRDefault="00B32D50" w:rsidP="00F17BCD">
      <w:pPr>
        <w:pStyle w:val="Heading30"/>
        <w:spacing w:before="180"/>
      </w:pPr>
      <w:bookmarkStart w:id="109" w:name="_Hlk527367212"/>
      <w:r w:rsidRPr="00173C22">
        <w:t>Cutting red tape and supporting Victoria</w:t>
      </w:r>
      <w:r>
        <w:t>’</w:t>
      </w:r>
      <w:r w:rsidRPr="00173C22">
        <w:t xml:space="preserve">s principals </w:t>
      </w:r>
    </w:p>
    <w:p w:rsidR="00B32D50" w:rsidRPr="00173C22" w:rsidRDefault="00B32D50" w:rsidP="00F17BCD">
      <w:r w:rsidRPr="00173C22">
        <w:t>School principals will be supported with the development of a new occupational health and safety management system to reduce administrative burden and provide specialist support for complex incidents. The Principal Health and Wellbeing Strategy will receive continued funding to build on existing pilot initiatives to protect and promote the mental and physical health and wellbeing of Victorian school principals.</w:t>
      </w:r>
    </w:p>
    <w:p w:rsidR="00B32D50" w:rsidRPr="00173C22" w:rsidRDefault="00B32D50" w:rsidP="00F17BCD">
      <w:bookmarkStart w:id="110" w:name="_Hlk528769100"/>
      <w:r w:rsidRPr="00173C22">
        <w:t>This initiative contributes to the Department of Education and Training</w:t>
      </w:r>
      <w:r>
        <w:t xml:space="preserve">’s </w:t>
      </w:r>
      <w:r w:rsidRPr="00983B3A">
        <w:t>Support Services Delivery output</w:t>
      </w:r>
      <w:r>
        <w:t>.</w:t>
      </w:r>
    </w:p>
    <w:bookmarkEnd w:id="110"/>
    <w:p w:rsidR="00B32D50" w:rsidRPr="00173C22" w:rsidRDefault="00B32D50" w:rsidP="00F17BCD">
      <w:pPr>
        <w:pStyle w:val="Heading30"/>
        <w:spacing w:before="180"/>
      </w:pPr>
      <w:r>
        <w:t>Funding for non-g</w:t>
      </w:r>
      <w:r w:rsidRPr="00173C22">
        <w:t>overnment schools</w:t>
      </w:r>
    </w:p>
    <w:p w:rsidR="00B32D50" w:rsidRPr="00173C22" w:rsidRDefault="00B32D50" w:rsidP="00F17BCD">
      <w:r w:rsidRPr="00173C22">
        <w:t xml:space="preserve">The </w:t>
      </w:r>
      <w:r w:rsidRPr="00AD07AE">
        <w:rPr>
          <w:i/>
        </w:rPr>
        <w:t>Education and Training Reform Amendment (Funding of Non-Government Schools) Act 2015</w:t>
      </w:r>
      <w:r w:rsidRPr="00173C22">
        <w:t xml:space="preserve"> requires that State funding for the non-government schools sector is commensurate with the government schools sector. This initiative w</w:t>
      </w:r>
      <w:r>
        <w:t>ill ensure that funding for non</w:t>
      </w:r>
      <w:r>
        <w:noBreakHyphen/>
      </w:r>
      <w:r w:rsidRPr="00173C22">
        <w:t>government schools is at least 25 per cent of the recurrent per capita State funding of government schools.</w:t>
      </w:r>
    </w:p>
    <w:p w:rsidR="00B32D50" w:rsidRPr="00173C22" w:rsidRDefault="00B32D50" w:rsidP="00F17BCD">
      <w:r w:rsidRPr="00173C22">
        <w:t>This initiative contributes to the Department of Education and Training</w:t>
      </w:r>
      <w:r>
        <w:t>’</w:t>
      </w:r>
      <w:r w:rsidRPr="00173C22">
        <w:t>s:</w:t>
      </w:r>
    </w:p>
    <w:p w:rsidR="00B32D50" w:rsidRPr="00173C22" w:rsidRDefault="00B32D50" w:rsidP="00F17BCD">
      <w:pPr>
        <w:pStyle w:val="ListBullet"/>
      </w:pPr>
      <w:r w:rsidRPr="00173C22">
        <w:t xml:space="preserve">School Education </w:t>
      </w:r>
      <w:r>
        <w:t>–</w:t>
      </w:r>
      <w:r w:rsidRPr="00173C22">
        <w:t xml:space="preserve"> Primary output; and </w:t>
      </w:r>
    </w:p>
    <w:p w:rsidR="00B32D50" w:rsidRPr="00173C22" w:rsidRDefault="00B32D50" w:rsidP="00F17BCD">
      <w:pPr>
        <w:pStyle w:val="ListBullet"/>
      </w:pPr>
      <w:r w:rsidRPr="00173C22">
        <w:t xml:space="preserve">School Education </w:t>
      </w:r>
      <w:r>
        <w:t>–</w:t>
      </w:r>
      <w:r w:rsidRPr="00173C22">
        <w:t xml:space="preserve"> Secondary output.</w:t>
      </w:r>
    </w:p>
    <w:p w:rsidR="00B32D50" w:rsidRPr="00173C22" w:rsidRDefault="00B32D50" w:rsidP="00F17BCD">
      <w:pPr>
        <w:pStyle w:val="Heading30"/>
        <w:spacing w:before="180"/>
      </w:pPr>
      <w:r w:rsidRPr="00173C22">
        <w:t>Greater subject choice for rural and regional students</w:t>
      </w:r>
    </w:p>
    <w:p w:rsidR="00B32D50" w:rsidRPr="00173C22" w:rsidRDefault="00B32D50" w:rsidP="00F17BCD">
      <w:r w:rsidRPr="00173C22">
        <w:t xml:space="preserve">From 2019, rural and regional students will have access to a greater selection of Victorian Certificate of Education (VCE) subjects through </w:t>
      </w:r>
      <w:r>
        <w:t>expanded virtual learning statewide. A </w:t>
      </w:r>
      <w:r w:rsidRPr="00173C22">
        <w:t>VCE Collaboration Fund will also be established to support partnerships between schools and the local provision of VCE.</w:t>
      </w:r>
    </w:p>
    <w:p w:rsidR="00B32D50" w:rsidRPr="00A13AAD" w:rsidRDefault="00B32D50" w:rsidP="00F17BCD">
      <w:r w:rsidRPr="00173C22">
        <w:t>This initiative contributes to the Department of Education and Training</w:t>
      </w:r>
      <w:r>
        <w:t>’</w:t>
      </w:r>
      <w:r w:rsidRPr="00173C22">
        <w:t>s School Education – Secondary output.</w:t>
      </w:r>
      <w:r w:rsidRPr="00A13AAD">
        <w:t xml:space="preserve"> </w:t>
      </w:r>
    </w:p>
    <w:bookmarkEnd w:id="109"/>
    <w:p w:rsidR="00B32D50" w:rsidRPr="002627DD" w:rsidRDefault="00B32D50" w:rsidP="00F17BCD">
      <w:pPr>
        <w:pStyle w:val="Heading30"/>
      </w:pPr>
      <w:r w:rsidRPr="002627DD">
        <w:lastRenderedPageBreak/>
        <w:t xml:space="preserve">Kindergarten Information Management </w:t>
      </w:r>
      <w:r>
        <w:t>S</w:t>
      </w:r>
      <w:r w:rsidRPr="002627DD">
        <w:t>ystem</w:t>
      </w:r>
    </w:p>
    <w:p w:rsidR="00B32D50" w:rsidRPr="00812B97" w:rsidRDefault="00B32D50" w:rsidP="00F17BCD">
      <w:r>
        <w:t>R</w:t>
      </w:r>
      <w:r w:rsidRPr="00812B97">
        <w:t xml:space="preserve">efer to the </w:t>
      </w:r>
      <w:r>
        <w:t xml:space="preserve">asset description </w:t>
      </w:r>
      <w:r w:rsidRPr="00812B97">
        <w:t>of this initiativ</w:t>
      </w:r>
      <w:r>
        <w:t>e.</w:t>
      </w:r>
    </w:p>
    <w:p w:rsidR="00B32D50" w:rsidRPr="001A474B" w:rsidRDefault="00B32D50" w:rsidP="00F17BCD">
      <w:pPr>
        <w:pStyle w:val="Heading30"/>
      </w:pPr>
      <w:r w:rsidRPr="001A474B">
        <w:t xml:space="preserve">Maintaining universal access to four-year-old kindergarten </w:t>
      </w:r>
    </w:p>
    <w:p w:rsidR="00B32D50" w:rsidRPr="004C53C9" w:rsidRDefault="00B32D50" w:rsidP="00F17BCD">
      <w:r>
        <w:t>Additional f</w:t>
      </w:r>
      <w:r w:rsidRPr="004C53C9">
        <w:t>unding will be provided to maintain universal access to 15 hours per week of</w:t>
      </w:r>
      <w:r>
        <w:t xml:space="preserve"> </w:t>
      </w:r>
      <w:r w:rsidRPr="004C53C9">
        <w:t>kindergarten in 2019</w:t>
      </w:r>
      <w:r>
        <w:t>, covering educator-to-child ratios, educator salaries and other related costs</w:t>
      </w:r>
      <w:r w:rsidRPr="004C53C9">
        <w:t>.</w:t>
      </w:r>
    </w:p>
    <w:p w:rsidR="00B32D50" w:rsidRDefault="00B32D50" w:rsidP="00F17BCD">
      <w:pPr>
        <w:shd w:val="clear" w:color="auto" w:fill="FFFFFF" w:themeFill="background1"/>
      </w:pPr>
      <w:r w:rsidRPr="00BC43B8">
        <w:t>This supplements Commonwealth funding for the National Partnership Agreement on Early Childhood Education</w:t>
      </w:r>
      <w:r>
        <w:t>.</w:t>
      </w:r>
    </w:p>
    <w:p w:rsidR="00B32D50" w:rsidRDefault="00B32D50" w:rsidP="005310BA">
      <w:pPr>
        <w:ind w:right="-86"/>
      </w:pPr>
      <w:r w:rsidRPr="004C53C9">
        <w:t>This initiative contributes to the Department of Education and Training</w:t>
      </w:r>
      <w:r>
        <w:t>’</w:t>
      </w:r>
      <w:r w:rsidRPr="004C53C9">
        <w:t>s Early Childhood</w:t>
      </w:r>
      <w:r>
        <w:t xml:space="preserve"> </w:t>
      </w:r>
      <w:r w:rsidRPr="004C53C9">
        <w:t>Development output.</w:t>
      </w:r>
    </w:p>
    <w:p w:rsidR="00B32D50" w:rsidRPr="00173C22" w:rsidRDefault="00B32D50" w:rsidP="00F17BCD">
      <w:pPr>
        <w:pStyle w:val="Heading30"/>
      </w:pPr>
      <w:bookmarkStart w:id="111" w:name="_Hlk527367291"/>
      <w:r w:rsidRPr="00173C22">
        <w:t xml:space="preserve">Mental health reform in schools </w:t>
      </w:r>
    </w:p>
    <w:p w:rsidR="00B32D50" w:rsidRPr="00173C22" w:rsidRDefault="00B32D50" w:rsidP="00F17BCD">
      <w:r w:rsidRPr="00173C22">
        <w:t xml:space="preserve">Funding will be provided to ensure all government secondary school campuses will have access to a qualified mental health professional to provide direct counselling support, early intervention services and to coordinate a whole school approach to enhance prevention and promotion of mental health issues. </w:t>
      </w:r>
    </w:p>
    <w:p w:rsidR="00B32D50" w:rsidRPr="00173C22" w:rsidRDefault="00B32D50" w:rsidP="00F17BCD">
      <w:r w:rsidRPr="00173C22">
        <w:t>This initiative contributes to the Department of Education and Training</w:t>
      </w:r>
      <w:r>
        <w:t xml:space="preserve">’s </w:t>
      </w:r>
      <w:r w:rsidRPr="00983B3A">
        <w:t>Support Services Delivery output</w:t>
      </w:r>
      <w:r>
        <w:t>.</w:t>
      </w:r>
    </w:p>
    <w:p w:rsidR="00B32D50" w:rsidRPr="00173C22" w:rsidRDefault="00B32D50" w:rsidP="00F17BCD">
      <w:pPr>
        <w:pStyle w:val="Heading30"/>
      </w:pPr>
      <w:r w:rsidRPr="00173C22">
        <w:t>Middle years literacy and numeracy support package</w:t>
      </w:r>
    </w:p>
    <w:p w:rsidR="00B32D50" w:rsidRPr="00173C22" w:rsidRDefault="00B32D50" w:rsidP="00F17BCD">
      <w:r w:rsidRPr="00173C22">
        <w:t xml:space="preserve">Individual support will be provided to every student in Year 7 and Year 9 who does not meet minimum standards in literacy and numeracy. Funding will be provided to enable </w:t>
      </w:r>
      <w:r>
        <w:t>s</w:t>
      </w:r>
      <w:r w:rsidRPr="00173C22">
        <w:t>econdary school teachers to receive a range of supports including professional development workshops and teaching tools to improve literacy and numeracy teaching practice. Up to 229 area</w:t>
      </w:r>
      <w:r w:rsidRPr="00173C22">
        <w:noBreakHyphen/>
        <w:t xml:space="preserve">based literacy and numeracy specialists will also be employed to provide additional support to schools that have more students </w:t>
      </w:r>
      <w:r>
        <w:t>in need</w:t>
      </w:r>
      <w:r w:rsidRPr="00173C22">
        <w:t xml:space="preserve">. </w:t>
      </w:r>
    </w:p>
    <w:p w:rsidR="00B32D50" w:rsidRDefault="00B32D50" w:rsidP="00F17BCD">
      <w:r w:rsidRPr="00173C22">
        <w:t>This initiative contributes to the Department of Education and Training</w:t>
      </w:r>
      <w:r>
        <w:t>’</w:t>
      </w:r>
      <w:r w:rsidRPr="00173C22">
        <w:t>s School Education – Secondary output.</w:t>
      </w:r>
      <w:r w:rsidRPr="002627DD">
        <w:t xml:space="preserve"> </w:t>
      </w:r>
    </w:p>
    <w:bookmarkEnd w:id="111"/>
    <w:p w:rsidR="00B32D50" w:rsidRDefault="00B32D50" w:rsidP="00F17BCD">
      <w:pPr>
        <w:rPr>
          <w:rFonts w:asciiTheme="majorHAnsi" w:eastAsiaTheme="majorEastAsia" w:hAnsiTheme="majorHAnsi" w:cstheme="majorBidi"/>
          <w:b/>
          <w:spacing w:val="-2"/>
          <w:sz w:val="26"/>
          <w:szCs w:val="26"/>
          <w:lang w:eastAsia="en-AU"/>
        </w:rPr>
      </w:pPr>
      <w:r>
        <w:rPr>
          <w:lang w:eastAsia="en-AU"/>
        </w:rPr>
        <w:br w:type="page"/>
      </w:r>
    </w:p>
    <w:p w:rsidR="00B32D50" w:rsidRPr="007F4B6F" w:rsidRDefault="00B32D50" w:rsidP="00F17BCD">
      <w:pPr>
        <w:pStyle w:val="Heading20"/>
        <w:rPr>
          <w:i/>
          <w:lang w:eastAsia="en-AU"/>
        </w:rPr>
      </w:pPr>
      <w:r w:rsidRPr="007F4B6F">
        <w:rPr>
          <w:i/>
          <w:lang w:eastAsia="en-AU"/>
        </w:rPr>
        <w:lastRenderedPageBreak/>
        <w:t>Asset initiatives</w:t>
      </w:r>
    </w:p>
    <w:p w:rsidR="00B32D50" w:rsidRPr="001A474B" w:rsidRDefault="00B32D50" w:rsidP="00F17BCD">
      <w:pPr>
        <w:pStyle w:val="TableHeading"/>
      </w:pPr>
      <w:r>
        <w:t>Table A.7</w:t>
      </w:r>
      <w:r w:rsidRPr="001A474B">
        <w:t>:</w:t>
      </w:r>
      <w:r w:rsidRPr="001A474B">
        <w:tab/>
        <w:t>Asset initiatives – Department of Education and Training</w:t>
      </w:r>
      <w:r w:rsidRPr="001A474B">
        <w:tab/>
        <w:t>($ million)</w:t>
      </w:r>
    </w:p>
    <w:tbl>
      <w:tblPr>
        <w:tblStyle w:val="DTFTable3"/>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B32D50" w:rsidRPr="00680698"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B32D50" w:rsidRPr="00680698" w:rsidRDefault="00B32D50" w:rsidP="00F17BCD">
            <w:pPr>
              <w:autoSpaceDE w:val="0"/>
              <w:autoSpaceDN w:val="0"/>
              <w:adjustRightInd w:val="0"/>
              <w:rPr>
                <w:rFonts w:eastAsia="Times New Roman" w:cs="Calibri"/>
                <w:color w:val="FFFFFF"/>
                <w:szCs w:val="20"/>
                <w:lang w:eastAsia="en-AU"/>
              </w:rPr>
            </w:pP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sidRPr="00680698">
              <w:rPr>
                <w:rFonts w:eastAsia="Times New Roman" w:cs="Calibri"/>
                <w:iCs/>
                <w:color w:val="FFFFFF"/>
                <w:szCs w:val="20"/>
                <w:lang w:eastAsia="en-AU"/>
              </w:rPr>
              <w:t>TEI</w:t>
            </w:r>
          </w:p>
        </w:tc>
      </w:tr>
      <w:tr w:rsidR="00B32D50" w:rsidRPr="00441EAC"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15" w:type="dxa"/>
            <w:tcBorders>
              <w:top w:val="nil"/>
            </w:tcBorders>
            <w:shd w:val="clear" w:color="auto" w:fill="auto"/>
            <w:noWrap/>
            <w:hideMark/>
          </w:tcPr>
          <w:p w:rsidR="00B32D50" w:rsidRPr="00441EAC" w:rsidRDefault="00B32D50" w:rsidP="00F17BCD">
            <w:pPr>
              <w:spacing w:after="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Additional school relocatable buildings</w:t>
            </w:r>
          </w:p>
        </w:tc>
        <w:tc>
          <w:tcPr>
            <w:tcW w:w="850" w:type="dxa"/>
            <w:tcBorders>
              <w:top w:val="nil"/>
            </w:tcBorders>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13.8</w:t>
            </w:r>
          </w:p>
        </w:tc>
        <w:tc>
          <w:tcPr>
            <w:tcW w:w="850" w:type="dxa"/>
            <w:tcBorders>
              <w:top w:val="nil"/>
            </w:tcBorders>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w:t>
            </w:r>
          </w:p>
        </w:tc>
        <w:tc>
          <w:tcPr>
            <w:tcW w:w="850" w:type="dxa"/>
            <w:tcBorders>
              <w:top w:val="nil"/>
            </w:tcBorders>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w:t>
            </w:r>
          </w:p>
        </w:tc>
        <w:tc>
          <w:tcPr>
            <w:tcW w:w="850" w:type="dxa"/>
            <w:tcBorders>
              <w:top w:val="nil"/>
            </w:tcBorders>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c>
          <w:tcPr>
            <w:tcW w:w="850" w:type="dxa"/>
            <w:tcBorders>
              <w:top w:val="nil"/>
            </w:tcBorders>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13.8</w:t>
            </w:r>
          </w:p>
        </w:tc>
      </w:tr>
      <w:tr w:rsidR="00B32D50" w:rsidRPr="00441EAC"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15" w:type="dxa"/>
            <w:shd w:val="clear" w:color="auto" w:fill="auto"/>
            <w:noWrap/>
            <w:hideMark/>
          </w:tcPr>
          <w:p w:rsidR="00B32D50" w:rsidRPr="00441EAC" w:rsidRDefault="00B32D50" w:rsidP="00F17BCD">
            <w:pPr>
              <w:spacing w:after="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Cladding rectification works</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10.5</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10.5</w:t>
            </w:r>
          </w:p>
        </w:tc>
      </w:tr>
      <w:tr w:rsidR="00B32D50" w:rsidRPr="00441EAC"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15" w:type="dxa"/>
            <w:shd w:val="clear" w:color="auto" w:fill="auto"/>
            <w:noWrap/>
            <w:hideMark/>
          </w:tcPr>
          <w:p w:rsidR="00B32D50" w:rsidRPr="00441EAC" w:rsidRDefault="00B32D50" w:rsidP="00F17BCD">
            <w:pPr>
              <w:spacing w:after="0"/>
              <w:rPr>
                <w:rFonts w:asciiTheme="majorHAnsi" w:hAnsiTheme="majorHAnsi" w:cstheme="majorHAnsi"/>
                <w:color w:val="000000"/>
                <w:szCs w:val="17"/>
                <w:lang w:eastAsia="en-AU"/>
              </w:rPr>
            </w:pPr>
            <w:r w:rsidRPr="000436EF">
              <w:rPr>
                <w:rFonts w:asciiTheme="majorHAnsi" w:hAnsiTheme="majorHAnsi" w:cstheme="majorHAnsi"/>
                <w:color w:val="000000"/>
                <w:szCs w:val="17"/>
                <w:lang w:eastAsia="en-AU"/>
              </w:rPr>
              <w:t xml:space="preserve">Docklands Primary School land acquisition </w:t>
            </w:r>
            <w:r>
              <w:rPr>
                <w:rFonts w:asciiTheme="majorHAnsi" w:hAnsiTheme="majorHAnsi" w:cstheme="majorHAnsi"/>
                <w:color w:val="000000"/>
                <w:szCs w:val="17"/>
                <w:lang w:eastAsia="en-AU"/>
              </w:rPr>
              <w:br/>
            </w:r>
            <w:r w:rsidRPr="000436EF">
              <w:rPr>
                <w:rFonts w:asciiTheme="majorHAnsi" w:hAnsiTheme="majorHAnsi" w:cstheme="majorHAnsi"/>
                <w:color w:val="000000"/>
                <w:szCs w:val="17"/>
                <w:lang w:eastAsia="en-AU"/>
              </w:rPr>
              <w:t>and Stage 1 construction</w:t>
            </w:r>
          </w:p>
        </w:tc>
        <w:tc>
          <w:tcPr>
            <w:tcW w:w="850" w:type="dxa"/>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39.8</w:t>
            </w:r>
          </w:p>
        </w:tc>
        <w:tc>
          <w:tcPr>
            <w:tcW w:w="850" w:type="dxa"/>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w:t>
            </w:r>
          </w:p>
        </w:tc>
        <w:tc>
          <w:tcPr>
            <w:tcW w:w="850" w:type="dxa"/>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w:t>
            </w:r>
          </w:p>
        </w:tc>
        <w:tc>
          <w:tcPr>
            <w:tcW w:w="850" w:type="dxa"/>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c>
          <w:tcPr>
            <w:tcW w:w="850" w:type="dxa"/>
            <w:shd w:val="clear" w:color="auto" w:fill="auto"/>
            <w:noWrap/>
            <w:hideMark/>
          </w:tcPr>
          <w:p w:rsidR="00B32D50" w:rsidRPr="00441EAC"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39.8</w:t>
            </w:r>
          </w:p>
        </w:tc>
      </w:tr>
      <w:tr w:rsidR="00B32D50" w:rsidRPr="00441EAC"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15" w:type="dxa"/>
            <w:shd w:val="clear" w:color="auto" w:fill="auto"/>
            <w:noWrap/>
            <w:hideMark/>
          </w:tcPr>
          <w:p w:rsidR="00B32D50" w:rsidRPr="00441EAC" w:rsidRDefault="00B32D50" w:rsidP="00F17BCD">
            <w:pPr>
              <w:spacing w:after="0"/>
              <w:rPr>
                <w:rFonts w:asciiTheme="majorHAnsi" w:hAnsiTheme="majorHAnsi" w:cstheme="majorHAnsi"/>
                <w:color w:val="000000"/>
                <w:szCs w:val="17"/>
                <w:lang w:eastAsia="en-AU"/>
              </w:rPr>
            </w:pPr>
            <w:r w:rsidRPr="00441EAC">
              <w:rPr>
                <w:rFonts w:asciiTheme="majorHAnsi" w:hAnsiTheme="majorHAnsi" w:cstheme="majorHAnsi"/>
                <w:color w:val="000000"/>
                <w:szCs w:val="17"/>
                <w:lang w:eastAsia="en-AU"/>
              </w:rPr>
              <w:t>Kindergarten Information Management System</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3.5</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2.0</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1.3</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c>
          <w:tcPr>
            <w:tcW w:w="850" w:type="dxa"/>
            <w:shd w:val="clear" w:color="auto" w:fill="auto"/>
            <w:noWrap/>
            <w:hideMark/>
          </w:tcPr>
          <w:p w:rsidR="00B32D50" w:rsidRPr="00441EAC"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6.8</w:t>
            </w:r>
          </w:p>
        </w:tc>
      </w:tr>
      <w:tr w:rsidR="00B32D50" w:rsidRPr="00680698" w:rsidTr="00F17BCD">
        <w:trPr>
          <w:cnfStyle w:val="010000000000" w:firstRow="0" w:lastRow="1"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B32D50" w:rsidRPr="0018745A" w:rsidRDefault="00B32D50" w:rsidP="00F17BCD">
            <w:pPr>
              <w:autoSpaceDE w:val="0"/>
              <w:autoSpaceDN w:val="0"/>
              <w:adjustRightInd w:val="0"/>
              <w:rPr>
                <w:rFonts w:asciiTheme="majorHAnsi" w:eastAsia="Times New Roman" w:hAnsiTheme="majorHAnsi" w:cstheme="majorHAnsi"/>
                <w:bCs/>
                <w:color w:val="000000"/>
                <w:szCs w:val="17"/>
                <w:vertAlign w:val="superscript"/>
                <w:lang w:eastAsia="en-AU"/>
              </w:rPr>
            </w:pPr>
            <w:r w:rsidRPr="0018745A">
              <w:rPr>
                <w:rFonts w:asciiTheme="majorHAnsi" w:eastAsia="Times New Roman" w:hAnsiTheme="majorHAnsi" w:cstheme="majorHAnsi"/>
                <w:bCs/>
                <w:color w:val="000000"/>
                <w:szCs w:val="17"/>
                <w:lang w:eastAsia="en-AU"/>
              </w:rPr>
              <w:t xml:space="preserve">Total asset initiatives </w:t>
            </w:r>
            <w:r w:rsidRPr="006931AA">
              <w:rPr>
                <w:rFonts w:asciiTheme="majorHAnsi" w:eastAsia="Times New Roman" w:hAnsiTheme="majorHAnsi" w:cstheme="majorHAnsi"/>
                <w:bCs/>
                <w:color w:val="000000"/>
                <w:szCs w:val="17"/>
                <w:vertAlign w:val="superscript"/>
                <w:lang w:eastAsia="en-AU"/>
              </w:rPr>
              <w:t>(a)</w:t>
            </w:r>
          </w:p>
        </w:tc>
        <w:tc>
          <w:tcPr>
            <w:tcW w:w="850" w:type="dxa"/>
            <w:tcBorders>
              <w:top w:val="single" w:sz="6" w:space="0" w:color="auto"/>
              <w:bottom w:val="single" w:sz="12" w:space="0" w:color="auto"/>
            </w:tcBorders>
          </w:tcPr>
          <w:p w:rsidR="00B32D50" w:rsidRPr="0018745A"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Cs w:val="17"/>
                <w:lang w:eastAsia="en-AU"/>
              </w:rPr>
            </w:pPr>
            <w:r>
              <w:rPr>
                <w:rFonts w:asciiTheme="majorHAnsi" w:eastAsia="Times New Roman" w:hAnsiTheme="majorHAnsi" w:cstheme="majorHAnsi"/>
                <w:bCs/>
                <w:color w:val="000000"/>
                <w:szCs w:val="17"/>
                <w:lang w:eastAsia="en-AU"/>
              </w:rPr>
              <w:t>67.6</w:t>
            </w:r>
          </w:p>
        </w:tc>
        <w:tc>
          <w:tcPr>
            <w:tcW w:w="850" w:type="dxa"/>
            <w:tcBorders>
              <w:top w:val="single" w:sz="6" w:space="0" w:color="auto"/>
              <w:bottom w:val="single" w:sz="12" w:space="0" w:color="auto"/>
            </w:tcBorders>
          </w:tcPr>
          <w:p w:rsidR="00B32D50" w:rsidRPr="0018745A"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Cs w:val="17"/>
                <w:lang w:eastAsia="en-AU"/>
              </w:rPr>
            </w:pPr>
            <w:r>
              <w:rPr>
                <w:rFonts w:asciiTheme="majorHAnsi" w:eastAsia="Times New Roman" w:hAnsiTheme="majorHAnsi" w:cstheme="majorHAnsi"/>
                <w:bCs/>
                <w:color w:val="000000"/>
                <w:szCs w:val="17"/>
                <w:lang w:eastAsia="en-AU"/>
              </w:rPr>
              <w:t>2.0</w:t>
            </w:r>
          </w:p>
        </w:tc>
        <w:tc>
          <w:tcPr>
            <w:tcW w:w="850" w:type="dxa"/>
            <w:tcBorders>
              <w:top w:val="single" w:sz="6" w:space="0" w:color="auto"/>
              <w:bottom w:val="single" w:sz="12" w:space="0" w:color="auto"/>
            </w:tcBorders>
          </w:tcPr>
          <w:p w:rsidR="00B32D50" w:rsidRPr="0018745A"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Cs w:val="17"/>
                <w:lang w:eastAsia="en-AU"/>
              </w:rPr>
            </w:pPr>
            <w:r>
              <w:rPr>
                <w:rFonts w:asciiTheme="majorHAnsi" w:eastAsia="Times New Roman" w:hAnsiTheme="majorHAnsi" w:cstheme="majorHAnsi"/>
                <w:bCs/>
                <w:color w:val="000000"/>
                <w:szCs w:val="17"/>
                <w:lang w:eastAsia="en-AU"/>
              </w:rPr>
              <w:t>1.3</w:t>
            </w:r>
          </w:p>
        </w:tc>
        <w:tc>
          <w:tcPr>
            <w:tcW w:w="850" w:type="dxa"/>
            <w:tcBorders>
              <w:top w:val="single" w:sz="6" w:space="0" w:color="auto"/>
              <w:bottom w:val="single" w:sz="12" w:space="0" w:color="auto"/>
            </w:tcBorders>
          </w:tcPr>
          <w:p w:rsidR="00B32D50" w:rsidRPr="0018745A"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Cs w:val="17"/>
                <w:lang w:eastAsia="en-AU"/>
              </w:rPr>
            </w:pPr>
            <w:r w:rsidRPr="0018745A">
              <w:rPr>
                <w:rFonts w:asciiTheme="majorHAnsi" w:eastAsia="Times New Roman" w:hAnsiTheme="majorHAnsi" w:cstheme="majorHAnsi"/>
                <w:bCs/>
                <w:color w:val="000000"/>
                <w:szCs w:val="17"/>
                <w:lang w:eastAsia="en-AU"/>
              </w:rPr>
              <w:t>..</w:t>
            </w:r>
          </w:p>
        </w:tc>
        <w:tc>
          <w:tcPr>
            <w:tcW w:w="850" w:type="dxa"/>
            <w:tcBorders>
              <w:top w:val="single" w:sz="6" w:space="0" w:color="auto"/>
              <w:bottom w:val="single" w:sz="12" w:space="0" w:color="auto"/>
            </w:tcBorders>
          </w:tcPr>
          <w:p w:rsidR="00B32D50" w:rsidRPr="0018745A"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heme="majorHAnsi"/>
                <w:bCs/>
                <w:color w:val="000000"/>
                <w:szCs w:val="17"/>
                <w:lang w:eastAsia="en-AU"/>
              </w:rPr>
            </w:pPr>
            <w:r>
              <w:rPr>
                <w:rFonts w:asciiTheme="majorHAnsi" w:eastAsia="Times New Roman" w:hAnsiTheme="majorHAnsi" w:cstheme="majorHAnsi"/>
                <w:bCs/>
                <w:color w:val="000000"/>
                <w:szCs w:val="17"/>
                <w:lang w:eastAsia="en-AU"/>
              </w:rPr>
              <w:t>70.9</w:t>
            </w:r>
          </w:p>
        </w:tc>
      </w:tr>
    </w:tbl>
    <w:p w:rsidR="00B32D50" w:rsidRDefault="00B32D50" w:rsidP="00F17BCD">
      <w:pPr>
        <w:pStyle w:val="Note"/>
        <w:rPr>
          <w:lang w:eastAsia="en-AU"/>
        </w:rPr>
      </w:pPr>
      <w:r>
        <w:rPr>
          <w:lang w:eastAsia="en-AU"/>
        </w:rPr>
        <w:t>Note:</w:t>
      </w:r>
    </w:p>
    <w:p w:rsidR="00B32D50" w:rsidRDefault="00B32D50" w:rsidP="00F17BCD">
      <w:pPr>
        <w:pStyle w:val="Note"/>
        <w:rPr>
          <w:lang w:eastAsia="en-AU"/>
        </w:rPr>
      </w:pPr>
      <w:r>
        <w:rPr>
          <w:lang w:eastAsia="en-AU"/>
        </w:rPr>
        <w:t>(a)</w:t>
      </w:r>
      <w:r>
        <w:rPr>
          <w:lang w:eastAsia="en-AU"/>
        </w:rPr>
        <w:tab/>
        <w:t>Table may not add due to rounding.</w:t>
      </w:r>
    </w:p>
    <w:p w:rsidR="00B32D50" w:rsidRPr="002627DD" w:rsidRDefault="00B32D50" w:rsidP="00F17BCD">
      <w:pPr>
        <w:pStyle w:val="Heading30"/>
      </w:pPr>
      <w:r w:rsidRPr="002627DD">
        <w:t>Additional school relocatable buildings</w:t>
      </w:r>
    </w:p>
    <w:p w:rsidR="00B32D50" w:rsidRPr="002627DD" w:rsidRDefault="00B32D50" w:rsidP="00F17BCD">
      <w:r w:rsidRPr="002627DD">
        <w:t xml:space="preserve">Additional funding will be provided </w:t>
      </w:r>
      <w:r>
        <w:t>for</w:t>
      </w:r>
      <w:r w:rsidRPr="002627DD">
        <w:t xml:space="preserve"> the purchase of new re</w:t>
      </w:r>
      <w:r>
        <w:t xml:space="preserve">locatable buildings to meet </w:t>
      </w:r>
      <w:r w:rsidRPr="002627DD">
        <w:t>increase</w:t>
      </w:r>
      <w:r>
        <w:t xml:space="preserve">d </w:t>
      </w:r>
      <w:r w:rsidRPr="002627DD">
        <w:t>forecast enrolment numbers in 2019.</w:t>
      </w:r>
    </w:p>
    <w:p w:rsidR="00B32D50" w:rsidRPr="002627DD" w:rsidRDefault="00B32D50" w:rsidP="00F17BCD">
      <w:r w:rsidRPr="002627DD">
        <w:t>This initiative contributes to the Department of Education and Training</w:t>
      </w:r>
      <w:r>
        <w:t>’</w:t>
      </w:r>
      <w:r w:rsidRPr="002627DD">
        <w:t xml:space="preserve">s: </w:t>
      </w:r>
    </w:p>
    <w:p w:rsidR="00B32D50" w:rsidRPr="002627DD" w:rsidRDefault="00B32D50" w:rsidP="00F17BCD">
      <w:pPr>
        <w:pStyle w:val="ListBullet"/>
      </w:pPr>
      <w:r w:rsidRPr="002627DD">
        <w:t xml:space="preserve">School Education – Primary output; and </w:t>
      </w:r>
    </w:p>
    <w:p w:rsidR="00B32D50" w:rsidRPr="002627DD" w:rsidRDefault="00B32D50" w:rsidP="00F17BCD">
      <w:pPr>
        <w:pStyle w:val="ListBullet"/>
      </w:pPr>
      <w:r w:rsidRPr="002627DD">
        <w:t xml:space="preserve">School Education – Secondary output. </w:t>
      </w:r>
    </w:p>
    <w:p w:rsidR="00B32D50" w:rsidRPr="002627DD" w:rsidRDefault="00B32D50" w:rsidP="00F17BCD">
      <w:pPr>
        <w:pStyle w:val="Heading30"/>
      </w:pPr>
      <w:r w:rsidRPr="002627DD">
        <w:t>Cladding rectification works</w:t>
      </w:r>
    </w:p>
    <w:p w:rsidR="00B32D50" w:rsidRPr="002627DD" w:rsidRDefault="00B32D50" w:rsidP="00F17BCD">
      <w:r w:rsidRPr="00095FF5">
        <w:t>Funding is provided for the complete removal of combustible cladding, lining and attachments from 16 school building</w:t>
      </w:r>
      <w:r>
        <w:t xml:space="preserve">s including project management </w:t>
      </w:r>
      <w:r w:rsidRPr="00095FF5">
        <w:t>planning and removal costs.</w:t>
      </w:r>
      <w:r>
        <w:t xml:space="preserve"> </w:t>
      </w:r>
      <w:r w:rsidRPr="002627DD">
        <w:t>This initiative contributes to the Department of Education and Training</w:t>
      </w:r>
      <w:r>
        <w:t>’</w:t>
      </w:r>
      <w:r w:rsidRPr="002627DD">
        <w:t xml:space="preserve">s: </w:t>
      </w:r>
    </w:p>
    <w:p w:rsidR="00B32D50" w:rsidRPr="00B24CE3" w:rsidRDefault="00B32D50" w:rsidP="00F17BCD">
      <w:pPr>
        <w:pStyle w:val="ListBullet"/>
      </w:pPr>
      <w:r w:rsidRPr="00B24CE3">
        <w:t xml:space="preserve">School Education – Primary output; and </w:t>
      </w:r>
    </w:p>
    <w:p w:rsidR="00B32D50" w:rsidRPr="00B24CE3" w:rsidRDefault="00B32D50" w:rsidP="00F17BCD">
      <w:pPr>
        <w:pStyle w:val="ListBullet"/>
      </w:pPr>
      <w:r w:rsidRPr="00B24CE3">
        <w:t xml:space="preserve">School Education – Secondary output. </w:t>
      </w:r>
    </w:p>
    <w:p w:rsidR="00B32D50" w:rsidRPr="002627DD" w:rsidRDefault="00B32D50" w:rsidP="00F17BCD">
      <w:pPr>
        <w:pStyle w:val="Heading30"/>
      </w:pPr>
      <w:r w:rsidRPr="002627DD">
        <w:t>Docklands Primary School land acquisition</w:t>
      </w:r>
      <w:r>
        <w:t xml:space="preserve"> and Stage 1 construction</w:t>
      </w:r>
    </w:p>
    <w:p w:rsidR="00B32D50" w:rsidRPr="002627DD" w:rsidRDefault="00B32D50" w:rsidP="00F17BCD">
      <w:r w:rsidRPr="002627DD">
        <w:t>Funding will be provided for the acquisition of land</w:t>
      </w:r>
      <w:r>
        <w:t xml:space="preserve"> and to build the first stage of Docklands Primary School.</w:t>
      </w:r>
    </w:p>
    <w:p w:rsidR="00B32D50" w:rsidRPr="002627DD" w:rsidRDefault="00B32D50" w:rsidP="00F17BCD">
      <w:r w:rsidRPr="002627DD">
        <w:t>This initiative contributes to the Department of Education and Training</w:t>
      </w:r>
      <w:r>
        <w:t>’</w:t>
      </w:r>
      <w:r w:rsidRPr="002627DD">
        <w:t>s School Education – Primary output.</w:t>
      </w:r>
    </w:p>
    <w:p w:rsidR="00B32D50" w:rsidRPr="002627DD" w:rsidRDefault="00B32D50" w:rsidP="00F17BCD">
      <w:pPr>
        <w:pStyle w:val="Heading30"/>
      </w:pPr>
      <w:r w:rsidRPr="002627DD">
        <w:t xml:space="preserve">Kindergarten Information Management </w:t>
      </w:r>
      <w:r>
        <w:t>S</w:t>
      </w:r>
      <w:r w:rsidRPr="002627DD">
        <w:t>ystem</w:t>
      </w:r>
    </w:p>
    <w:p w:rsidR="00B32D50" w:rsidRPr="002627DD" w:rsidRDefault="00B32D50" w:rsidP="00F17BCD">
      <w:r>
        <w:t>Funding will be provided</w:t>
      </w:r>
      <w:r w:rsidRPr="002627DD">
        <w:t xml:space="preserve"> for the replacement of the </w:t>
      </w:r>
      <w:r>
        <w:t xml:space="preserve">existing </w:t>
      </w:r>
      <w:r w:rsidRPr="002627DD">
        <w:t xml:space="preserve">Kindergarten Information Management </w:t>
      </w:r>
      <w:r>
        <w:t>System. The new system will</w:t>
      </w:r>
      <w:r w:rsidRPr="002627DD">
        <w:t xml:space="preserve"> support </w:t>
      </w:r>
      <w:r>
        <w:t xml:space="preserve">the </w:t>
      </w:r>
      <w:r w:rsidRPr="002627DD">
        <w:t>effective allocation of funding for kindergarten services</w:t>
      </w:r>
      <w:r>
        <w:t xml:space="preserve">, and </w:t>
      </w:r>
      <w:r w:rsidRPr="002627DD">
        <w:t>enable efficient data collection and analysis of kindergarten participation to support capacity planning.</w:t>
      </w:r>
    </w:p>
    <w:p w:rsidR="00B32D50" w:rsidRPr="00B2651A" w:rsidRDefault="00B32D50" w:rsidP="00F17BCD">
      <w:r w:rsidRPr="002627DD">
        <w:t>This initiative contributes to the Department of Education and Training</w:t>
      </w:r>
      <w:r>
        <w:t>’</w:t>
      </w:r>
      <w:r w:rsidRPr="002627DD">
        <w:t>s Early Childhood Development</w:t>
      </w:r>
      <w:r>
        <w:t xml:space="preserve"> output</w:t>
      </w:r>
      <w:r w:rsidRPr="002627DD">
        <w:t>.</w:t>
      </w:r>
    </w:p>
    <w:p w:rsidR="00B32D50" w:rsidRDefault="00B32D50" w:rsidP="00F17BCD">
      <w:pPr>
        <w:keepLines w:val="0"/>
      </w:pPr>
    </w:p>
    <w:p w:rsidR="00B32D50" w:rsidRPr="008C49F8" w:rsidRDefault="00B32D50" w:rsidP="00834D1D">
      <w:pPr>
        <w:pStyle w:val="Heading10"/>
        <w:rPr>
          <w:lang w:eastAsia="en-AU"/>
        </w:rPr>
      </w:pPr>
      <w:bookmarkStart w:id="112" w:name="_Toc528864777"/>
      <w:r w:rsidRPr="008C49F8">
        <w:rPr>
          <w:lang w:eastAsia="en-AU"/>
        </w:rPr>
        <w:lastRenderedPageBreak/>
        <w:t>Department of Environment, Land, Water and Planning</w:t>
      </w:r>
      <w:bookmarkEnd w:id="104"/>
      <w:bookmarkEnd w:id="112"/>
    </w:p>
    <w:p w:rsidR="00B32D50" w:rsidRPr="007F4B6F" w:rsidRDefault="00B32D50" w:rsidP="00F17BCD">
      <w:pPr>
        <w:pStyle w:val="Heading20"/>
        <w:rPr>
          <w:i/>
          <w:lang w:eastAsia="en-AU"/>
        </w:rPr>
      </w:pPr>
      <w:r w:rsidRPr="007F4B6F">
        <w:rPr>
          <w:i/>
          <w:lang w:eastAsia="en-AU"/>
        </w:rPr>
        <w:t>Output initiatives</w:t>
      </w:r>
    </w:p>
    <w:p w:rsidR="00B32D50" w:rsidRDefault="00B32D50" w:rsidP="00F17BCD">
      <w:pPr>
        <w:pStyle w:val="TableHeading"/>
        <w:rPr>
          <w:lang w:eastAsia="en-AU"/>
        </w:rPr>
      </w:pPr>
      <w:r>
        <w:rPr>
          <w:lang w:eastAsia="en-AU"/>
        </w:rPr>
        <w:t>Table A.8:</w:t>
      </w:r>
      <w:r>
        <w:rPr>
          <w:lang w:eastAsia="en-AU"/>
        </w:rPr>
        <w:tab/>
        <w:t xml:space="preserve">Output </w:t>
      </w:r>
      <w:r w:rsidRPr="001A474B">
        <w:t>initiatives</w:t>
      </w:r>
      <w:r>
        <w:rPr>
          <w:lang w:eastAsia="en-AU"/>
        </w:rPr>
        <w:t xml:space="preserve"> – Department of Environment, Land, Water and Planning</w:t>
      </w:r>
      <w:r>
        <w:rPr>
          <w:lang w:eastAsia="en-AU"/>
        </w:rPr>
        <w:br/>
      </w:r>
      <w:r>
        <w:rPr>
          <w:lang w:eastAsia="en-AU"/>
        </w:rPr>
        <w:tab/>
      </w:r>
      <w:r w:rsidRPr="00680698">
        <w:rPr>
          <w:lang w:eastAsia="en-AU"/>
        </w:rPr>
        <w:t>($ million)</w:t>
      </w:r>
    </w:p>
    <w:tbl>
      <w:tblPr>
        <w:tblStyle w:val="DTFTable4"/>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B32D50" w:rsidRPr="00680698"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B32D50" w:rsidRPr="00680698" w:rsidRDefault="00B32D50" w:rsidP="00F17BCD">
            <w:pPr>
              <w:autoSpaceDE w:val="0"/>
              <w:autoSpaceDN w:val="0"/>
              <w:adjustRightInd w:val="0"/>
              <w:rPr>
                <w:rFonts w:eastAsia="Times New Roman" w:cs="Calibri"/>
                <w:color w:val="FFFFFF"/>
                <w:szCs w:val="20"/>
                <w:lang w:eastAsia="en-AU"/>
              </w:rPr>
            </w:pP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r>
      <w:tr w:rsidR="00B32D50" w:rsidRPr="008C49F8"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8C49F8" w:rsidRDefault="00B32D50" w:rsidP="00F17BCD">
            <w:pPr>
              <w:spacing w:after="0"/>
              <w:ind w:left="0" w:firstLine="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Additional support for Land Use Victoria</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17.4</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14.4</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15.8</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16.3</w:t>
            </w:r>
          </w:p>
        </w:tc>
      </w:tr>
      <w:tr w:rsidR="00B32D50" w:rsidRPr="008C49F8"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8C49F8" w:rsidRDefault="00B32D50" w:rsidP="00F17BCD">
            <w:pPr>
              <w:spacing w:after="0"/>
              <w:ind w:left="0" w:firstLine="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Aviation resources</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13.8</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r>
      <w:tr w:rsidR="00B32D50" w:rsidRPr="008C49F8"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8C49F8" w:rsidRDefault="00B32D50" w:rsidP="00F17BCD">
            <w:pPr>
              <w:spacing w:after="0"/>
              <w:ind w:left="0" w:firstLine="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Increase</w:t>
            </w:r>
            <w:r>
              <w:rPr>
                <w:rFonts w:asciiTheme="majorHAnsi" w:hAnsiTheme="majorHAnsi" w:cstheme="majorHAnsi"/>
                <w:color w:val="000000"/>
                <w:szCs w:val="17"/>
                <w:lang w:eastAsia="en-AU"/>
              </w:rPr>
              <w:t>d</w:t>
            </w:r>
            <w:r w:rsidRPr="008C49F8">
              <w:rPr>
                <w:rFonts w:asciiTheme="majorHAnsi" w:hAnsiTheme="majorHAnsi" w:cstheme="majorHAnsi"/>
                <w:color w:val="000000"/>
                <w:szCs w:val="17"/>
                <w:lang w:eastAsia="en-AU"/>
              </w:rPr>
              <w:t xml:space="preserve"> superannuation for firefighters</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6.3</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6.5</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6.8</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7.0</w:t>
            </w:r>
          </w:p>
        </w:tc>
      </w:tr>
      <w:tr w:rsidR="00B32D50" w:rsidRPr="008C49F8"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8C49F8" w:rsidRDefault="00B32D50" w:rsidP="00F17BCD">
            <w:pPr>
              <w:spacing w:after="0"/>
              <w:ind w:left="0" w:firstLine="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 xml:space="preserve">Recovery activities – Barwon South West fires </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1.3</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r>
      <w:tr w:rsidR="00B32D50" w:rsidRPr="008C49F8"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8C49F8" w:rsidRDefault="00B32D50" w:rsidP="00F17BCD">
            <w:pPr>
              <w:spacing w:after="0"/>
              <w:ind w:left="0" w:firstLine="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 xml:space="preserve">Recycling Industry Strategic Plan </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9.3</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12.7</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2.3</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r>
      <w:tr w:rsidR="00B32D50" w:rsidRPr="008C49F8"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8C49F8" w:rsidRDefault="00B32D50" w:rsidP="00F17BCD">
            <w:pPr>
              <w:rPr>
                <w:rFonts w:asciiTheme="majorHAnsi" w:hAnsiTheme="majorHAnsi" w:cstheme="majorHAnsi"/>
                <w:color w:val="000000"/>
                <w:szCs w:val="17"/>
                <w:lang w:eastAsia="en-AU"/>
              </w:rPr>
            </w:pPr>
            <w:r w:rsidRPr="007C3627">
              <w:rPr>
                <w:rFonts w:asciiTheme="majorHAnsi" w:hAnsiTheme="majorHAnsi" w:cstheme="majorHAnsi"/>
                <w:color w:val="000000"/>
                <w:szCs w:val="17"/>
                <w:lang w:eastAsia="en-AU"/>
              </w:rPr>
              <w:t>Selection of an alternative site for the City of Melbourne Arden Depot</w:t>
            </w:r>
          </w:p>
        </w:tc>
        <w:tc>
          <w:tcPr>
            <w:tcW w:w="850" w:type="dxa"/>
            <w:shd w:val="clear" w:color="auto" w:fill="auto"/>
            <w:noWrap/>
          </w:tcPr>
          <w:p w:rsidR="00B32D50" w:rsidRPr="008C49F8" w:rsidRDefault="00B32D50" w:rsidP="00F17BC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0.2</w:t>
            </w:r>
          </w:p>
        </w:tc>
        <w:tc>
          <w:tcPr>
            <w:tcW w:w="850" w:type="dxa"/>
            <w:shd w:val="clear" w:color="auto" w:fill="auto"/>
            <w:noWrap/>
          </w:tcPr>
          <w:p w:rsidR="00B32D50" w:rsidRPr="008C49F8" w:rsidRDefault="00B32D50" w:rsidP="00F17BC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c>
          <w:tcPr>
            <w:tcW w:w="850" w:type="dxa"/>
            <w:shd w:val="clear" w:color="auto" w:fill="auto"/>
            <w:noWrap/>
          </w:tcPr>
          <w:p w:rsidR="00B32D50" w:rsidRPr="008C49F8" w:rsidRDefault="00B32D50" w:rsidP="00F17BC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c>
          <w:tcPr>
            <w:tcW w:w="850" w:type="dxa"/>
            <w:shd w:val="clear" w:color="auto" w:fill="auto"/>
            <w:noWrap/>
          </w:tcPr>
          <w:p w:rsidR="00B32D50" w:rsidRPr="008C49F8" w:rsidRDefault="00B32D50" w:rsidP="00F17BC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r>
      <w:tr w:rsidR="00B32D50" w:rsidRPr="008C49F8"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8C49F8" w:rsidRDefault="00B32D50" w:rsidP="00F17BCD">
            <w:pPr>
              <w:spacing w:after="0"/>
              <w:ind w:left="0" w:firstLine="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Solar homes program</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74.0</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c>
          <w:tcPr>
            <w:tcW w:w="850" w:type="dxa"/>
            <w:shd w:val="clear" w:color="auto" w:fill="auto"/>
            <w:noWrap/>
            <w:hideMark/>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r>
      <w:tr w:rsidR="00B32D50" w:rsidRPr="008C49F8"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8C49F8" w:rsidRDefault="00B32D50" w:rsidP="00F17BCD">
            <w:pPr>
              <w:spacing w:after="0"/>
              <w:ind w:left="0" w:firstLine="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Stony Creek incident response</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1.1</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c>
          <w:tcPr>
            <w:tcW w:w="850" w:type="dxa"/>
            <w:shd w:val="clear" w:color="auto" w:fill="auto"/>
            <w:noWrap/>
            <w:hideMark/>
          </w:tcPr>
          <w:p w:rsidR="00B32D50" w:rsidRPr="008C49F8" w:rsidRDefault="00B32D50" w:rsidP="00F17BCD">
            <w:pPr>
              <w:spacing w:after="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8C49F8">
              <w:rPr>
                <w:rFonts w:asciiTheme="majorHAnsi" w:hAnsiTheme="majorHAnsi" w:cstheme="majorHAnsi"/>
                <w:color w:val="000000"/>
                <w:szCs w:val="17"/>
                <w:lang w:eastAsia="en-AU"/>
              </w:rPr>
              <w:t>..</w:t>
            </w:r>
          </w:p>
        </w:tc>
      </w:tr>
      <w:tr w:rsidR="00B32D50" w:rsidRPr="008C49F8"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8C49F8" w:rsidRDefault="00B32D50" w:rsidP="00F17BCD">
            <w:pPr>
              <w:rPr>
                <w:rFonts w:asciiTheme="majorHAnsi" w:hAnsiTheme="majorHAnsi" w:cstheme="majorHAnsi"/>
                <w:color w:val="000000"/>
                <w:szCs w:val="17"/>
                <w:lang w:eastAsia="en-AU"/>
              </w:rPr>
            </w:pPr>
            <w:r w:rsidRPr="00623461">
              <w:rPr>
                <w:rFonts w:asciiTheme="majorHAnsi" w:hAnsiTheme="majorHAnsi" w:cstheme="majorHAnsi"/>
                <w:color w:val="000000"/>
                <w:szCs w:val="17"/>
                <w:lang w:eastAsia="en-AU"/>
              </w:rPr>
              <w:t xml:space="preserve">Support to progress agreements under the </w:t>
            </w:r>
            <w:r w:rsidRPr="00B24CE3">
              <w:rPr>
                <w:rFonts w:asciiTheme="majorHAnsi" w:hAnsiTheme="majorHAnsi" w:cstheme="majorHAnsi"/>
                <w:i/>
                <w:color w:val="000000"/>
                <w:szCs w:val="17"/>
                <w:lang w:eastAsia="en-AU"/>
              </w:rPr>
              <w:t>Traditional Owner Settlement Act 2010</w:t>
            </w:r>
          </w:p>
        </w:tc>
        <w:tc>
          <w:tcPr>
            <w:tcW w:w="850" w:type="dxa"/>
            <w:shd w:val="clear" w:color="auto" w:fill="auto"/>
            <w:noWrap/>
            <w:vAlign w:val="center"/>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623461">
              <w:rPr>
                <w:rFonts w:asciiTheme="majorHAnsi" w:hAnsiTheme="majorHAnsi" w:cstheme="majorHAnsi"/>
                <w:color w:val="000000"/>
                <w:szCs w:val="17"/>
                <w:lang w:eastAsia="en-AU"/>
              </w:rPr>
              <w:t>5.0</w:t>
            </w:r>
          </w:p>
        </w:tc>
        <w:tc>
          <w:tcPr>
            <w:tcW w:w="850" w:type="dxa"/>
            <w:shd w:val="clear" w:color="auto" w:fill="auto"/>
            <w:noWrap/>
            <w:vAlign w:val="center"/>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623461">
              <w:rPr>
                <w:rFonts w:asciiTheme="majorHAnsi" w:hAnsiTheme="majorHAnsi" w:cstheme="majorHAnsi"/>
                <w:color w:val="000000"/>
                <w:szCs w:val="17"/>
                <w:lang w:eastAsia="en-AU"/>
              </w:rPr>
              <w:t>4.3</w:t>
            </w:r>
          </w:p>
        </w:tc>
        <w:tc>
          <w:tcPr>
            <w:tcW w:w="850" w:type="dxa"/>
            <w:shd w:val="clear" w:color="auto" w:fill="auto"/>
            <w:noWrap/>
            <w:vAlign w:val="center"/>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623461">
              <w:rPr>
                <w:rFonts w:asciiTheme="majorHAnsi" w:hAnsiTheme="majorHAnsi" w:cstheme="majorHAnsi"/>
                <w:color w:val="000000"/>
                <w:szCs w:val="17"/>
                <w:lang w:eastAsia="en-AU"/>
              </w:rPr>
              <w:t>4.3</w:t>
            </w:r>
          </w:p>
        </w:tc>
        <w:tc>
          <w:tcPr>
            <w:tcW w:w="850" w:type="dxa"/>
            <w:shd w:val="clear" w:color="auto" w:fill="auto"/>
            <w:noWrap/>
            <w:vAlign w:val="center"/>
          </w:tcPr>
          <w:p w:rsidR="00B32D50" w:rsidRPr="008C49F8" w:rsidRDefault="00B32D50" w:rsidP="00F17BC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623461">
              <w:rPr>
                <w:rFonts w:asciiTheme="majorHAnsi" w:hAnsiTheme="majorHAnsi" w:cstheme="majorHAnsi"/>
                <w:color w:val="000000"/>
                <w:szCs w:val="17"/>
                <w:lang w:eastAsia="en-AU"/>
              </w:rPr>
              <w:t>4.3</w:t>
            </w:r>
          </w:p>
        </w:tc>
      </w:tr>
      <w:tr w:rsidR="00B32D50" w:rsidRPr="00680698" w:rsidTr="00F17BCD">
        <w:trPr>
          <w:cantSplit w:val="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B32D50" w:rsidRPr="008C49F8" w:rsidRDefault="00B32D50" w:rsidP="00F17BCD">
            <w:pPr>
              <w:autoSpaceDE w:val="0"/>
              <w:autoSpaceDN w:val="0"/>
              <w:adjustRightInd w:val="0"/>
              <w:rPr>
                <w:rFonts w:asciiTheme="majorHAnsi" w:eastAsia="Times New Roman" w:hAnsiTheme="majorHAnsi" w:cstheme="majorHAnsi"/>
                <w:b/>
                <w:bCs/>
                <w:color w:val="000000"/>
                <w:szCs w:val="17"/>
                <w:lang w:eastAsia="en-AU"/>
              </w:rPr>
            </w:pPr>
            <w:r w:rsidRPr="008C49F8">
              <w:rPr>
                <w:rFonts w:asciiTheme="majorHAnsi" w:eastAsia="Times New Roman" w:hAnsiTheme="majorHAnsi" w:cstheme="majorHAnsi"/>
                <w:b/>
                <w:bCs/>
                <w:color w:val="000000"/>
                <w:szCs w:val="17"/>
                <w:lang w:eastAsia="en-AU"/>
              </w:rPr>
              <w:t>Total output initiatives</w:t>
            </w:r>
            <w:r>
              <w:rPr>
                <w:rFonts w:asciiTheme="majorHAnsi" w:eastAsia="Times New Roman" w:hAnsiTheme="majorHAnsi" w:cstheme="majorHAnsi"/>
                <w:b/>
                <w:bCs/>
                <w:color w:val="000000"/>
                <w:szCs w:val="17"/>
                <w:lang w:eastAsia="en-AU"/>
              </w:rPr>
              <w:t xml:space="preserve"> </w:t>
            </w:r>
            <w:r w:rsidRPr="00073092">
              <w:rPr>
                <w:rFonts w:asciiTheme="majorHAnsi" w:eastAsia="Times New Roman" w:hAnsiTheme="majorHAnsi" w:cstheme="majorHAnsi"/>
                <w:b/>
                <w:bCs/>
                <w:color w:val="000000"/>
                <w:szCs w:val="17"/>
                <w:vertAlign w:val="superscript"/>
                <w:lang w:eastAsia="en-AU"/>
              </w:rPr>
              <w:t>(a)</w:t>
            </w:r>
          </w:p>
        </w:tc>
        <w:tc>
          <w:tcPr>
            <w:tcW w:w="850" w:type="dxa"/>
            <w:tcBorders>
              <w:top w:val="single" w:sz="6" w:space="0" w:color="auto"/>
              <w:left w:val="nil"/>
              <w:bottom w:val="single" w:sz="12" w:space="0" w:color="auto"/>
              <w:right w:val="nil"/>
            </w:tcBorders>
          </w:tcPr>
          <w:p w:rsidR="00B32D50" w:rsidRPr="008C49F8" w:rsidRDefault="00B32D50" w:rsidP="00F17BC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Cs w:val="17"/>
                <w:lang w:eastAsia="en-AU"/>
              </w:rPr>
            </w:pPr>
            <w:r>
              <w:rPr>
                <w:rFonts w:asciiTheme="majorHAnsi" w:eastAsia="Times New Roman" w:hAnsiTheme="majorHAnsi" w:cstheme="majorHAnsi"/>
                <w:b/>
                <w:bCs/>
                <w:color w:val="000000"/>
                <w:szCs w:val="17"/>
                <w:lang w:eastAsia="en-AU"/>
              </w:rPr>
              <w:t>128.4</w:t>
            </w:r>
          </w:p>
        </w:tc>
        <w:tc>
          <w:tcPr>
            <w:tcW w:w="850" w:type="dxa"/>
            <w:tcBorders>
              <w:top w:val="single" w:sz="6" w:space="0" w:color="auto"/>
              <w:left w:val="nil"/>
              <w:bottom w:val="single" w:sz="12" w:space="0" w:color="auto"/>
              <w:right w:val="nil"/>
            </w:tcBorders>
          </w:tcPr>
          <w:p w:rsidR="00B32D50" w:rsidRPr="008C49F8" w:rsidRDefault="00B32D50" w:rsidP="00F17BC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Cs w:val="17"/>
                <w:lang w:eastAsia="en-AU"/>
              </w:rPr>
            </w:pPr>
            <w:r>
              <w:rPr>
                <w:rFonts w:asciiTheme="majorHAnsi" w:eastAsia="Times New Roman" w:hAnsiTheme="majorHAnsi" w:cstheme="majorHAnsi"/>
                <w:b/>
                <w:bCs/>
                <w:color w:val="000000"/>
                <w:szCs w:val="17"/>
                <w:lang w:eastAsia="en-AU"/>
              </w:rPr>
              <w:t>38.0</w:t>
            </w:r>
          </w:p>
        </w:tc>
        <w:tc>
          <w:tcPr>
            <w:tcW w:w="850" w:type="dxa"/>
            <w:tcBorders>
              <w:top w:val="single" w:sz="6" w:space="0" w:color="auto"/>
              <w:left w:val="nil"/>
              <w:bottom w:val="single" w:sz="12" w:space="0" w:color="auto"/>
              <w:right w:val="nil"/>
            </w:tcBorders>
          </w:tcPr>
          <w:p w:rsidR="00B32D50" w:rsidRPr="008C49F8" w:rsidRDefault="00B32D50" w:rsidP="00F17BC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Cs w:val="17"/>
                <w:lang w:eastAsia="en-AU"/>
              </w:rPr>
            </w:pPr>
            <w:r>
              <w:rPr>
                <w:rFonts w:asciiTheme="majorHAnsi" w:eastAsia="Times New Roman" w:hAnsiTheme="majorHAnsi" w:cstheme="majorHAnsi"/>
                <w:b/>
                <w:bCs/>
                <w:color w:val="000000"/>
                <w:szCs w:val="17"/>
                <w:lang w:eastAsia="en-AU"/>
              </w:rPr>
              <w:t>29.2</w:t>
            </w:r>
          </w:p>
        </w:tc>
        <w:tc>
          <w:tcPr>
            <w:tcW w:w="850" w:type="dxa"/>
            <w:tcBorders>
              <w:top w:val="single" w:sz="6" w:space="0" w:color="auto"/>
              <w:left w:val="nil"/>
              <w:bottom w:val="single" w:sz="12" w:space="0" w:color="auto"/>
              <w:right w:val="nil"/>
            </w:tcBorders>
          </w:tcPr>
          <w:p w:rsidR="00B32D50" w:rsidRPr="008C49F8" w:rsidRDefault="00B32D50" w:rsidP="00F17BC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Cs w:val="17"/>
                <w:lang w:eastAsia="en-AU"/>
              </w:rPr>
            </w:pPr>
            <w:r>
              <w:rPr>
                <w:rFonts w:asciiTheme="majorHAnsi" w:eastAsia="Times New Roman" w:hAnsiTheme="majorHAnsi" w:cstheme="majorHAnsi"/>
                <w:b/>
                <w:bCs/>
                <w:color w:val="000000"/>
                <w:szCs w:val="17"/>
                <w:lang w:eastAsia="en-AU"/>
              </w:rPr>
              <w:t>27.6</w:t>
            </w:r>
          </w:p>
        </w:tc>
      </w:tr>
    </w:tbl>
    <w:p w:rsidR="00B32D50" w:rsidRDefault="00B32D50" w:rsidP="00F17BCD">
      <w:pPr>
        <w:pStyle w:val="Note"/>
        <w:rPr>
          <w:lang w:eastAsia="en-AU"/>
        </w:rPr>
      </w:pPr>
      <w:r>
        <w:rPr>
          <w:lang w:eastAsia="en-AU"/>
        </w:rPr>
        <w:t>Note:</w:t>
      </w:r>
    </w:p>
    <w:p w:rsidR="00B32D50" w:rsidRDefault="00B32D50" w:rsidP="00F17BCD">
      <w:pPr>
        <w:pStyle w:val="Note"/>
        <w:rPr>
          <w:lang w:eastAsia="en-AU"/>
        </w:rPr>
      </w:pPr>
      <w:r>
        <w:rPr>
          <w:lang w:eastAsia="en-AU"/>
        </w:rPr>
        <w:t>(a)</w:t>
      </w:r>
      <w:r>
        <w:rPr>
          <w:lang w:eastAsia="en-AU"/>
        </w:rPr>
        <w:tab/>
        <w:t>Table may not add due to rounding.</w:t>
      </w:r>
    </w:p>
    <w:p w:rsidR="00B32D50" w:rsidRDefault="00B32D50" w:rsidP="00F17BCD">
      <w:pPr>
        <w:pStyle w:val="Heading30"/>
        <w:rPr>
          <w:i/>
        </w:rPr>
      </w:pPr>
      <w:r>
        <w:t>Additional support for Land Use Victoria</w:t>
      </w:r>
    </w:p>
    <w:p w:rsidR="00B32D50" w:rsidRPr="0025574C" w:rsidRDefault="00B32D50" w:rsidP="00F17BCD">
      <w:r>
        <w:t>Funding will be</w:t>
      </w:r>
      <w:r w:rsidRPr="0025574C">
        <w:t xml:space="preserve"> provided to support Land Use Victoria</w:t>
      </w:r>
      <w:r>
        <w:t>’</w:t>
      </w:r>
      <w:r w:rsidRPr="0025574C">
        <w:t xml:space="preserve">s management of the changed delivery arrangement for its </w:t>
      </w:r>
      <w:r>
        <w:t>services with the new private operator,</w:t>
      </w:r>
      <w:r w:rsidRPr="0025574C">
        <w:t xml:space="preserve"> incl</w:t>
      </w:r>
      <w:r>
        <w:t>uding information technology</w:t>
      </w:r>
      <w:r w:rsidRPr="0025574C">
        <w:t>, legal and business services</w:t>
      </w:r>
      <w:r>
        <w:t xml:space="preserve"> to ensure appropriate audit and compliance, dispute resolution and interface changes with the private operator. </w:t>
      </w:r>
    </w:p>
    <w:p w:rsidR="00B32D50" w:rsidRDefault="00B32D50" w:rsidP="00F17BCD">
      <w:r>
        <w:t>This initiative contributes to the Department of Environment, Land, Water and Planning’s Land Use Victoria output.</w:t>
      </w:r>
    </w:p>
    <w:p w:rsidR="00B32D50" w:rsidRPr="00707E17" w:rsidRDefault="00B32D50" w:rsidP="00F17BCD">
      <w:pPr>
        <w:pStyle w:val="Heading30"/>
        <w:rPr>
          <w:rFonts w:asciiTheme="minorHAnsi" w:hAnsiTheme="minorHAnsi"/>
          <w:b w:val="0"/>
          <w:i/>
          <w:szCs w:val="20"/>
        </w:rPr>
      </w:pPr>
      <w:r>
        <w:t>Aviation resources</w:t>
      </w:r>
    </w:p>
    <w:p w:rsidR="00B32D50" w:rsidRDefault="00B32D50" w:rsidP="00F17BCD">
      <w:r>
        <w:t xml:space="preserve">Additional </w:t>
      </w:r>
      <w:r w:rsidRPr="00824FAF">
        <w:t>firefighting aviation resources</w:t>
      </w:r>
      <w:r>
        <w:t xml:space="preserve"> will be funded</w:t>
      </w:r>
      <w:r w:rsidRPr="00824FAF">
        <w:t xml:space="preserve"> to support the State</w:t>
      </w:r>
      <w:r>
        <w:t>’</w:t>
      </w:r>
      <w:r w:rsidRPr="00824FAF">
        <w:t>s firefighting capability for the 2018-19 bushfire season. This includes leasing two large air tankers and two helitaks, conducting a trial of a Blackhawk helitak, and associated support aircraft. Two helicopter services will also be upgraded, providing greater water or fire retardant carrying and flying capacity.</w:t>
      </w:r>
    </w:p>
    <w:p w:rsidR="00B32D50" w:rsidRPr="00152DCF" w:rsidRDefault="00B32D50" w:rsidP="00F17BCD">
      <w:r>
        <w:t>This initiative contributes to the Department of Environment, Land, Water and Planning’s Fire and Emergency Management output.</w:t>
      </w:r>
    </w:p>
    <w:p w:rsidR="00420943" w:rsidRDefault="00420943">
      <w:pPr>
        <w:keepLines w:val="0"/>
        <w:rPr>
          <w:rFonts w:asciiTheme="majorHAnsi" w:eastAsiaTheme="majorEastAsia" w:hAnsiTheme="majorHAnsi" w:cstheme="majorBidi"/>
          <w:b/>
          <w:bCs/>
          <w:spacing w:val="-2"/>
          <w:szCs w:val="26"/>
        </w:rPr>
      </w:pPr>
      <w:r>
        <w:br w:type="page"/>
      </w:r>
    </w:p>
    <w:p w:rsidR="00B32D50" w:rsidRDefault="00B32D50" w:rsidP="00F17BCD">
      <w:pPr>
        <w:pStyle w:val="Heading30"/>
        <w:rPr>
          <w:i/>
        </w:rPr>
      </w:pPr>
      <w:r>
        <w:lastRenderedPageBreak/>
        <w:t>Increased superannuation for firefighters</w:t>
      </w:r>
    </w:p>
    <w:p w:rsidR="00B32D50" w:rsidRDefault="00B32D50" w:rsidP="00420943">
      <w:r>
        <w:t xml:space="preserve">Victorian public sector employees engaged in fire management and response activities as part of Forest Fire Management Victoria will receive increased superannuation payments. These employees include aircraft officers. This will provide them with comparable superannuation benefits to employees of the Country Fire Authority and the Metropolitan Fire Brigade. </w:t>
      </w:r>
    </w:p>
    <w:p w:rsidR="00B32D50" w:rsidRDefault="00B32D50" w:rsidP="00F17BCD">
      <w:r>
        <w:t>This initiative contributes to the Department of Environment, Land, Water and Planning’s Fire and Emergency Management output.</w:t>
      </w:r>
    </w:p>
    <w:p w:rsidR="00B32D50" w:rsidRPr="00707E17" w:rsidRDefault="00B32D50" w:rsidP="00F17BCD">
      <w:pPr>
        <w:pStyle w:val="Heading30"/>
        <w:rPr>
          <w:rFonts w:asciiTheme="minorHAnsi" w:hAnsiTheme="minorHAnsi"/>
          <w:b w:val="0"/>
          <w:i/>
          <w:szCs w:val="20"/>
        </w:rPr>
      </w:pPr>
      <w:r>
        <w:t xml:space="preserve">Recovery activities – Barwon South West fires </w:t>
      </w:r>
    </w:p>
    <w:p w:rsidR="00B32D50" w:rsidRDefault="00B32D50" w:rsidP="00F17BCD">
      <w:r w:rsidRPr="00011451">
        <w:t xml:space="preserve">Refer </w:t>
      </w:r>
      <w:r>
        <w:t xml:space="preserve">to the initiative description under the Department of Justice and Regulation. </w:t>
      </w:r>
    </w:p>
    <w:p w:rsidR="00B32D50" w:rsidRPr="00152DCF" w:rsidRDefault="00B32D50" w:rsidP="00F17BCD">
      <w:r>
        <w:t>This initiative contributes to the Department of Environment, Land, Water and Planning’s Fire and Emergency Management output.</w:t>
      </w:r>
    </w:p>
    <w:p w:rsidR="00B32D50" w:rsidRPr="00707E17" w:rsidRDefault="00B32D50" w:rsidP="00F17BCD">
      <w:pPr>
        <w:pStyle w:val="Heading30"/>
        <w:rPr>
          <w:rFonts w:asciiTheme="minorHAnsi" w:hAnsiTheme="minorHAnsi"/>
          <w:b w:val="0"/>
          <w:i/>
          <w:szCs w:val="20"/>
        </w:rPr>
      </w:pPr>
      <w:r>
        <w:t xml:space="preserve">Recycling Industry Strategic Plan </w:t>
      </w:r>
    </w:p>
    <w:p w:rsidR="00B32D50" w:rsidRDefault="00B32D50" w:rsidP="00420943">
      <w:r>
        <w:t xml:space="preserve">Funding will be provided for the </w:t>
      </w:r>
      <w:r w:rsidRPr="00F4701F">
        <w:t>Re</w:t>
      </w:r>
      <w:r>
        <w:t xml:space="preserve">cycling Industry Strategic Plan. The plan is designed to </w:t>
      </w:r>
      <w:r w:rsidRPr="00F4701F">
        <w:t>increase the quality of recycled material</w:t>
      </w:r>
      <w:r>
        <w:t xml:space="preserve">s, develop new markets </w:t>
      </w:r>
      <w:r w:rsidRPr="00F4701F">
        <w:t>and improve the community</w:t>
      </w:r>
      <w:r>
        <w:t>’</w:t>
      </w:r>
      <w:r w:rsidRPr="00F4701F">
        <w:t xml:space="preserve">s understanding of what can and cannot be recycled. The Landfill Levy Relief Program will also receive further funding to ensure that charities can focus their </w:t>
      </w:r>
      <w:r>
        <w:t>resources</w:t>
      </w:r>
      <w:r w:rsidRPr="00F4701F">
        <w:t xml:space="preserve"> on charitable work</w:t>
      </w:r>
      <w:r>
        <w:t xml:space="preserve"> rather than meeting the costs associated with rubbish disposal</w:t>
      </w:r>
      <w:r w:rsidRPr="00F4701F">
        <w:t>.</w:t>
      </w:r>
    </w:p>
    <w:p w:rsidR="00B32D50" w:rsidRPr="00152DCF" w:rsidRDefault="00B32D50" w:rsidP="00F17BCD">
      <w:r>
        <w:t>This initiative will be funded from the Sustainability Fund.</w:t>
      </w:r>
    </w:p>
    <w:p w:rsidR="00B32D50" w:rsidRDefault="00B32D50" w:rsidP="00F17BCD">
      <w:r>
        <w:t>This initiative contributes to the Department of Environment, Land, Water and Planning’s Environment and Biodiversity output.</w:t>
      </w:r>
    </w:p>
    <w:p w:rsidR="00B32D50" w:rsidRDefault="00B32D50" w:rsidP="00F17BCD">
      <w:pPr>
        <w:pStyle w:val="Heading30"/>
      </w:pPr>
      <w:r w:rsidRPr="007C3627">
        <w:t>Selection of an alternative site for the City of Melbourne Arden Depot</w:t>
      </w:r>
    </w:p>
    <w:p w:rsidR="00B32D50" w:rsidRPr="004A10D9" w:rsidRDefault="00B32D50" w:rsidP="00420943">
      <w:r w:rsidRPr="007C3627">
        <w:t>A package of community upgrades for the inner north and west will be delivered in support of the West Gate Tunnel project. This will include relocating the City of Melbourne Arden Depot to a suitable alt</w:t>
      </w:r>
      <w:r>
        <w:t xml:space="preserve">ernative site. The process for </w:t>
      </w:r>
      <w:r w:rsidRPr="007C3627">
        <w:t>selecting an alternative site has commenced.</w:t>
      </w:r>
    </w:p>
    <w:p w:rsidR="00B32D50" w:rsidRPr="004A10D9" w:rsidRDefault="00B32D50" w:rsidP="00F17BCD">
      <w:r w:rsidRPr="004A10D9">
        <w:t>This initiative contributes to the Department of Environment, Land, Water and Planning</w:t>
      </w:r>
      <w:r>
        <w:t>’</w:t>
      </w:r>
      <w:r w:rsidRPr="004A10D9">
        <w:t>s Land Use Victoria output.</w:t>
      </w:r>
    </w:p>
    <w:p w:rsidR="00B32D50" w:rsidRDefault="00B32D50" w:rsidP="00F17BCD">
      <w:pPr>
        <w:pStyle w:val="Heading30"/>
        <w:rPr>
          <w:i/>
        </w:rPr>
      </w:pPr>
      <w:r>
        <w:t>Solar homes program</w:t>
      </w:r>
    </w:p>
    <w:p w:rsidR="00B32D50" w:rsidRDefault="00B32D50" w:rsidP="00420943">
      <w:r>
        <w:t>One year of funding will be provided for the provision of r</w:t>
      </w:r>
      <w:r w:rsidRPr="00855F98">
        <w:t xml:space="preserve">ebates </w:t>
      </w:r>
      <w:r>
        <w:t xml:space="preserve">to </w:t>
      </w:r>
      <w:r w:rsidRPr="00855F98">
        <w:t>households who install solar hot water systems and solar panels on their homes</w:t>
      </w:r>
      <w:r>
        <w:t xml:space="preserve">. A capped number of rebates will be available up until 30 June 2019 </w:t>
      </w:r>
      <w:r w:rsidRPr="00855F98">
        <w:t xml:space="preserve">as part of the first phase of the Solar </w:t>
      </w:r>
      <w:r>
        <w:t>h</w:t>
      </w:r>
      <w:r w:rsidRPr="00855F98">
        <w:t xml:space="preserve">omes </w:t>
      </w:r>
      <w:r>
        <w:t xml:space="preserve">program. </w:t>
      </w:r>
      <w:r w:rsidRPr="00855F98">
        <w:t>A new independent agency, Solar Victoria, will be established to work with industry, regulators and training pro</w:t>
      </w:r>
      <w:r>
        <w:t>viders</w:t>
      </w:r>
      <w:r w:rsidRPr="00855F98">
        <w:t xml:space="preserve"> to deliver the program.</w:t>
      </w:r>
    </w:p>
    <w:p w:rsidR="00B32D50" w:rsidRPr="00152DCF" w:rsidRDefault="00B32D50" w:rsidP="00F17BCD">
      <w:r>
        <w:t>This initiative contributes to the Department of Environment, Land, Water and Planning’s Energy output.</w:t>
      </w:r>
    </w:p>
    <w:p w:rsidR="00B32D50" w:rsidRPr="00707E17" w:rsidRDefault="00B32D50" w:rsidP="00F17BCD">
      <w:pPr>
        <w:pStyle w:val="Heading30"/>
        <w:rPr>
          <w:rFonts w:asciiTheme="minorHAnsi" w:hAnsiTheme="minorHAnsi"/>
          <w:b w:val="0"/>
          <w:i/>
          <w:szCs w:val="20"/>
        </w:rPr>
      </w:pPr>
      <w:r>
        <w:lastRenderedPageBreak/>
        <w:t>Stony Creek incident response</w:t>
      </w:r>
    </w:p>
    <w:p w:rsidR="00B32D50" w:rsidRDefault="00B32D50" w:rsidP="00F17BCD">
      <w:r>
        <w:t xml:space="preserve">Additional funding will be provided to the Environment Protection Authority and Melbourne Water to manage the environmental impacts of the 2018 fire incident in West Footscray and the recovery of Stony Creek. </w:t>
      </w:r>
    </w:p>
    <w:p w:rsidR="00B32D50" w:rsidRPr="00AE4428" w:rsidRDefault="00B32D50" w:rsidP="00F17BCD">
      <w:r>
        <w:t>This initiative contributes to the Department of Environment, Land, Water and Planning’s Environment and Biodiversity output.</w:t>
      </w:r>
    </w:p>
    <w:p w:rsidR="00B32D50" w:rsidRPr="00373CE8" w:rsidRDefault="00B32D50" w:rsidP="00F17BCD">
      <w:pPr>
        <w:pStyle w:val="Heading30"/>
      </w:pPr>
      <w:bookmarkStart w:id="113" w:name="_Hlk527368547"/>
      <w:r w:rsidRPr="00373CE8">
        <w:t xml:space="preserve">Support to progress agreements under the </w:t>
      </w:r>
      <w:r w:rsidRPr="00B24CE3">
        <w:rPr>
          <w:i/>
        </w:rPr>
        <w:t>Traditional Owner Settlement Act 2010</w:t>
      </w:r>
    </w:p>
    <w:p w:rsidR="00B32D50" w:rsidRPr="00E14FD5" w:rsidRDefault="00B32D50" w:rsidP="00F17BCD">
      <w:r w:rsidRPr="00E14FD5">
        <w:t xml:space="preserve">Refer to the initiative description under the Department of Justice and Regulation. </w:t>
      </w:r>
    </w:p>
    <w:p w:rsidR="00B32D50" w:rsidRPr="00E14FD5" w:rsidRDefault="00B32D50" w:rsidP="00F17BCD">
      <w:r w:rsidRPr="00E14FD5">
        <w:t>This initiative contributes to the Department of Environment, Land, Water and Planning</w:t>
      </w:r>
      <w:r>
        <w:t>’</w:t>
      </w:r>
      <w:r w:rsidRPr="00E14FD5">
        <w:t xml:space="preserve">s: </w:t>
      </w:r>
    </w:p>
    <w:p w:rsidR="00B32D50" w:rsidRPr="00B24CE3" w:rsidRDefault="00B32D50" w:rsidP="00F17BCD">
      <w:pPr>
        <w:pStyle w:val="ListBullet"/>
      </w:pPr>
      <w:r w:rsidRPr="00B24CE3">
        <w:t xml:space="preserve">Parks Victoria output; and </w:t>
      </w:r>
    </w:p>
    <w:p w:rsidR="00B32D50" w:rsidRPr="00B24CE3" w:rsidRDefault="00B32D50" w:rsidP="00F17BCD">
      <w:pPr>
        <w:pStyle w:val="ListBullet"/>
      </w:pPr>
      <w:r w:rsidRPr="00B24CE3">
        <w:t xml:space="preserve">Management of Public Land and Forests output. </w:t>
      </w:r>
    </w:p>
    <w:p w:rsidR="00B32D50" w:rsidRPr="00E14FD5" w:rsidRDefault="00B32D50" w:rsidP="00B32D50">
      <w:pPr>
        <w:pStyle w:val="ListParagraph"/>
        <w:numPr>
          <w:ilvl w:val="0"/>
          <w:numId w:val="24"/>
        </w:numPr>
        <w:rPr>
          <w:rFonts w:ascii="Calibri" w:hAnsi="Calibri"/>
          <w:b/>
          <w:bCs/>
          <w:caps/>
          <w:spacing w:val="-2"/>
          <w:sz w:val="26"/>
          <w:szCs w:val="28"/>
          <w:lang w:eastAsia="en-AU"/>
        </w:rPr>
      </w:pPr>
      <w:r w:rsidRPr="00E14FD5">
        <w:rPr>
          <w:rFonts w:ascii="Calibri" w:hAnsi="Calibri"/>
          <w:b/>
          <w:bCs/>
          <w:caps/>
          <w:spacing w:val="-2"/>
          <w:sz w:val="26"/>
          <w:szCs w:val="28"/>
          <w:lang w:eastAsia="en-AU"/>
        </w:rPr>
        <w:br w:type="page"/>
      </w:r>
    </w:p>
    <w:p w:rsidR="00B32D50" w:rsidRPr="00ED10FE" w:rsidRDefault="00B32D50" w:rsidP="00834D1D">
      <w:pPr>
        <w:pStyle w:val="Heading10"/>
        <w:rPr>
          <w:lang w:eastAsia="en-AU"/>
        </w:rPr>
      </w:pPr>
      <w:bookmarkStart w:id="114" w:name="_Toc528864778"/>
      <w:r w:rsidRPr="00ED10FE">
        <w:rPr>
          <w:lang w:eastAsia="en-AU"/>
        </w:rPr>
        <w:lastRenderedPageBreak/>
        <w:t>Department of Health and Human Services</w:t>
      </w:r>
      <w:bookmarkEnd w:id="114"/>
    </w:p>
    <w:p w:rsidR="00B32D50" w:rsidRPr="007F4B6F" w:rsidRDefault="00B32D50" w:rsidP="00F17BCD">
      <w:pPr>
        <w:keepNext/>
        <w:numPr>
          <w:ilvl w:val="1"/>
          <w:numId w:val="0"/>
        </w:numPr>
        <w:tabs>
          <w:tab w:val="right" w:pos="9582"/>
        </w:tabs>
        <w:spacing w:before="240"/>
        <w:outlineLvl w:val="1"/>
        <w:rPr>
          <w:rFonts w:ascii="Calibri" w:hAnsi="Calibri"/>
          <w:b/>
          <w:i/>
          <w:spacing w:val="-2"/>
          <w:sz w:val="26"/>
          <w:szCs w:val="26"/>
          <w:lang w:eastAsia="en-AU"/>
        </w:rPr>
      </w:pPr>
      <w:r w:rsidRPr="007F4B6F">
        <w:rPr>
          <w:rFonts w:ascii="Calibri" w:hAnsi="Calibri"/>
          <w:b/>
          <w:i/>
          <w:spacing w:val="-2"/>
          <w:sz w:val="26"/>
          <w:szCs w:val="26"/>
          <w:lang w:eastAsia="en-AU"/>
        </w:rPr>
        <w:t>Output initiatives</w:t>
      </w:r>
    </w:p>
    <w:p w:rsidR="00B32D50" w:rsidRDefault="00B32D50" w:rsidP="00F17BCD">
      <w:pPr>
        <w:pStyle w:val="TableHeading"/>
        <w:spacing w:before="180"/>
        <w:rPr>
          <w:lang w:eastAsia="en-AU"/>
        </w:rPr>
      </w:pPr>
      <w:bookmarkStart w:id="115" w:name="_Hlk527370080"/>
      <w:bookmarkEnd w:id="113"/>
      <w:r>
        <w:rPr>
          <w:lang w:eastAsia="en-AU"/>
        </w:rPr>
        <w:t>Table A.9</w:t>
      </w:r>
      <w:r w:rsidRPr="00680698">
        <w:rPr>
          <w:lang w:eastAsia="en-AU"/>
        </w:rPr>
        <w:t>:</w:t>
      </w:r>
      <w:r w:rsidRPr="00680698">
        <w:rPr>
          <w:lang w:eastAsia="en-AU"/>
        </w:rPr>
        <w:tab/>
        <w:t>Output initiatives – Department of Health and Human Services</w:t>
      </w:r>
      <w:r w:rsidRPr="00680698">
        <w:rPr>
          <w:lang w:eastAsia="en-AU"/>
        </w:rPr>
        <w:tab/>
        <w:t>($ million)</w:t>
      </w:r>
    </w:p>
    <w:tbl>
      <w:tblPr>
        <w:tblStyle w:val="DTFTable4"/>
        <w:tblW w:w="7765" w:type="dxa"/>
        <w:tblInd w:w="45" w:type="dxa"/>
        <w:tblLayout w:type="fixed"/>
        <w:tblCellMar>
          <w:left w:w="45" w:type="dxa"/>
          <w:right w:w="45" w:type="dxa"/>
        </w:tblCellMar>
        <w:tblLook w:val="06A0" w:firstRow="1" w:lastRow="0" w:firstColumn="1" w:lastColumn="0" w:noHBand="1" w:noVBand="1"/>
      </w:tblPr>
      <w:tblGrid>
        <w:gridCol w:w="4365"/>
        <w:gridCol w:w="850"/>
        <w:gridCol w:w="850"/>
        <w:gridCol w:w="850"/>
        <w:gridCol w:w="850"/>
      </w:tblGrid>
      <w:tr w:rsidR="00B32D50" w:rsidRPr="00680698"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B32D50" w:rsidRPr="00680698" w:rsidRDefault="00B32D50" w:rsidP="00F17BCD">
            <w:pPr>
              <w:autoSpaceDE w:val="0"/>
              <w:autoSpaceDN w:val="0"/>
              <w:adjustRightInd w:val="0"/>
              <w:rPr>
                <w:rFonts w:eastAsia="Times New Roman" w:cs="Calibri"/>
                <w:color w:val="FFFFFF"/>
                <w:szCs w:val="20"/>
                <w:lang w:eastAsia="en-AU"/>
              </w:rPr>
            </w:pPr>
            <w:bookmarkStart w:id="116" w:name="_Hlk527368538"/>
            <w:bookmarkEnd w:id="115"/>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850" w:type="dxa"/>
            <w:tcBorders>
              <w:top w:val="nil"/>
              <w:left w:val="nil"/>
              <w:bottom w:val="nil"/>
              <w:right w:val="nil"/>
            </w:tcBorders>
            <w:shd w:val="solid" w:color="000000" w:fill="auto"/>
          </w:tcPr>
          <w:p w:rsidR="00B32D50" w:rsidRPr="00680698"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r>
      <w:tr w:rsidR="00B32D50" w:rsidRPr="00173C22"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spacing w:after="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 xml:space="preserve">End of Life Care Palliative Care Funding Review </w:t>
            </w:r>
            <w:r w:rsidRPr="00173C22">
              <w:rPr>
                <w:rFonts w:asciiTheme="majorHAnsi" w:eastAsiaTheme="minorEastAsia" w:hAnsiTheme="majorHAnsi" w:cstheme="majorHAnsi"/>
                <w:b/>
                <w:bCs/>
                <w:color w:val="000000"/>
                <w:szCs w:val="17"/>
                <w:vertAlign w:val="superscript"/>
                <w:lang w:eastAsia="en-AU"/>
              </w:rPr>
              <w:t>(a)</w:t>
            </w:r>
          </w:p>
        </w:tc>
        <w:tc>
          <w:tcPr>
            <w:tcW w:w="850" w:type="dxa"/>
            <w:shd w:val="clear" w:color="auto" w:fill="auto"/>
            <w:noWrap/>
          </w:tcPr>
          <w:p w:rsidR="00B32D50" w:rsidRPr="00173C22" w:rsidRDefault="00B32D50" w:rsidP="00F17BCD">
            <w:pPr>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23.4</w:t>
            </w:r>
          </w:p>
        </w:tc>
        <w:tc>
          <w:tcPr>
            <w:tcW w:w="850" w:type="dxa"/>
            <w:shd w:val="clear" w:color="auto" w:fill="auto"/>
            <w:noWrap/>
          </w:tcPr>
          <w:p w:rsidR="00B32D50" w:rsidRPr="00173C22" w:rsidRDefault="00B32D50" w:rsidP="00F17BCD">
            <w:pPr>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tcPr>
          <w:p w:rsidR="00B32D50" w:rsidRPr="00173C22" w:rsidRDefault="00B32D50" w:rsidP="00F17BCD">
            <w:pPr>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tcPr>
          <w:p w:rsidR="00B32D50" w:rsidRPr="00173C22" w:rsidRDefault="00B32D50" w:rsidP="00F17BCD">
            <w:pPr>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173C22" w:rsidRDefault="00B32D50" w:rsidP="00F17BCD">
            <w:pPr>
              <w:spacing w:after="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Geelong Women</w:t>
            </w:r>
            <w:r>
              <w:rPr>
                <w:rFonts w:asciiTheme="majorHAnsi" w:hAnsiTheme="majorHAnsi" w:cstheme="majorHAnsi"/>
                <w:color w:val="000000"/>
                <w:szCs w:val="17"/>
                <w:lang w:eastAsia="en-AU"/>
              </w:rPr>
              <w:t>’</w:t>
            </w:r>
            <w:r w:rsidRPr="00173C22">
              <w:rPr>
                <w:rFonts w:asciiTheme="majorHAnsi" w:hAnsiTheme="majorHAnsi" w:cstheme="majorHAnsi"/>
                <w:color w:val="000000"/>
                <w:szCs w:val="17"/>
                <w:lang w:eastAsia="en-AU"/>
              </w:rPr>
              <w:t>s and Children</w:t>
            </w:r>
            <w:r>
              <w:rPr>
                <w:rFonts w:asciiTheme="majorHAnsi" w:hAnsiTheme="majorHAnsi" w:cstheme="majorHAnsi"/>
                <w:color w:val="000000"/>
                <w:szCs w:val="17"/>
                <w:lang w:eastAsia="en-AU"/>
              </w:rPr>
              <w:t>’</w:t>
            </w:r>
            <w:r w:rsidRPr="00173C22">
              <w:rPr>
                <w:rFonts w:asciiTheme="majorHAnsi" w:hAnsiTheme="majorHAnsi" w:cstheme="majorHAnsi"/>
                <w:color w:val="000000"/>
                <w:szCs w:val="17"/>
                <w:lang w:eastAsia="en-AU"/>
              </w:rPr>
              <w:t>s Hospital</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10.0</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173C22" w:rsidRDefault="00B32D50" w:rsidP="00F17BCD">
            <w:pPr>
              <w:spacing w:after="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Recovery activities – Barwon South West fires</w:t>
            </w:r>
          </w:p>
        </w:tc>
        <w:tc>
          <w:tcPr>
            <w:tcW w:w="850" w:type="dxa"/>
            <w:shd w:val="clear" w:color="auto" w:fill="auto"/>
            <w:noWrap/>
            <w:hideMark/>
          </w:tcPr>
          <w:p w:rsidR="00B32D50" w:rsidRPr="00173C22"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1.2</w:t>
            </w:r>
          </w:p>
        </w:tc>
        <w:tc>
          <w:tcPr>
            <w:tcW w:w="850" w:type="dxa"/>
            <w:shd w:val="clear" w:color="auto" w:fill="auto"/>
            <w:noWrap/>
            <w:hideMark/>
          </w:tcPr>
          <w:p w:rsidR="00B32D50" w:rsidRPr="00173C22"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hideMark/>
          </w:tcPr>
          <w:p w:rsidR="00B32D50" w:rsidRPr="00173C22"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hideMark/>
          </w:tcPr>
          <w:p w:rsidR="00B32D50" w:rsidRPr="00173C22"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173C22" w:rsidRDefault="00B32D50" w:rsidP="00F17BCD">
            <w:pPr>
              <w:spacing w:after="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Reid Oval redevelopment</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7</w:t>
            </w:r>
            <w:r w:rsidRPr="00173C22">
              <w:rPr>
                <w:rFonts w:asciiTheme="majorHAnsi" w:hAnsiTheme="majorHAnsi" w:cstheme="majorHAnsi"/>
                <w:color w:val="000000"/>
                <w:szCs w:val="17"/>
                <w:lang w:eastAsia="en-AU"/>
              </w:rPr>
              <w:t>.0</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173C22" w:rsidRDefault="00B32D50" w:rsidP="00F17BCD">
            <w:pPr>
              <w:spacing w:after="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 xml:space="preserve">Safe Patient Care – </w:t>
            </w:r>
            <w:r w:rsidR="00420943">
              <w:rPr>
                <w:rFonts w:asciiTheme="majorHAnsi" w:hAnsiTheme="majorHAnsi" w:cstheme="majorHAnsi"/>
                <w:color w:val="000000"/>
                <w:szCs w:val="17"/>
                <w:lang w:eastAsia="en-AU"/>
              </w:rPr>
              <w:br/>
            </w:r>
            <w:r w:rsidRPr="00173C22">
              <w:rPr>
                <w:rFonts w:asciiTheme="majorHAnsi" w:hAnsiTheme="majorHAnsi" w:cstheme="majorHAnsi"/>
                <w:color w:val="000000"/>
                <w:szCs w:val="17"/>
                <w:lang w:eastAsia="en-AU"/>
              </w:rPr>
              <w:t>Nurse to Patient and Midwife to Patient ratio amendments</w:t>
            </w:r>
          </w:p>
        </w:tc>
        <w:tc>
          <w:tcPr>
            <w:tcW w:w="850" w:type="dxa"/>
            <w:shd w:val="clear" w:color="auto" w:fill="auto"/>
            <w:noWrap/>
            <w:hideMark/>
          </w:tcPr>
          <w:p w:rsidR="00B32D50" w:rsidRPr="00173C22"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5.5</w:t>
            </w:r>
          </w:p>
        </w:tc>
        <w:tc>
          <w:tcPr>
            <w:tcW w:w="850" w:type="dxa"/>
            <w:shd w:val="clear" w:color="auto" w:fill="auto"/>
            <w:noWrap/>
            <w:hideMark/>
          </w:tcPr>
          <w:p w:rsidR="00B32D50" w:rsidRPr="00173C22"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42.4</w:t>
            </w:r>
          </w:p>
        </w:tc>
        <w:tc>
          <w:tcPr>
            <w:tcW w:w="850" w:type="dxa"/>
            <w:shd w:val="clear" w:color="auto" w:fill="auto"/>
            <w:noWrap/>
            <w:hideMark/>
          </w:tcPr>
          <w:p w:rsidR="00B32D50" w:rsidRPr="00173C22"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63.9</w:t>
            </w:r>
          </w:p>
        </w:tc>
        <w:tc>
          <w:tcPr>
            <w:tcW w:w="850" w:type="dxa"/>
            <w:shd w:val="clear" w:color="auto" w:fill="auto"/>
            <w:noWrap/>
            <w:hideMark/>
          </w:tcPr>
          <w:p w:rsidR="00B32D50" w:rsidRPr="00173C22" w:rsidRDefault="00B32D50" w:rsidP="00F17BCD">
            <w:pPr>
              <w:spacing w:after="0"/>
              <w:ind w:left="170" w:hanging="17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74.5</w:t>
            </w:r>
          </w:p>
        </w:tc>
      </w:tr>
      <w:tr w:rsidR="00B32D50" w:rsidRPr="00173C22"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173C22" w:rsidRDefault="00B32D50" w:rsidP="00F17BCD">
            <w:pPr>
              <w:spacing w:after="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Shooting Sports Facilities Program</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2.0</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0.9</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tcPr>
          <w:p w:rsidR="00B32D50" w:rsidRPr="00173C22" w:rsidRDefault="00B32D50" w:rsidP="00F17BCD">
            <w:pPr>
              <w:rPr>
                <w:rFonts w:asciiTheme="majorHAnsi" w:hAnsiTheme="majorHAnsi" w:cstheme="majorHAnsi"/>
                <w:color w:val="000000"/>
                <w:szCs w:val="17"/>
                <w:lang w:eastAsia="en-AU"/>
              </w:rPr>
            </w:pPr>
            <w:bookmarkStart w:id="117" w:name="_Hlk528584215"/>
            <w:r>
              <w:rPr>
                <w:rFonts w:asciiTheme="majorHAnsi" w:hAnsiTheme="majorHAnsi" w:cstheme="majorHAnsi"/>
                <w:color w:val="000000"/>
                <w:szCs w:val="17"/>
                <w:lang w:eastAsia="en-AU"/>
              </w:rPr>
              <w:t>Stepping in to Support Community Mental Health</w:t>
            </w:r>
            <w:bookmarkEnd w:id="117"/>
          </w:p>
        </w:tc>
        <w:tc>
          <w:tcPr>
            <w:tcW w:w="850" w:type="dxa"/>
            <w:shd w:val="clear" w:color="auto" w:fill="auto"/>
            <w:noWrap/>
          </w:tcPr>
          <w:p w:rsidR="00B32D50" w:rsidRPr="00173C22" w:rsidRDefault="00B32D50" w:rsidP="00F17BCD">
            <w:pPr>
              <w:ind w:left="170" w:hanging="170"/>
              <w:cnfStyle w:val="000000100000" w:firstRow="0" w:lastRow="0" w:firstColumn="0" w:lastColumn="0" w:oddVBand="0" w:evenVBand="0" w:oddHBand="1" w:evenHBand="0" w:firstRowFirstColumn="0" w:firstRowLastColumn="0" w:lastRowFirstColumn="0" w:lastRowLastColumn="0"/>
            </w:pPr>
            <w:r w:rsidRPr="00173C22">
              <w:t>32.1</w:t>
            </w:r>
          </w:p>
        </w:tc>
        <w:tc>
          <w:tcPr>
            <w:tcW w:w="850" w:type="dxa"/>
            <w:shd w:val="clear" w:color="auto" w:fill="auto"/>
            <w:noWrap/>
          </w:tcPr>
          <w:p w:rsidR="00B32D50" w:rsidRPr="00173C22" w:rsidRDefault="00B32D50" w:rsidP="00F17BCD">
            <w:pPr>
              <w:ind w:left="170" w:hanging="170"/>
              <w:cnfStyle w:val="000000100000" w:firstRow="0" w:lastRow="0" w:firstColumn="0" w:lastColumn="0" w:oddVBand="0" w:evenVBand="0" w:oddHBand="1" w:evenHBand="0" w:firstRowFirstColumn="0" w:firstRowLastColumn="0" w:lastRowFirstColumn="0" w:lastRowLastColumn="0"/>
            </w:pPr>
            <w:r w:rsidRPr="00173C22">
              <w:t>37.2</w:t>
            </w:r>
          </w:p>
        </w:tc>
        <w:tc>
          <w:tcPr>
            <w:tcW w:w="850" w:type="dxa"/>
            <w:shd w:val="clear" w:color="auto" w:fill="auto"/>
            <w:noWrap/>
          </w:tcPr>
          <w:p w:rsidR="00B32D50" w:rsidRPr="00173C22" w:rsidRDefault="00B32D50" w:rsidP="00F17BCD">
            <w:pPr>
              <w:ind w:left="170" w:hanging="170"/>
              <w:cnfStyle w:val="000000100000" w:firstRow="0" w:lastRow="0" w:firstColumn="0" w:lastColumn="0" w:oddVBand="0" w:evenVBand="0" w:oddHBand="1" w:evenHBand="0" w:firstRowFirstColumn="0" w:firstRowLastColumn="0" w:lastRowFirstColumn="0" w:lastRowLastColumn="0"/>
            </w:pPr>
            <w:r w:rsidRPr="00173C22">
              <w:t>..</w:t>
            </w:r>
          </w:p>
        </w:tc>
        <w:tc>
          <w:tcPr>
            <w:tcW w:w="850" w:type="dxa"/>
            <w:shd w:val="clear" w:color="auto" w:fill="auto"/>
            <w:noWrap/>
          </w:tcPr>
          <w:p w:rsidR="00B32D50" w:rsidRPr="00173C22" w:rsidRDefault="00B32D50" w:rsidP="00F17BCD">
            <w:pPr>
              <w:ind w:left="170" w:hanging="170"/>
              <w:cnfStyle w:val="000000100000" w:firstRow="0" w:lastRow="0" w:firstColumn="0" w:lastColumn="0" w:oddVBand="0" w:evenVBand="0" w:oddHBand="1" w:evenHBand="0" w:firstRowFirstColumn="0" w:firstRowLastColumn="0" w:lastRowFirstColumn="0" w:lastRowLastColumn="0"/>
            </w:pPr>
            <w:r w:rsidRPr="00173C22">
              <w:t>..</w:t>
            </w:r>
          </w:p>
        </w:tc>
      </w:tr>
      <w:tr w:rsidR="00B32D50" w:rsidRPr="00173C22" w:rsidTr="00F17BCD">
        <w:tblPrEx>
          <w:tblCellMar>
            <w:left w:w="57" w:type="dxa"/>
            <w:right w:w="57" w:type="dxa"/>
          </w:tblCellMar>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65" w:type="dxa"/>
            <w:shd w:val="clear" w:color="auto" w:fill="auto"/>
            <w:noWrap/>
            <w:hideMark/>
          </w:tcPr>
          <w:p w:rsidR="00B32D50" w:rsidRPr="00173C22" w:rsidRDefault="00B32D50" w:rsidP="00F17BCD">
            <w:pPr>
              <w:spacing w:after="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Whitten Oval planning and re</w:t>
            </w:r>
            <w:r>
              <w:rPr>
                <w:rFonts w:asciiTheme="majorHAnsi" w:hAnsiTheme="majorHAnsi" w:cstheme="majorHAnsi"/>
                <w:color w:val="000000"/>
                <w:szCs w:val="17"/>
                <w:lang w:eastAsia="en-AU"/>
              </w:rPr>
              <w:t>development</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2.8</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7.2</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shd w:val="clear" w:color="auto" w:fill="auto"/>
            <w:noWrap/>
            <w:hideMark/>
          </w:tcPr>
          <w:p w:rsidR="00B32D50" w:rsidRPr="00173C22" w:rsidRDefault="00B32D50" w:rsidP="00F17BCD">
            <w:pPr>
              <w:spacing w:after="0"/>
              <w:ind w:left="170" w:hanging="17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rPr>
          <w:cantSplit w:val="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left w:val="nil"/>
              <w:bottom w:val="single" w:sz="12" w:space="0" w:color="auto"/>
              <w:right w:val="nil"/>
            </w:tcBorders>
          </w:tcPr>
          <w:p w:rsidR="00B32D50" w:rsidRPr="00173C22" w:rsidRDefault="00B32D50" w:rsidP="00F17BCD">
            <w:pPr>
              <w:autoSpaceDE w:val="0"/>
              <w:autoSpaceDN w:val="0"/>
              <w:adjustRightInd w:val="0"/>
              <w:rPr>
                <w:rFonts w:asciiTheme="majorHAnsi" w:eastAsiaTheme="minorEastAsia" w:hAnsiTheme="majorHAnsi" w:cstheme="majorHAnsi"/>
                <w:b/>
                <w:bCs/>
                <w:color w:val="000000"/>
                <w:szCs w:val="17"/>
                <w:lang w:eastAsia="en-AU"/>
              </w:rPr>
            </w:pPr>
            <w:r w:rsidRPr="00173C22">
              <w:rPr>
                <w:rFonts w:asciiTheme="majorHAnsi" w:eastAsiaTheme="minorEastAsia" w:hAnsiTheme="majorHAnsi" w:cstheme="majorHAnsi"/>
                <w:b/>
                <w:bCs/>
                <w:color w:val="000000"/>
                <w:szCs w:val="17"/>
                <w:lang w:eastAsia="en-AU"/>
              </w:rPr>
              <w:t xml:space="preserve">Total output initiatives </w:t>
            </w:r>
            <w:r w:rsidRPr="00173C22">
              <w:rPr>
                <w:rFonts w:asciiTheme="majorHAnsi" w:eastAsiaTheme="minorEastAsia" w:hAnsiTheme="majorHAnsi" w:cstheme="majorHAnsi"/>
                <w:b/>
                <w:bCs/>
                <w:color w:val="000000"/>
                <w:szCs w:val="17"/>
                <w:vertAlign w:val="superscript"/>
                <w:lang w:eastAsia="en-AU"/>
              </w:rPr>
              <w:t>(b)</w:t>
            </w:r>
          </w:p>
        </w:tc>
        <w:tc>
          <w:tcPr>
            <w:tcW w:w="850" w:type="dxa"/>
            <w:tcBorders>
              <w:top w:val="single" w:sz="6" w:space="0" w:color="auto"/>
              <w:left w:val="nil"/>
              <w:bottom w:val="single" w:sz="12" w:space="0" w:color="auto"/>
              <w:right w:val="nil"/>
            </w:tcBorders>
          </w:tcPr>
          <w:p w:rsidR="00B32D50" w:rsidRPr="00142C53"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Pr>
                <w:b/>
              </w:rPr>
              <w:t>83.9</w:t>
            </w:r>
          </w:p>
        </w:tc>
        <w:tc>
          <w:tcPr>
            <w:tcW w:w="850" w:type="dxa"/>
            <w:tcBorders>
              <w:top w:val="single" w:sz="6" w:space="0" w:color="auto"/>
              <w:left w:val="nil"/>
              <w:bottom w:val="single" w:sz="12" w:space="0" w:color="auto"/>
              <w:right w:val="nil"/>
            </w:tcBorders>
          </w:tcPr>
          <w:p w:rsidR="00B32D50" w:rsidRPr="00142C53"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142C53">
              <w:rPr>
                <w:b/>
              </w:rPr>
              <w:t>87.7</w:t>
            </w:r>
          </w:p>
        </w:tc>
        <w:tc>
          <w:tcPr>
            <w:tcW w:w="850" w:type="dxa"/>
            <w:tcBorders>
              <w:top w:val="single" w:sz="6" w:space="0" w:color="auto"/>
              <w:left w:val="nil"/>
              <w:bottom w:val="single" w:sz="12" w:space="0" w:color="auto"/>
              <w:right w:val="nil"/>
            </w:tcBorders>
          </w:tcPr>
          <w:p w:rsidR="00B32D50" w:rsidRPr="00142C53"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142C53">
              <w:rPr>
                <w:b/>
              </w:rPr>
              <w:t>63.9</w:t>
            </w:r>
          </w:p>
        </w:tc>
        <w:tc>
          <w:tcPr>
            <w:tcW w:w="850" w:type="dxa"/>
            <w:tcBorders>
              <w:top w:val="single" w:sz="6" w:space="0" w:color="auto"/>
              <w:left w:val="nil"/>
              <w:bottom w:val="single" w:sz="12" w:space="0" w:color="auto"/>
              <w:right w:val="nil"/>
            </w:tcBorders>
          </w:tcPr>
          <w:p w:rsidR="00B32D50" w:rsidRPr="00142C53"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142C53">
              <w:rPr>
                <w:b/>
              </w:rPr>
              <w:t>74.5</w:t>
            </w:r>
          </w:p>
        </w:tc>
      </w:tr>
    </w:tbl>
    <w:bookmarkEnd w:id="116"/>
    <w:p w:rsidR="00B32D50" w:rsidRPr="00173C22" w:rsidRDefault="00B32D50" w:rsidP="00F17BCD">
      <w:pPr>
        <w:pStyle w:val="Note"/>
        <w:rPr>
          <w:lang w:eastAsia="en-AU"/>
        </w:rPr>
      </w:pPr>
      <w:r w:rsidRPr="00173C22">
        <w:rPr>
          <w:lang w:eastAsia="en-AU"/>
        </w:rPr>
        <w:t>Note</w:t>
      </w:r>
      <w:r>
        <w:rPr>
          <w:lang w:eastAsia="en-AU"/>
        </w:rPr>
        <w:t>s</w:t>
      </w:r>
      <w:r w:rsidRPr="00173C22">
        <w:rPr>
          <w:lang w:eastAsia="en-AU"/>
        </w:rPr>
        <w:t>:</w:t>
      </w:r>
    </w:p>
    <w:p w:rsidR="00B32D50" w:rsidRPr="00173C22" w:rsidRDefault="00B32D50" w:rsidP="00F17BCD">
      <w:pPr>
        <w:pStyle w:val="Note"/>
        <w:rPr>
          <w:lang w:eastAsia="en-AU"/>
        </w:rPr>
      </w:pPr>
      <w:r w:rsidRPr="00173C22">
        <w:rPr>
          <w:lang w:eastAsia="en-AU"/>
        </w:rPr>
        <w:t>(a)</w:t>
      </w:r>
      <w:r w:rsidRPr="00173C22">
        <w:rPr>
          <w:rFonts w:ascii="Helv" w:hAnsi="Helv" w:cs="Helv"/>
          <w:i w:val="0"/>
          <w:iCs/>
          <w:color w:val="000000"/>
        </w:rPr>
        <w:t xml:space="preserve"> </w:t>
      </w:r>
      <w:r>
        <w:rPr>
          <w:rFonts w:ascii="Helv" w:hAnsi="Helv" w:cs="Helv"/>
          <w:i w:val="0"/>
          <w:iCs/>
          <w:color w:val="000000"/>
        </w:rPr>
        <w:tab/>
      </w:r>
      <w:r w:rsidRPr="00173C22">
        <w:rPr>
          <w:lang w:eastAsia="en-AU"/>
        </w:rPr>
        <w:t>These initiatives contribute to activity that attracts Commonwealth funding under the National Health Reform Agreement. Estimates of the Commonwealth</w:t>
      </w:r>
      <w:r>
        <w:rPr>
          <w:lang w:eastAsia="en-AU"/>
        </w:rPr>
        <w:t>’</w:t>
      </w:r>
      <w:r w:rsidRPr="00173C22">
        <w:rPr>
          <w:lang w:eastAsia="en-AU"/>
        </w:rPr>
        <w:t>s contribution are included.</w:t>
      </w:r>
    </w:p>
    <w:p w:rsidR="00B32D50" w:rsidRDefault="00B32D50" w:rsidP="00F17BCD">
      <w:pPr>
        <w:pStyle w:val="Note"/>
        <w:rPr>
          <w:lang w:eastAsia="en-AU"/>
        </w:rPr>
      </w:pPr>
      <w:r>
        <w:rPr>
          <w:lang w:eastAsia="en-AU"/>
        </w:rPr>
        <w:t xml:space="preserve">(b) </w:t>
      </w:r>
      <w:r>
        <w:rPr>
          <w:lang w:eastAsia="en-AU"/>
        </w:rPr>
        <w:tab/>
      </w:r>
      <w:r w:rsidRPr="00173C22">
        <w:rPr>
          <w:lang w:eastAsia="en-AU"/>
        </w:rPr>
        <w:t>Table may not add due to rounding.</w:t>
      </w:r>
    </w:p>
    <w:p w:rsidR="00B32D50" w:rsidRPr="00173C22" w:rsidRDefault="00B32D50" w:rsidP="00F17BCD">
      <w:pPr>
        <w:pStyle w:val="Heading30"/>
        <w:rPr>
          <w:rFonts w:eastAsia="Times New Roman"/>
        </w:rPr>
      </w:pPr>
      <w:bookmarkStart w:id="118" w:name="_Hlk527368246"/>
      <w:r w:rsidRPr="00173C22">
        <w:rPr>
          <w:rFonts w:eastAsia="Times New Roman"/>
        </w:rPr>
        <w:t xml:space="preserve">End of Life Care Palliative Care Funding Review </w:t>
      </w:r>
    </w:p>
    <w:p w:rsidR="00B32D50" w:rsidRPr="00173C22" w:rsidRDefault="00B32D50" w:rsidP="00F17BCD">
      <w:pPr>
        <w:rPr>
          <w:rFonts w:ascii="Garamond" w:eastAsia="Garamond" w:hAnsi="Garamond" w:cs="Times New Roman"/>
        </w:rPr>
      </w:pPr>
      <w:r w:rsidRPr="00173C22">
        <w:rPr>
          <w:rFonts w:ascii="Garamond" w:eastAsia="Garamond" w:hAnsi="Garamond" w:cs="Times New Roman"/>
        </w:rPr>
        <w:t>In response to an independent review of Victoria</w:t>
      </w:r>
      <w:r>
        <w:rPr>
          <w:rFonts w:ascii="Garamond" w:eastAsia="Garamond" w:hAnsi="Garamond" w:cs="Times New Roman"/>
        </w:rPr>
        <w:t>’</w:t>
      </w:r>
      <w:r w:rsidRPr="00173C22">
        <w:rPr>
          <w:rFonts w:ascii="Garamond" w:eastAsia="Garamond" w:hAnsi="Garamond" w:cs="Times New Roman"/>
        </w:rPr>
        <w:t xml:space="preserve">s palliative care funding model, funding </w:t>
      </w:r>
      <w:r>
        <w:rPr>
          <w:rFonts w:ascii="Garamond" w:eastAsia="Garamond" w:hAnsi="Garamond" w:cs="Times New Roman"/>
        </w:rPr>
        <w:t xml:space="preserve">for one year </w:t>
      </w:r>
      <w:r w:rsidRPr="00173C22">
        <w:rPr>
          <w:rFonts w:ascii="Garamond" w:eastAsia="Garamond" w:hAnsi="Garamond" w:cs="Times New Roman"/>
        </w:rPr>
        <w:t>will</w:t>
      </w:r>
      <w:r>
        <w:rPr>
          <w:rFonts w:ascii="Garamond" w:eastAsia="Garamond" w:hAnsi="Garamond" w:cs="Times New Roman"/>
        </w:rPr>
        <w:t xml:space="preserve"> be provided to</w:t>
      </w:r>
      <w:r w:rsidRPr="00173C22">
        <w:rPr>
          <w:rFonts w:ascii="Garamond" w:eastAsia="Garamond" w:hAnsi="Garamond" w:cs="Times New Roman"/>
        </w:rPr>
        <w:t xml:space="preserve"> support community palliative care providers in metropolitan Melbourne to respond to growing demand, target resources to emerging gaps in after-hours community nursing supports and enable an expansion of hospital-based palliative care consultancy team</w:t>
      </w:r>
      <w:r>
        <w:rPr>
          <w:rFonts w:ascii="Garamond" w:eastAsia="Garamond" w:hAnsi="Garamond" w:cs="Times New Roman"/>
        </w:rPr>
        <w:t>s</w:t>
      </w:r>
      <w:r w:rsidRPr="00173C22">
        <w:rPr>
          <w:rFonts w:ascii="Garamond" w:eastAsia="Garamond" w:hAnsi="Garamond" w:cs="Times New Roman"/>
        </w:rPr>
        <w:t>. Infrastructure grants will be provided to support community palliative care and for the refurbishment of a modern and homelike palliative care unit for Peter MacCallum Cancer Centre and Melbourne Health, including additional inpatient palliative care beds across the State.</w:t>
      </w:r>
    </w:p>
    <w:p w:rsidR="00B32D50" w:rsidRPr="00173C22" w:rsidRDefault="00B32D50" w:rsidP="00F17BCD">
      <w:pPr>
        <w:rPr>
          <w:rFonts w:ascii="Garamond" w:eastAsia="Garamond" w:hAnsi="Garamond" w:cs="Times New Roman"/>
        </w:rPr>
      </w:pPr>
      <w:r w:rsidRPr="00173C22">
        <w:rPr>
          <w:rFonts w:ascii="Garamond" w:eastAsia="Garamond" w:hAnsi="Garamond" w:cs="Times New Roman"/>
        </w:rPr>
        <w:t>This initiative contributes to the Department of Health and Human Services</w:t>
      </w:r>
      <w:r>
        <w:rPr>
          <w:rFonts w:ascii="Garamond" w:eastAsia="Garamond" w:hAnsi="Garamond" w:cs="Times New Roman"/>
        </w:rPr>
        <w:t>’</w:t>
      </w:r>
      <w:r w:rsidRPr="00173C22">
        <w:rPr>
          <w:rFonts w:ascii="Garamond" w:eastAsia="Garamond" w:hAnsi="Garamond" w:cs="Times New Roman"/>
        </w:rPr>
        <w:t>:</w:t>
      </w:r>
    </w:p>
    <w:p w:rsidR="00B32D50" w:rsidRPr="00173C22" w:rsidRDefault="00B32D50" w:rsidP="00F17BCD">
      <w:pPr>
        <w:pStyle w:val="ListBullet"/>
      </w:pPr>
      <w:r w:rsidRPr="00173C22">
        <w:t>Admitted Services output; and</w:t>
      </w:r>
    </w:p>
    <w:p w:rsidR="00B32D50" w:rsidRPr="00173C22" w:rsidRDefault="00B32D50" w:rsidP="00F17BCD">
      <w:pPr>
        <w:pStyle w:val="ListBullet"/>
      </w:pPr>
      <w:r w:rsidRPr="00173C22">
        <w:t>Non-admitted Services output.</w:t>
      </w:r>
    </w:p>
    <w:bookmarkEnd w:id="118"/>
    <w:p w:rsidR="00B32D50" w:rsidRPr="00173C22" w:rsidRDefault="00B32D50" w:rsidP="00F17BCD">
      <w:pPr>
        <w:pStyle w:val="Heading30"/>
        <w:rPr>
          <w:i/>
        </w:rPr>
      </w:pPr>
      <w:r w:rsidRPr="00173C22">
        <w:t>Geelong Women</w:t>
      </w:r>
      <w:r>
        <w:t>’</w:t>
      </w:r>
      <w:r w:rsidRPr="00173C22">
        <w:t>s and Children</w:t>
      </w:r>
      <w:r>
        <w:t>’</w:t>
      </w:r>
      <w:r w:rsidRPr="00173C22">
        <w:t>s Hospital</w:t>
      </w:r>
    </w:p>
    <w:p w:rsidR="00B32D50" w:rsidRPr="00173C22" w:rsidRDefault="00B32D50" w:rsidP="00F17BCD">
      <w:r>
        <w:t>Funding will be provided</w:t>
      </w:r>
      <w:r w:rsidRPr="00173C22">
        <w:t xml:space="preserve"> to identify options for transforming the Geelong Private Hospital on Ryrie Street into a Women</w:t>
      </w:r>
      <w:r>
        <w:t>’</w:t>
      </w:r>
      <w:r w:rsidRPr="00173C22">
        <w:t>s and Children</w:t>
      </w:r>
      <w:r>
        <w:t>’</w:t>
      </w:r>
      <w:r w:rsidRPr="00173C22">
        <w:t>s Hospital.</w:t>
      </w:r>
    </w:p>
    <w:p w:rsidR="00B32D50" w:rsidRPr="00173C22" w:rsidRDefault="00B32D50" w:rsidP="00F17BCD">
      <w:r w:rsidRPr="00173C22">
        <w:t>This initiative contributes to the Department of Health and Human Services</w:t>
      </w:r>
      <w:r>
        <w:t>’</w:t>
      </w:r>
      <w:r w:rsidRPr="00173C22">
        <w:t xml:space="preserve"> Admitted Services output.</w:t>
      </w:r>
    </w:p>
    <w:p w:rsidR="00B32D50" w:rsidRPr="00173C22" w:rsidRDefault="00B32D50" w:rsidP="00F17BCD">
      <w:pPr>
        <w:pStyle w:val="Heading30"/>
        <w:rPr>
          <w:i/>
        </w:rPr>
      </w:pPr>
      <w:r w:rsidRPr="00173C22">
        <w:t>Recovery activities – Barwon South West fires</w:t>
      </w:r>
    </w:p>
    <w:p w:rsidR="00B32D50" w:rsidRPr="00173C22" w:rsidRDefault="00B32D50" w:rsidP="00F17BCD">
      <w:r w:rsidRPr="00173C22">
        <w:t xml:space="preserve">Refer to the initiative description under the Department of Justice and Regulation. </w:t>
      </w:r>
    </w:p>
    <w:p w:rsidR="00B32D50" w:rsidRPr="00173C22" w:rsidRDefault="00B32D50" w:rsidP="00F17BCD">
      <w:pPr>
        <w:rPr>
          <w:rFonts w:cstheme="majorHAnsi"/>
          <w:color w:val="000000" w:themeColor="text1"/>
          <w:szCs w:val="24"/>
        </w:rPr>
      </w:pPr>
      <w:r w:rsidRPr="00173C22">
        <w:rPr>
          <w:rFonts w:cstheme="majorHAnsi"/>
          <w:color w:val="000000" w:themeColor="text1"/>
          <w:szCs w:val="24"/>
        </w:rPr>
        <w:t>This initiative contributes to the Department of Health and Human Services</w:t>
      </w:r>
      <w:r>
        <w:rPr>
          <w:rFonts w:cstheme="majorHAnsi"/>
          <w:color w:val="000000" w:themeColor="text1"/>
          <w:szCs w:val="24"/>
        </w:rPr>
        <w:t>’</w:t>
      </w:r>
      <w:r w:rsidRPr="00173C22">
        <w:rPr>
          <w:rFonts w:cstheme="majorHAnsi"/>
          <w:color w:val="000000" w:themeColor="text1"/>
          <w:szCs w:val="24"/>
        </w:rPr>
        <w:t xml:space="preserve"> Concessions to Pensioners and Beneficiaries output.</w:t>
      </w:r>
    </w:p>
    <w:p w:rsidR="00B32D50" w:rsidRPr="00173C22" w:rsidRDefault="00B32D50" w:rsidP="00F17BCD">
      <w:pPr>
        <w:pStyle w:val="Heading30"/>
      </w:pPr>
      <w:r w:rsidRPr="00173C22">
        <w:lastRenderedPageBreak/>
        <w:t>Reid Oval redevelopment</w:t>
      </w:r>
    </w:p>
    <w:p w:rsidR="00B32D50" w:rsidRPr="00173C22" w:rsidRDefault="00B32D50" w:rsidP="00F17BCD">
      <w:r w:rsidRPr="00173C22">
        <w:t>Funding will be provided to assist in the redevelopment of Reid Oval in Warrnambool. Improvements to lighting and related infrastructure will allow the venue to host a range of regional, state and national</w:t>
      </w:r>
      <w:r w:rsidRPr="00173C22">
        <w:noBreakHyphen/>
        <w:t>level sporting events.</w:t>
      </w:r>
    </w:p>
    <w:p w:rsidR="00B32D50" w:rsidRPr="00173C22" w:rsidRDefault="00B32D50" w:rsidP="00F17BCD">
      <w:r w:rsidRPr="00173C22">
        <w:t>This initiative contributes to the Department of Health and Human Services</w:t>
      </w:r>
      <w:r>
        <w:t>’</w:t>
      </w:r>
      <w:r w:rsidRPr="00173C22">
        <w:t xml:space="preserve"> Sport and Recreation output.</w:t>
      </w:r>
    </w:p>
    <w:p w:rsidR="00B32D50" w:rsidRPr="00173C22" w:rsidRDefault="00B32D50" w:rsidP="00F17BCD">
      <w:pPr>
        <w:pStyle w:val="Heading30"/>
      </w:pPr>
      <w:r w:rsidRPr="00173C22">
        <w:t>Safe Patient Care – Nurse to Patient and Midwife to Patient ratio amendments</w:t>
      </w:r>
    </w:p>
    <w:p w:rsidR="00B32D50" w:rsidRPr="00173C22" w:rsidRDefault="00B32D50" w:rsidP="00F17BCD">
      <w:bookmarkStart w:id="119" w:name="_Hlk527365377"/>
      <w:r w:rsidRPr="00173C22">
        <w:t xml:space="preserve">Additional nurses and midwives will be employed to support the Safe Patient Care (Nurse to Patient and Midwife to Patient Ratios) Amendment Bill 2018, which was introduced into the Parliament in August 2018. Under the proposed changes, ratios will be increased in palliative care, birthing suites, special care nurseries, acute stroke units, haematology wards, acute inpatient oncology and during peak times in emergency department resuscitation cubicles. </w:t>
      </w:r>
    </w:p>
    <w:bookmarkEnd w:id="119"/>
    <w:p w:rsidR="00B32D50" w:rsidRPr="00173C22" w:rsidRDefault="00B32D50" w:rsidP="00F17BCD">
      <w:r w:rsidRPr="00173C22">
        <w:t>This initiative contributes to the Department of Health and Human Services</w:t>
      </w:r>
      <w:r>
        <w:t>’</w:t>
      </w:r>
      <w:r w:rsidRPr="00173C22">
        <w:t xml:space="preserve"> Admitted Services output.</w:t>
      </w:r>
    </w:p>
    <w:p w:rsidR="00B32D50" w:rsidRPr="00173C22" w:rsidRDefault="00B32D50" w:rsidP="00F17BCD">
      <w:pPr>
        <w:pStyle w:val="Heading30"/>
      </w:pPr>
      <w:r w:rsidRPr="00173C22">
        <w:t>Shooting Sports Facilities Program</w:t>
      </w:r>
    </w:p>
    <w:p w:rsidR="00B32D50" w:rsidRPr="00173C22" w:rsidRDefault="00B32D50" w:rsidP="00F17BCD">
      <w:r w:rsidRPr="00173C22">
        <w:t>Additional funding will be provided for projects to improve shooting facilities and activities at Little River Range, Springvale Range and the Eastern Victoria Shooting Complex.</w:t>
      </w:r>
    </w:p>
    <w:p w:rsidR="00B32D50" w:rsidRPr="00173C22" w:rsidRDefault="00B32D50" w:rsidP="00F17BCD">
      <w:r w:rsidRPr="00173C22">
        <w:t>This initiative contributes to the Department of Health and Human Services</w:t>
      </w:r>
      <w:r>
        <w:t>’</w:t>
      </w:r>
      <w:r w:rsidRPr="00173C22">
        <w:t xml:space="preserve"> Sport and Recreation output.</w:t>
      </w:r>
    </w:p>
    <w:p w:rsidR="00B32D50" w:rsidRDefault="00B32D50" w:rsidP="00F17BCD">
      <w:pPr>
        <w:pStyle w:val="Heading30"/>
      </w:pPr>
      <w:r w:rsidRPr="00F33AF2">
        <w:t>Stepping in to Support Community Mental Health</w:t>
      </w:r>
    </w:p>
    <w:p w:rsidR="00B32D50" w:rsidRPr="00173C22" w:rsidRDefault="00B32D50" w:rsidP="00F17BCD">
      <w:r>
        <w:t>Funding for a new community mental health service to deliver tailored psychosocial supports to people with a severe mental illness who are either not eligible for the National Disability Insurance Scheme (NDIS) or yet to transition to the scheme. The service will support people with a mental illness during the NDIS rollout.</w:t>
      </w:r>
    </w:p>
    <w:p w:rsidR="00B32D50" w:rsidRPr="00173C22" w:rsidRDefault="00B32D50" w:rsidP="00F17BCD">
      <w:r w:rsidRPr="00173C22">
        <w:t>This initiative contributes to the Department of Health and Human Services</w:t>
      </w:r>
      <w:r>
        <w:t>’</w:t>
      </w:r>
      <w:r w:rsidRPr="00173C22">
        <w:t>:</w:t>
      </w:r>
    </w:p>
    <w:p w:rsidR="00B32D50" w:rsidRPr="00173C22" w:rsidRDefault="00B32D50" w:rsidP="00F17BCD">
      <w:pPr>
        <w:pStyle w:val="ListBullet"/>
      </w:pPr>
      <w:r w:rsidRPr="00173C22">
        <w:t>Mental Health and Community Support Services (MHCSS) output; and</w:t>
      </w:r>
    </w:p>
    <w:p w:rsidR="00B32D50" w:rsidRPr="00173C22" w:rsidRDefault="00B32D50" w:rsidP="00F17BCD">
      <w:pPr>
        <w:pStyle w:val="ListBullet"/>
      </w:pPr>
      <w:r w:rsidRPr="00173C22">
        <w:t>Disability Services output.</w:t>
      </w:r>
    </w:p>
    <w:p w:rsidR="00B32D50" w:rsidRPr="00173C22" w:rsidRDefault="00B32D50" w:rsidP="00F17BCD">
      <w:pPr>
        <w:pStyle w:val="Heading30"/>
        <w:rPr>
          <w:i/>
        </w:rPr>
      </w:pPr>
      <w:r w:rsidRPr="00173C22">
        <w:t>Whitten Oval planning and redevelopment</w:t>
      </w:r>
    </w:p>
    <w:p w:rsidR="00B32D50" w:rsidRPr="00173C22" w:rsidRDefault="00B32D50" w:rsidP="00F17BCD">
      <w:r>
        <w:t>A</w:t>
      </w:r>
      <w:r w:rsidRPr="00173C22">
        <w:t>dditional funding will be provided for the realignment of Cross Street in Footscray.</w:t>
      </w:r>
      <w:r>
        <w:t xml:space="preserve"> This will improve infrastructure and better accommodate women’s sport at Whitten Oval.</w:t>
      </w:r>
    </w:p>
    <w:p w:rsidR="00B32D50" w:rsidRPr="00173C22" w:rsidRDefault="00B32D50" w:rsidP="00F17BCD">
      <w:r w:rsidRPr="00173C22">
        <w:t>This initiative contributes to the Department of Health and Human Services</w:t>
      </w:r>
      <w:r>
        <w:t>’</w:t>
      </w:r>
      <w:r w:rsidRPr="00173C22">
        <w:t xml:space="preserve"> Sport and Recreation Output.</w:t>
      </w:r>
    </w:p>
    <w:p w:rsidR="00B32D50" w:rsidRPr="00173C22" w:rsidRDefault="00B32D50">
      <w:pPr>
        <w:keepLines w:val="0"/>
        <w:rPr>
          <w:lang w:eastAsia="en-AU"/>
        </w:rPr>
      </w:pPr>
      <w:r w:rsidRPr="00173C22">
        <w:rPr>
          <w:lang w:eastAsia="en-AU"/>
        </w:rPr>
        <w:br w:type="page"/>
      </w:r>
    </w:p>
    <w:p w:rsidR="00B32D50" w:rsidRPr="00173C22" w:rsidRDefault="00B32D50" w:rsidP="00834D1D">
      <w:pPr>
        <w:pStyle w:val="Heading10"/>
        <w:rPr>
          <w:lang w:eastAsia="en-AU"/>
        </w:rPr>
      </w:pPr>
      <w:bookmarkStart w:id="120" w:name="_Toc500179548"/>
      <w:bookmarkStart w:id="121" w:name="_Toc528864779"/>
      <w:r w:rsidRPr="00173C22">
        <w:rPr>
          <w:lang w:eastAsia="en-AU"/>
        </w:rPr>
        <w:lastRenderedPageBreak/>
        <w:t>Department of Justice and Regulation</w:t>
      </w:r>
      <w:bookmarkEnd w:id="120"/>
      <w:bookmarkEnd w:id="121"/>
    </w:p>
    <w:p w:rsidR="00B32D50" w:rsidRPr="007F4B6F" w:rsidRDefault="00B32D50" w:rsidP="00F17BCD">
      <w:pPr>
        <w:keepNext/>
        <w:numPr>
          <w:ilvl w:val="1"/>
          <w:numId w:val="0"/>
        </w:numPr>
        <w:tabs>
          <w:tab w:val="right" w:pos="9582"/>
        </w:tabs>
        <w:spacing w:before="240"/>
        <w:outlineLvl w:val="1"/>
        <w:rPr>
          <w:rFonts w:ascii="Calibri" w:hAnsi="Calibri"/>
          <w:b/>
          <w:i/>
          <w:spacing w:val="-2"/>
          <w:sz w:val="26"/>
          <w:szCs w:val="26"/>
          <w:lang w:eastAsia="en-AU"/>
        </w:rPr>
      </w:pPr>
      <w:r w:rsidRPr="007F4B6F">
        <w:rPr>
          <w:rFonts w:ascii="Calibri" w:hAnsi="Calibri"/>
          <w:b/>
          <w:i/>
          <w:spacing w:val="-2"/>
          <w:sz w:val="26"/>
          <w:szCs w:val="26"/>
          <w:lang w:eastAsia="en-AU"/>
        </w:rPr>
        <w:t>Output initiatives</w:t>
      </w:r>
    </w:p>
    <w:p w:rsidR="00B32D50" w:rsidRPr="00173C22" w:rsidRDefault="00B32D50" w:rsidP="00F17BCD">
      <w:pPr>
        <w:pStyle w:val="TableHeading"/>
        <w:spacing w:before="180"/>
        <w:rPr>
          <w:lang w:eastAsia="en-AU"/>
        </w:rPr>
      </w:pPr>
      <w:r>
        <w:rPr>
          <w:lang w:eastAsia="en-AU"/>
        </w:rPr>
        <w:t>Table A.10</w:t>
      </w:r>
      <w:r w:rsidRPr="00173C22">
        <w:rPr>
          <w:lang w:eastAsia="en-AU"/>
        </w:rPr>
        <w:t>:</w:t>
      </w:r>
      <w:r w:rsidRPr="00173C22">
        <w:rPr>
          <w:lang w:eastAsia="en-AU"/>
        </w:rPr>
        <w:tab/>
        <w:t>Output initiatives – Department of Justice and Regulation</w:t>
      </w:r>
      <w:r w:rsidRPr="00173C22">
        <w:rPr>
          <w:lang w:eastAsia="en-AU"/>
        </w:rPr>
        <w:tab/>
        <w:t>($ million)</w:t>
      </w:r>
    </w:p>
    <w:tbl>
      <w:tblPr>
        <w:tblStyle w:val="DTFTable6"/>
        <w:tblW w:w="7765" w:type="dxa"/>
        <w:tblInd w:w="45" w:type="dxa"/>
        <w:tblLayout w:type="fixed"/>
        <w:tblCellMar>
          <w:left w:w="45" w:type="dxa"/>
          <w:right w:w="45" w:type="dxa"/>
        </w:tblCellMar>
        <w:tblLook w:val="06E0" w:firstRow="1" w:lastRow="1" w:firstColumn="1" w:lastColumn="0" w:noHBand="1" w:noVBand="1"/>
      </w:tblPr>
      <w:tblGrid>
        <w:gridCol w:w="4450"/>
        <w:gridCol w:w="765"/>
        <w:gridCol w:w="850"/>
        <w:gridCol w:w="850"/>
        <w:gridCol w:w="850"/>
      </w:tblGrid>
      <w:tr w:rsidR="00B32D50" w:rsidRPr="00173C22"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shd w:val="solid" w:color="000000" w:fill="auto"/>
          </w:tcPr>
          <w:p w:rsidR="00B32D50" w:rsidRPr="00173C22" w:rsidRDefault="00B32D50" w:rsidP="00F17BCD">
            <w:pPr>
              <w:autoSpaceDE w:val="0"/>
              <w:autoSpaceDN w:val="0"/>
              <w:adjustRightInd w:val="0"/>
              <w:rPr>
                <w:rFonts w:eastAsia="Times New Roman" w:cs="Calibri"/>
                <w:color w:val="FFFFFF"/>
                <w:szCs w:val="20"/>
                <w:lang w:eastAsia="en-AU"/>
              </w:rPr>
            </w:pPr>
          </w:p>
        </w:tc>
        <w:tc>
          <w:tcPr>
            <w:tcW w:w="765" w:type="dxa"/>
            <w:tcBorders>
              <w:top w:val="nil"/>
              <w:left w:val="nil"/>
              <w:bottom w:val="nil"/>
              <w:right w:val="nil"/>
            </w:tcBorders>
            <w:shd w:val="solid" w:color="000000" w:fill="auto"/>
          </w:tcPr>
          <w:p w:rsidR="00B32D50" w:rsidRPr="00173C22"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sidRPr="00173C22">
              <w:rPr>
                <w:rFonts w:eastAsia="Times New Roman" w:cs="Calibri"/>
                <w:iCs/>
                <w:color w:val="FFFFFF"/>
                <w:szCs w:val="20"/>
                <w:lang w:eastAsia="en-AU"/>
              </w:rPr>
              <w:t>2018-19</w:t>
            </w:r>
          </w:p>
        </w:tc>
        <w:tc>
          <w:tcPr>
            <w:tcW w:w="850" w:type="dxa"/>
            <w:tcBorders>
              <w:top w:val="nil"/>
              <w:left w:val="nil"/>
              <w:bottom w:val="nil"/>
              <w:right w:val="nil"/>
            </w:tcBorders>
            <w:shd w:val="solid" w:color="000000" w:fill="auto"/>
          </w:tcPr>
          <w:p w:rsidR="00B32D50" w:rsidRPr="00173C22"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sidRPr="00173C22">
              <w:rPr>
                <w:rFonts w:eastAsia="Times New Roman" w:cs="Calibri"/>
                <w:iCs/>
                <w:color w:val="FFFFFF"/>
                <w:szCs w:val="20"/>
                <w:lang w:eastAsia="en-AU"/>
              </w:rPr>
              <w:t>2019-20</w:t>
            </w:r>
          </w:p>
        </w:tc>
        <w:tc>
          <w:tcPr>
            <w:tcW w:w="850" w:type="dxa"/>
            <w:tcBorders>
              <w:top w:val="nil"/>
              <w:left w:val="nil"/>
              <w:bottom w:val="nil"/>
              <w:right w:val="nil"/>
            </w:tcBorders>
            <w:shd w:val="solid" w:color="000000" w:fill="auto"/>
          </w:tcPr>
          <w:p w:rsidR="00B32D50" w:rsidRPr="00173C22"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sidRPr="00173C22">
              <w:rPr>
                <w:rFonts w:eastAsia="Times New Roman" w:cs="Calibri"/>
                <w:iCs/>
                <w:color w:val="FFFFFF"/>
                <w:szCs w:val="20"/>
                <w:lang w:eastAsia="en-AU"/>
              </w:rPr>
              <w:t>2020-21</w:t>
            </w:r>
          </w:p>
        </w:tc>
        <w:tc>
          <w:tcPr>
            <w:tcW w:w="850" w:type="dxa"/>
            <w:tcBorders>
              <w:top w:val="nil"/>
              <w:left w:val="nil"/>
              <w:bottom w:val="nil"/>
              <w:right w:val="nil"/>
            </w:tcBorders>
            <w:shd w:val="solid" w:color="000000" w:fill="auto"/>
          </w:tcPr>
          <w:p w:rsidR="00B32D50" w:rsidRPr="00173C22"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sidRPr="00173C22">
              <w:rPr>
                <w:rFonts w:eastAsia="Times New Roman" w:cs="Calibri"/>
                <w:iCs/>
                <w:color w:val="FFFFFF"/>
                <w:szCs w:val="20"/>
                <w:lang w:eastAsia="en-AU"/>
              </w:rPr>
              <w:t>2021-22</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spacing w:after="0"/>
              <w:rPr>
                <w:rFonts w:asciiTheme="majorHAnsi" w:hAnsiTheme="majorHAnsi" w:cstheme="majorHAnsi"/>
                <w:szCs w:val="17"/>
              </w:rPr>
            </w:pPr>
            <w:r w:rsidRPr="00173C22">
              <w:rPr>
                <w:rFonts w:asciiTheme="majorHAnsi" w:hAnsiTheme="majorHAnsi" w:cstheme="majorHAnsi"/>
                <w:szCs w:val="17"/>
              </w:rPr>
              <w:t>2018-19 Summer Fire Campaign</w:t>
            </w:r>
          </w:p>
        </w:tc>
        <w:tc>
          <w:tcPr>
            <w:tcW w:w="765"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4.1</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spacing w:after="0"/>
              <w:rPr>
                <w:rFonts w:asciiTheme="majorHAnsi" w:hAnsiTheme="majorHAnsi" w:cstheme="majorHAnsi"/>
                <w:szCs w:val="17"/>
              </w:rPr>
            </w:pPr>
            <w:r w:rsidRPr="00173C22">
              <w:rPr>
                <w:rFonts w:asciiTheme="majorHAnsi" w:hAnsiTheme="majorHAnsi" w:cstheme="majorHAnsi"/>
                <w:szCs w:val="17"/>
              </w:rPr>
              <w:t>Aboriginal Justice Agreement Phase Four</w:t>
            </w:r>
          </w:p>
        </w:tc>
        <w:tc>
          <w:tcPr>
            <w:tcW w:w="765"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2.4</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3.8</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4.5</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4.4</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spacing w:after="0"/>
              <w:rPr>
                <w:rFonts w:asciiTheme="majorHAnsi" w:hAnsiTheme="majorHAnsi" w:cstheme="majorHAnsi"/>
                <w:szCs w:val="17"/>
              </w:rPr>
            </w:pPr>
            <w:r w:rsidRPr="00173C22">
              <w:rPr>
                <w:rFonts w:asciiTheme="majorHAnsi" w:hAnsiTheme="majorHAnsi" w:cstheme="majorHAnsi"/>
                <w:szCs w:val="17"/>
              </w:rPr>
              <w:t xml:space="preserve">Aviation Resources </w:t>
            </w:r>
          </w:p>
        </w:tc>
        <w:tc>
          <w:tcPr>
            <w:tcW w:w="765"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0.7</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spacing w:after="0"/>
              <w:rPr>
                <w:rFonts w:asciiTheme="majorHAnsi" w:hAnsiTheme="majorHAnsi" w:cstheme="majorHAnsi"/>
                <w:szCs w:val="17"/>
              </w:rPr>
            </w:pPr>
            <w:r w:rsidRPr="00173C22">
              <w:rPr>
                <w:rFonts w:asciiTheme="majorHAnsi" w:hAnsiTheme="majorHAnsi" w:cstheme="majorHAnsi"/>
                <w:szCs w:val="17"/>
              </w:rPr>
              <w:t xml:space="preserve">Caulfield Racecourse Reserve – </w:t>
            </w:r>
            <w:r w:rsidR="00420943">
              <w:rPr>
                <w:rFonts w:asciiTheme="majorHAnsi" w:hAnsiTheme="majorHAnsi" w:cstheme="majorHAnsi"/>
                <w:szCs w:val="17"/>
              </w:rPr>
              <w:br/>
            </w:r>
            <w:r w:rsidR="00C4434F">
              <w:rPr>
                <w:rFonts w:asciiTheme="majorHAnsi" w:hAnsiTheme="majorHAnsi" w:cstheme="majorHAnsi"/>
                <w:szCs w:val="17"/>
              </w:rPr>
              <w:t>r</w:t>
            </w:r>
            <w:r w:rsidR="00C4434F" w:rsidRPr="00173C22">
              <w:rPr>
                <w:rFonts w:asciiTheme="majorHAnsi" w:hAnsiTheme="majorHAnsi" w:cstheme="majorHAnsi"/>
                <w:szCs w:val="17"/>
              </w:rPr>
              <w:t xml:space="preserve">elocation </w:t>
            </w:r>
            <w:r w:rsidRPr="00173C22">
              <w:rPr>
                <w:rFonts w:asciiTheme="majorHAnsi" w:hAnsiTheme="majorHAnsi" w:cstheme="majorHAnsi"/>
                <w:szCs w:val="17"/>
              </w:rPr>
              <w:t>of thoroughbred training</w:t>
            </w:r>
          </w:p>
        </w:tc>
        <w:tc>
          <w:tcPr>
            <w:tcW w:w="765"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2.9</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6.9</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3.5</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spacing w:after="0"/>
              <w:rPr>
                <w:rFonts w:asciiTheme="majorHAnsi" w:hAnsiTheme="majorHAnsi" w:cstheme="majorHAnsi"/>
                <w:szCs w:val="17"/>
              </w:rPr>
            </w:pPr>
            <w:r w:rsidRPr="00173C22">
              <w:rPr>
                <w:rFonts w:asciiTheme="majorHAnsi" w:hAnsiTheme="majorHAnsi" w:cstheme="majorHAnsi"/>
                <w:szCs w:val="17"/>
              </w:rPr>
              <w:t>Corrections system capacity</w:t>
            </w:r>
          </w:p>
        </w:tc>
        <w:tc>
          <w:tcPr>
            <w:tcW w:w="765"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15.0</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rPr>
                <w:rFonts w:asciiTheme="majorHAnsi" w:hAnsiTheme="majorHAnsi" w:cstheme="majorHAnsi"/>
                <w:szCs w:val="17"/>
              </w:rPr>
            </w:pPr>
            <w:bookmarkStart w:id="122" w:name="_Hlk528050644"/>
            <w:r w:rsidRPr="00771A14">
              <w:rPr>
                <w:rFonts w:asciiTheme="majorHAnsi" w:hAnsiTheme="majorHAnsi" w:cstheme="majorHAnsi"/>
                <w:szCs w:val="17"/>
              </w:rPr>
              <w:t>Future emergency alert</w:t>
            </w:r>
            <w:bookmarkEnd w:id="122"/>
          </w:p>
        </w:tc>
        <w:tc>
          <w:tcPr>
            <w:tcW w:w="765" w:type="dxa"/>
            <w:tcBorders>
              <w:top w:val="nil"/>
              <w:left w:val="nil"/>
              <w:bottom w:val="nil"/>
              <w:right w:val="nil"/>
            </w:tcBorders>
            <w:shd w:val="clear" w:color="auto" w:fill="auto"/>
            <w:vAlign w:val="bottom"/>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1.0</w:t>
            </w:r>
          </w:p>
        </w:tc>
        <w:tc>
          <w:tcPr>
            <w:tcW w:w="850" w:type="dxa"/>
            <w:tcBorders>
              <w:top w:val="nil"/>
              <w:left w:val="nil"/>
              <w:bottom w:val="nil"/>
              <w:right w:val="nil"/>
            </w:tcBorders>
            <w:shd w:val="clear" w:color="auto" w:fill="auto"/>
            <w:vAlign w:val="bottom"/>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Pr>
                <w:rFonts w:asciiTheme="majorHAnsi" w:hAnsiTheme="majorHAnsi" w:cstheme="majorHAnsi"/>
                <w:color w:val="000000"/>
                <w:szCs w:val="17"/>
                <w:lang w:eastAsia="en-AU"/>
              </w:rPr>
              <w:t>..</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rPr>
                <w:rFonts w:asciiTheme="majorHAnsi" w:hAnsiTheme="majorHAnsi" w:cstheme="majorHAnsi"/>
                <w:szCs w:val="17"/>
              </w:rPr>
            </w:pPr>
            <w:r w:rsidRPr="00173C22">
              <w:rPr>
                <w:rFonts w:asciiTheme="majorHAnsi" w:hAnsiTheme="majorHAnsi" w:cstheme="majorHAnsi"/>
                <w:szCs w:val="17"/>
              </w:rPr>
              <w:t xml:space="preserve">National Redress Scheme for Institutional Child Sexual Abuse </w:t>
            </w:r>
          </w:p>
        </w:tc>
        <w:tc>
          <w:tcPr>
            <w:tcW w:w="765" w:type="dxa"/>
            <w:tcBorders>
              <w:top w:val="nil"/>
              <w:left w:val="nil"/>
              <w:bottom w:val="nil"/>
              <w:right w:val="nil"/>
            </w:tcBorders>
            <w:shd w:val="clear" w:color="auto" w:fill="auto"/>
            <w:vAlign w:val="bottom"/>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31.4</w:t>
            </w:r>
          </w:p>
        </w:tc>
        <w:tc>
          <w:tcPr>
            <w:tcW w:w="850" w:type="dxa"/>
            <w:tcBorders>
              <w:top w:val="nil"/>
              <w:left w:val="nil"/>
              <w:bottom w:val="nil"/>
              <w:right w:val="nil"/>
            </w:tcBorders>
            <w:shd w:val="clear" w:color="auto" w:fill="auto"/>
            <w:vAlign w:val="bottom"/>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72.7</w:t>
            </w:r>
          </w:p>
        </w:tc>
        <w:tc>
          <w:tcPr>
            <w:tcW w:w="850" w:type="dxa"/>
            <w:tcBorders>
              <w:top w:val="nil"/>
              <w:left w:val="nil"/>
              <w:bottom w:val="nil"/>
              <w:right w:val="nil"/>
            </w:tcBorders>
            <w:shd w:val="clear" w:color="auto" w:fill="auto"/>
            <w:vAlign w:val="bottom"/>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95.7</w:t>
            </w:r>
          </w:p>
        </w:tc>
        <w:tc>
          <w:tcPr>
            <w:tcW w:w="850" w:type="dxa"/>
            <w:tcBorders>
              <w:top w:val="nil"/>
              <w:left w:val="nil"/>
              <w:bottom w:val="nil"/>
              <w:right w:val="nil"/>
            </w:tcBorders>
            <w:shd w:val="clear" w:color="auto" w:fill="auto"/>
            <w:vAlign w:val="bottom"/>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95.1</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spacing w:after="0"/>
              <w:rPr>
                <w:rFonts w:asciiTheme="majorHAnsi" w:hAnsiTheme="majorHAnsi" w:cstheme="majorHAnsi"/>
                <w:szCs w:val="17"/>
              </w:rPr>
            </w:pPr>
            <w:r w:rsidRPr="00173C22">
              <w:rPr>
                <w:rFonts w:asciiTheme="majorHAnsi" w:hAnsiTheme="majorHAnsi" w:cstheme="majorHAnsi"/>
                <w:szCs w:val="17"/>
              </w:rPr>
              <w:t xml:space="preserve">Recovery activities – Barwon South West fires </w:t>
            </w:r>
          </w:p>
        </w:tc>
        <w:tc>
          <w:tcPr>
            <w:tcW w:w="765"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0.1</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173C22">
              <w:rPr>
                <w:rFonts w:asciiTheme="majorHAnsi" w:hAnsiTheme="majorHAnsi" w:cstheme="majorHAnsi"/>
                <w:color w:val="000000"/>
                <w:szCs w:val="17"/>
                <w:lang w:eastAsia="en-AU"/>
              </w:rPr>
              <w:t>..</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spacing w:after="0"/>
              <w:rPr>
                <w:rFonts w:asciiTheme="majorHAnsi" w:hAnsiTheme="majorHAnsi" w:cstheme="majorHAnsi"/>
                <w:szCs w:val="17"/>
              </w:rPr>
            </w:pPr>
            <w:r w:rsidRPr="00F32D64">
              <w:rPr>
                <w:rFonts w:asciiTheme="majorHAnsi" w:hAnsiTheme="majorHAnsi" w:cstheme="majorHAnsi"/>
                <w:szCs w:val="17"/>
              </w:rPr>
              <w:t xml:space="preserve">Support to progress agreements under the </w:t>
            </w:r>
            <w:r w:rsidRPr="00B24CE3">
              <w:rPr>
                <w:rFonts w:asciiTheme="majorHAnsi" w:hAnsiTheme="majorHAnsi" w:cstheme="majorHAnsi"/>
                <w:i/>
                <w:szCs w:val="17"/>
              </w:rPr>
              <w:t>Traditional Owner Settlement Act 2010</w:t>
            </w:r>
          </w:p>
        </w:tc>
        <w:tc>
          <w:tcPr>
            <w:tcW w:w="765" w:type="dxa"/>
            <w:tcBorders>
              <w:top w:val="nil"/>
              <w:left w:val="nil"/>
              <w:bottom w:val="nil"/>
              <w:right w:val="nil"/>
            </w:tcBorders>
            <w:shd w:val="clear" w:color="auto" w:fill="auto"/>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F8477C">
              <w:t>26.3</w:t>
            </w:r>
          </w:p>
        </w:tc>
        <w:tc>
          <w:tcPr>
            <w:tcW w:w="850" w:type="dxa"/>
            <w:tcBorders>
              <w:top w:val="nil"/>
              <w:left w:val="nil"/>
              <w:bottom w:val="nil"/>
              <w:right w:val="nil"/>
            </w:tcBorders>
            <w:shd w:val="clear" w:color="auto" w:fill="auto"/>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F8477C">
              <w:t>1.0</w:t>
            </w:r>
          </w:p>
        </w:tc>
        <w:tc>
          <w:tcPr>
            <w:tcW w:w="850" w:type="dxa"/>
            <w:tcBorders>
              <w:top w:val="nil"/>
              <w:left w:val="nil"/>
              <w:bottom w:val="nil"/>
              <w:right w:val="nil"/>
            </w:tcBorders>
            <w:shd w:val="clear" w:color="auto" w:fill="auto"/>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F8477C">
              <w:t>1.1</w:t>
            </w:r>
          </w:p>
        </w:tc>
        <w:tc>
          <w:tcPr>
            <w:tcW w:w="850" w:type="dxa"/>
            <w:tcBorders>
              <w:top w:val="nil"/>
              <w:left w:val="nil"/>
              <w:bottom w:val="nil"/>
              <w:right w:val="nil"/>
            </w:tcBorders>
            <w:shd w:val="clear" w:color="auto" w:fill="auto"/>
          </w:tcPr>
          <w:p w:rsidR="00B32D50" w:rsidRPr="00173C22"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Cs w:val="17"/>
                <w:lang w:eastAsia="en-AU"/>
              </w:rPr>
            </w:pPr>
            <w:r w:rsidRPr="00F8477C">
              <w:t>0.9</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tcBorders>
              <w:top w:val="nil"/>
              <w:left w:val="nil"/>
              <w:bottom w:val="nil"/>
              <w:right w:val="nil"/>
            </w:tcBorders>
          </w:tcPr>
          <w:p w:rsidR="00B32D50" w:rsidRPr="00173C22" w:rsidRDefault="00B32D50" w:rsidP="00F17BCD">
            <w:pPr>
              <w:rPr>
                <w:rFonts w:asciiTheme="majorHAnsi" w:hAnsiTheme="majorHAnsi" w:cstheme="majorHAnsi"/>
                <w:szCs w:val="17"/>
              </w:rPr>
            </w:pPr>
            <w:r w:rsidRPr="00173C22">
              <w:rPr>
                <w:rFonts w:asciiTheme="majorHAnsi" w:hAnsiTheme="majorHAnsi" w:cstheme="majorHAnsi"/>
                <w:szCs w:val="17"/>
              </w:rPr>
              <w:t xml:space="preserve">Victorian Racing Industry POCT Payment  </w:t>
            </w:r>
          </w:p>
        </w:tc>
        <w:tc>
          <w:tcPr>
            <w:tcW w:w="765" w:type="dxa"/>
            <w:tcBorders>
              <w:top w:val="nil"/>
              <w:left w:val="nil"/>
              <w:bottom w:val="nil"/>
              <w:right w:val="nil"/>
            </w:tcBorders>
            <w:shd w:val="clear" w:color="auto" w:fill="auto"/>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pPr>
            <w:r w:rsidRPr="00173C22">
              <w:t>6.4</w:t>
            </w:r>
          </w:p>
        </w:tc>
        <w:tc>
          <w:tcPr>
            <w:tcW w:w="850" w:type="dxa"/>
            <w:tcBorders>
              <w:top w:val="nil"/>
              <w:left w:val="nil"/>
              <w:bottom w:val="nil"/>
              <w:right w:val="nil"/>
            </w:tcBorders>
            <w:shd w:val="clear" w:color="auto" w:fill="auto"/>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pPr>
            <w:r w:rsidRPr="00173C22">
              <w:t>19.9</w:t>
            </w:r>
          </w:p>
        </w:tc>
        <w:tc>
          <w:tcPr>
            <w:tcW w:w="850" w:type="dxa"/>
            <w:tcBorders>
              <w:top w:val="nil"/>
              <w:left w:val="nil"/>
              <w:bottom w:val="nil"/>
              <w:right w:val="nil"/>
            </w:tcBorders>
            <w:shd w:val="clear" w:color="auto" w:fill="auto"/>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pPr>
            <w:r w:rsidRPr="00173C22">
              <w:t>20.4</w:t>
            </w:r>
          </w:p>
        </w:tc>
        <w:tc>
          <w:tcPr>
            <w:tcW w:w="850" w:type="dxa"/>
            <w:tcBorders>
              <w:top w:val="nil"/>
              <w:left w:val="nil"/>
              <w:bottom w:val="nil"/>
              <w:right w:val="nil"/>
            </w:tcBorders>
            <w:shd w:val="clear" w:color="auto" w:fill="auto"/>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pPr>
            <w:r w:rsidRPr="00173C22">
              <w:t>21.2</w:t>
            </w:r>
          </w:p>
        </w:tc>
      </w:tr>
      <w:tr w:rsidR="00B32D50" w:rsidRPr="00173C22" w:rsidTr="00F17BCD">
        <w:tc>
          <w:tcPr>
            <w:cnfStyle w:val="001000000000" w:firstRow="0" w:lastRow="0" w:firstColumn="1" w:lastColumn="0" w:oddVBand="0" w:evenVBand="0" w:oddHBand="0" w:evenHBand="0" w:firstRowFirstColumn="0" w:firstRowLastColumn="0" w:lastRowFirstColumn="0" w:lastRowLastColumn="0"/>
            <w:tcW w:w="4450" w:type="dxa"/>
            <w:shd w:val="clear" w:color="auto" w:fill="auto"/>
          </w:tcPr>
          <w:p w:rsidR="00B32D50" w:rsidRPr="00173C22" w:rsidRDefault="00B32D50" w:rsidP="00F17BCD">
            <w:pPr>
              <w:rPr>
                <w:rFonts w:asciiTheme="majorHAnsi" w:hAnsiTheme="majorHAnsi" w:cstheme="majorHAnsi"/>
                <w:szCs w:val="17"/>
              </w:rPr>
            </w:pPr>
            <w:r w:rsidRPr="00173C22">
              <w:rPr>
                <w:rFonts w:asciiTheme="majorHAnsi" w:hAnsiTheme="majorHAnsi" w:cstheme="majorHAnsi"/>
                <w:color w:val="000000"/>
                <w:szCs w:val="17"/>
                <w:lang w:eastAsia="en-AU"/>
              </w:rPr>
              <w:t>Wye River – Separation Creek bushfires</w:t>
            </w:r>
          </w:p>
        </w:tc>
        <w:tc>
          <w:tcPr>
            <w:tcW w:w="765" w:type="dxa"/>
            <w:shd w:val="clear" w:color="auto" w:fill="auto"/>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pPr>
            <w:r w:rsidRPr="00173C22">
              <w:rPr>
                <w:rFonts w:asciiTheme="majorHAnsi" w:hAnsiTheme="majorHAnsi" w:cstheme="majorHAnsi"/>
                <w:color w:val="000000"/>
                <w:szCs w:val="17"/>
                <w:lang w:eastAsia="en-AU"/>
              </w:rPr>
              <w:t>1.7</w:t>
            </w:r>
          </w:p>
        </w:tc>
        <w:tc>
          <w:tcPr>
            <w:tcW w:w="850" w:type="dxa"/>
            <w:shd w:val="clear" w:color="auto" w:fill="auto"/>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pPr>
            <w:r w:rsidRPr="00173C22">
              <w:rPr>
                <w:rFonts w:asciiTheme="majorHAnsi" w:hAnsiTheme="majorHAnsi" w:cstheme="majorHAnsi"/>
                <w:color w:val="000000"/>
                <w:szCs w:val="17"/>
                <w:lang w:eastAsia="en-AU"/>
              </w:rPr>
              <w:t>..</w:t>
            </w:r>
          </w:p>
        </w:tc>
        <w:tc>
          <w:tcPr>
            <w:tcW w:w="850" w:type="dxa"/>
            <w:shd w:val="clear" w:color="auto" w:fill="auto"/>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pPr>
            <w:r w:rsidRPr="00173C22">
              <w:rPr>
                <w:rFonts w:asciiTheme="majorHAnsi" w:hAnsiTheme="majorHAnsi" w:cstheme="majorHAnsi"/>
                <w:color w:val="000000"/>
                <w:szCs w:val="17"/>
                <w:lang w:eastAsia="en-AU"/>
              </w:rPr>
              <w:t>..</w:t>
            </w:r>
          </w:p>
        </w:tc>
        <w:tc>
          <w:tcPr>
            <w:tcW w:w="850" w:type="dxa"/>
            <w:shd w:val="clear" w:color="auto" w:fill="auto"/>
          </w:tcPr>
          <w:p w:rsidR="00B32D50" w:rsidRPr="00173C22" w:rsidRDefault="00B32D50" w:rsidP="00F17BCD">
            <w:pPr>
              <w:ind w:left="170" w:hanging="170"/>
              <w:cnfStyle w:val="000000000000" w:firstRow="0" w:lastRow="0" w:firstColumn="0" w:lastColumn="0" w:oddVBand="0" w:evenVBand="0" w:oddHBand="0" w:evenHBand="0" w:firstRowFirstColumn="0" w:firstRowLastColumn="0" w:lastRowFirstColumn="0" w:lastRowLastColumn="0"/>
            </w:pPr>
            <w:r w:rsidRPr="00173C22">
              <w:rPr>
                <w:rFonts w:asciiTheme="majorHAnsi" w:hAnsiTheme="majorHAnsi" w:cstheme="majorHAnsi"/>
                <w:color w:val="000000"/>
                <w:szCs w:val="17"/>
                <w:lang w:eastAsia="en-AU"/>
              </w:rPr>
              <w:t>..</w:t>
            </w:r>
          </w:p>
        </w:tc>
      </w:tr>
      <w:tr w:rsidR="00B32D50" w:rsidRPr="00173C22"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0" w:type="dxa"/>
            <w:tcBorders>
              <w:top w:val="single" w:sz="6" w:space="0" w:color="auto"/>
              <w:bottom w:val="single" w:sz="12" w:space="0" w:color="auto"/>
            </w:tcBorders>
          </w:tcPr>
          <w:p w:rsidR="00B32D50" w:rsidRPr="00173C22" w:rsidRDefault="00B32D50" w:rsidP="00F17BCD">
            <w:pPr>
              <w:autoSpaceDE w:val="0"/>
              <w:autoSpaceDN w:val="0"/>
              <w:adjustRightInd w:val="0"/>
              <w:rPr>
                <w:rFonts w:eastAsia="Times New Roman" w:cs="Calibri"/>
                <w:bCs/>
                <w:color w:val="000000"/>
                <w:szCs w:val="20"/>
                <w:vertAlign w:val="superscript"/>
                <w:lang w:eastAsia="en-AU"/>
              </w:rPr>
            </w:pPr>
            <w:r w:rsidRPr="00173C22">
              <w:rPr>
                <w:rFonts w:eastAsia="Times New Roman" w:cs="Calibri"/>
                <w:bCs/>
                <w:color w:val="000000"/>
                <w:szCs w:val="20"/>
                <w:lang w:eastAsia="en-AU"/>
              </w:rPr>
              <w:t xml:space="preserve">Total output initiatives </w:t>
            </w:r>
            <w:r w:rsidRPr="00173C22">
              <w:rPr>
                <w:rFonts w:eastAsia="Times New Roman" w:cs="Calibri"/>
                <w:bCs/>
                <w:color w:val="000000"/>
                <w:szCs w:val="20"/>
                <w:vertAlign w:val="superscript"/>
                <w:lang w:eastAsia="en-AU"/>
              </w:rPr>
              <w:t>(a)</w:t>
            </w:r>
          </w:p>
        </w:tc>
        <w:tc>
          <w:tcPr>
            <w:tcW w:w="765" w:type="dxa"/>
            <w:tcBorders>
              <w:top w:val="single" w:sz="6" w:space="0" w:color="auto"/>
              <w:bottom w:val="single" w:sz="12" w:space="0" w:color="auto"/>
            </w:tcBorders>
            <w:vAlign w:val="bottom"/>
          </w:tcPr>
          <w:p w:rsidR="00B32D50" w:rsidRPr="00173C22" w:rsidRDefault="00B32D50" w:rsidP="00F17BCD">
            <w:pPr>
              <w:spacing w:after="0"/>
              <w:ind w:left="170" w:hanging="170"/>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color w:val="000000"/>
                <w:szCs w:val="17"/>
                <w:lang w:eastAsia="en-AU"/>
              </w:rPr>
            </w:pPr>
            <w:r>
              <w:rPr>
                <w:rFonts w:asciiTheme="majorHAnsi" w:hAnsiTheme="majorHAnsi" w:cstheme="majorHAnsi"/>
                <w:color w:val="000000"/>
                <w:szCs w:val="17"/>
                <w:lang w:eastAsia="en-AU"/>
              </w:rPr>
              <w:t>89.1</w:t>
            </w:r>
          </w:p>
        </w:tc>
        <w:tc>
          <w:tcPr>
            <w:tcW w:w="850" w:type="dxa"/>
            <w:tcBorders>
              <w:top w:val="single" w:sz="6" w:space="0" w:color="auto"/>
              <w:bottom w:val="single" w:sz="12" w:space="0" w:color="auto"/>
            </w:tcBorders>
            <w:vAlign w:val="bottom"/>
          </w:tcPr>
          <w:p w:rsidR="00B32D50" w:rsidRPr="00173C22" w:rsidRDefault="00B32D50" w:rsidP="00F17BCD">
            <w:pPr>
              <w:spacing w:after="0"/>
              <w:ind w:left="170" w:hanging="170"/>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color w:val="000000"/>
                <w:szCs w:val="17"/>
                <w:lang w:eastAsia="en-AU"/>
              </w:rPr>
            </w:pPr>
            <w:r>
              <w:rPr>
                <w:rFonts w:asciiTheme="majorHAnsi" w:hAnsiTheme="majorHAnsi" w:cstheme="majorHAnsi"/>
                <w:color w:val="000000"/>
                <w:szCs w:val="17"/>
                <w:lang w:eastAsia="en-AU"/>
              </w:rPr>
              <w:t>100</w:t>
            </w:r>
            <w:r w:rsidRPr="00173C22">
              <w:rPr>
                <w:rFonts w:asciiTheme="majorHAnsi" w:hAnsiTheme="majorHAnsi" w:cstheme="majorHAnsi"/>
                <w:color w:val="000000"/>
                <w:szCs w:val="17"/>
                <w:lang w:eastAsia="en-AU"/>
              </w:rPr>
              <w:t>.3</w:t>
            </w:r>
          </w:p>
        </w:tc>
        <w:tc>
          <w:tcPr>
            <w:tcW w:w="850" w:type="dxa"/>
            <w:tcBorders>
              <w:top w:val="single" w:sz="6" w:space="0" w:color="auto"/>
              <w:bottom w:val="single" w:sz="12" w:space="0" w:color="auto"/>
            </w:tcBorders>
            <w:vAlign w:val="bottom"/>
          </w:tcPr>
          <w:p w:rsidR="00B32D50" w:rsidRPr="00173C22" w:rsidRDefault="00B32D50" w:rsidP="00F17BCD">
            <w:pPr>
              <w:spacing w:after="0"/>
              <w:ind w:left="170" w:hanging="170"/>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color w:val="000000"/>
                <w:szCs w:val="17"/>
                <w:lang w:eastAsia="en-AU"/>
              </w:rPr>
            </w:pPr>
            <w:r>
              <w:rPr>
                <w:rFonts w:asciiTheme="majorHAnsi" w:hAnsiTheme="majorHAnsi" w:cstheme="majorHAnsi"/>
                <w:color w:val="000000"/>
                <w:szCs w:val="17"/>
                <w:lang w:eastAsia="en-AU"/>
              </w:rPr>
              <w:t>128</w:t>
            </w:r>
            <w:r w:rsidRPr="00173C22">
              <w:rPr>
                <w:rFonts w:asciiTheme="majorHAnsi" w:hAnsiTheme="majorHAnsi" w:cstheme="majorHAnsi"/>
                <w:color w:val="000000"/>
                <w:szCs w:val="17"/>
                <w:lang w:eastAsia="en-AU"/>
              </w:rPr>
              <w:t>.5</w:t>
            </w:r>
          </w:p>
        </w:tc>
        <w:tc>
          <w:tcPr>
            <w:tcW w:w="850" w:type="dxa"/>
            <w:tcBorders>
              <w:top w:val="single" w:sz="6" w:space="0" w:color="auto"/>
              <w:bottom w:val="single" w:sz="12" w:space="0" w:color="auto"/>
            </w:tcBorders>
            <w:vAlign w:val="bottom"/>
          </w:tcPr>
          <w:p w:rsidR="00B32D50" w:rsidRPr="00173C22" w:rsidRDefault="00B32D50" w:rsidP="00F17BCD">
            <w:pPr>
              <w:spacing w:after="0"/>
              <w:ind w:left="170" w:hanging="170"/>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color w:val="000000"/>
                <w:szCs w:val="17"/>
                <w:lang w:eastAsia="en-AU"/>
              </w:rPr>
            </w:pPr>
            <w:r>
              <w:rPr>
                <w:rFonts w:asciiTheme="majorHAnsi" w:hAnsiTheme="majorHAnsi" w:cstheme="majorHAnsi"/>
                <w:color w:val="000000"/>
                <w:szCs w:val="17"/>
                <w:lang w:eastAsia="en-AU"/>
              </w:rPr>
              <w:t>125.1</w:t>
            </w:r>
          </w:p>
        </w:tc>
      </w:tr>
    </w:tbl>
    <w:p w:rsidR="00B32D50" w:rsidRPr="00173C22" w:rsidRDefault="00B32D50" w:rsidP="00F17BCD">
      <w:pPr>
        <w:spacing w:before="20"/>
        <w:ind w:left="284" w:hanging="284"/>
        <w:contextualSpacing/>
        <w:rPr>
          <w:rFonts w:ascii="Calibri" w:eastAsia="Garamond" w:hAnsi="Calibri"/>
          <w:i/>
          <w:spacing w:val="-2"/>
          <w:sz w:val="14"/>
          <w:lang w:eastAsia="en-AU"/>
        </w:rPr>
      </w:pPr>
      <w:r w:rsidRPr="00173C22">
        <w:rPr>
          <w:rFonts w:ascii="Calibri" w:eastAsia="Garamond" w:hAnsi="Calibri"/>
          <w:i/>
          <w:spacing w:val="-2"/>
          <w:sz w:val="14"/>
          <w:lang w:eastAsia="en-AU"/>
        </w:rPr>
        <w:t>Note:</w:t>
      </w:r>
    </w:p>
    <w:p w:rsidR="00B32D50" w:rsidRPr="00173C22" w:rsidRDefault="00B32D50" w:rsidP="00F17BCD">
      <w:pPr>
        <w:spacing w:before="20"/>
        <w:ind w:left="284" w:hanging="284"/>
        <w:contextualSpacing/>
        <w:rPr>
          <w:rFonts w:ascii="Calibri" w:eastAsia="Garamond" w:hAnsi="Calibri"/>
          <w:i/>
          <w:spacing w:val="-2"/>
          <w:sz w:val="14"/>
        </w:rPr>
      </w:pPr>
      <w:r w:rsidRPr="00173C22">
        <w:rPr>
          <w:rFonts w:ascii="Calibri" w:eastAsia="Garamond" w:hAnsi="Calibri"/>
          <w:i/>
          <w:spacing w:val="-2"/>
          <w:sz w:val="14"/>
          <w:lang w:eastAsia="en-AU"/>
        </w:rPr>
        <w:t>(a)</w:t>
      </w:r>
      <w:r w:rsidRPr="00173C22">
        <w:rPr>
          <w:rFonts w:ascii="Calibri" w:eastAsia="Garamond" w:hAnsi="Calibri"/>
          <w:i/>
          <w:spacing w:val="-2"/>
          <w:sz w:val="14"/>
          <w:lang w:eastAsia="en-AU"/>
        </w:rPr>
        <w:tab/>
        <w:t>Table may not add due to rounding.</w:t>
      </w:r>
    </w:p>
    <w:p w:rsidR="00B32D50" w:rsidRPr="00173C22" w:rsidRDefault="00B32D50" w:rsidP="00F17BCD">
      <w:pPr>
        <w:pStyle w:val="Heading30"/>
      </w:pPr>
      <w:r w:rsidRPr="00173C22">
        <w:t>2018-19 Summer Fire Campaign</w:t>
      </w:r>
    </w:p>
    <w:p w:rsidR="00B32D50" w:rsidRPr="00173C22" w:rsidRDefault="00B32D50" w:rsidP="00F17BCD">
      <w:pPr>
        <w:rPr>
          <w:rFonts w:cstheme="majorHAnsi"/>
          <w:color w:val="000000" w:themeColor="text1"/>
          <w:szCs w:val="24"/>
        </w:rPr>
      </w:pPr>
      <w:r w:rsidRPr="00173C22">
        <w:rPr>
          <w:rFonts w:cstheme="majorHAnsi"/>
          <w:color w:val="000000" w:themeColor="text1"/>
          <w:szCs w:val="24"/>
        </w:rPr>
        <w:t>A program of public fire safety information and education will be delivered through a combination of direct marketing, traditional and social media, and public relations. The program will provide fire safety advice and promote community awareness of fire risk and planning in preparation for the 2018-19 summer.</w:t>
      </w:r>
    </w:p>
    <w:p w:rsidR="00B32D50" w:rsidRPr="00173C22" w:rsidRDefault="00B32D50" w:rsidP="00F17BCD">
      <w:pPr>
        <w:rPr>
          <w:rFonts w:cstheme="majorHAnsi"/>
          <w:color w:val="000000" w:themeColor="text1"/>
          <w:szCs w:val="24"/>
        </w:rPr>
      </w:pPr>
      <w:r w:rsidRPr="00173C22">
        <w:rPr>
          <w:rFonts w:cstheme="majorHAnsi"/>
          <w:color w:val="000000" w:themeColor="text1"/>
          <w:szCs w:val="24"/>
        </w:rPr>
        <w:t>This initiative contributes to the Department of Justice and Regulation</w:t>
      </w:r>
      <w:r>
        <w:rPr>
          <w:rFonts w:cstheme="majorHAnsi"/>
          <w:color w:val="000000" w:themeColor="text1"/>
          <w:szCs w:val="24"/>
        </w:rPr>
        <w:t>’</w:t>
      </w:r>
      <w:r w:rsidRPr="00173C22">
        <w:rPr>
          <w:rFonts w:cstheme="majorHAnsi"/>
          <w:color w:val="000000" w:themeColor="text1"/>
          <w:szCs w:val="24"/>
        </w:rPr>
        <w:t>s Emergency Management Capability output.</w:t>
      </w:r>
    </w:p>
    <w:p w:rsidR="00B32D50" w:rsidRPr="00173C22" w:rsidRDefault="00B32D50" w:rsidP="00F17BCD">
      <w:pPr>
        <w:pStyle w:val="Heading30"/>
      </w:pPr>
      <w:r w:rsidRPr="00173C22">
        <w:t>Aboriginal Justice Agreement Phase Four</w:t>
      </w:r>
    </w:p>
    <w:p w:rsidR="00B32D50" w:rsidRPr="00173C22" w:rsidRDefault="00B32D50" w:rsidP="00F17BCD">
      <w:r>
        <w:t>Funding will be</w:t>
      </w:r>
      <w:r w:rsidRPr="00173C22">
        <w:t xml:space="preserve"> provided for Aboriginal community-led initiatives under Burra Lotjpa Dunguludja: Victorian Aboriginal Justice Agreement Phase Four. </w:t>
      </w:r>
      <w:r>
        <w:t>S</w:t>
      </w:r>
      <w:r w:rsidRPr="00173C22">
        <w:t xml:space="preserve">everal initiatives </w:t>
      </w:r>
      <w:r>
        <w:t xml:space="preserve">will be implemented </w:t>
      </w:r>
      <w:r w:rsidRPr="00173C22">
        <w:t>to improve access to justice for Aboriginal Victorians and to reduce their over-representation in the criminal justice system, including:</w:t>
      </w:r>
    </w:p>
    <w:p w:rsidR="00B32D50" w:rsidRPr="00B24CE3" w:rsidRDefault="00B32D50" w:rsidP="00F17BCD">
      <w:pPr>
        <w:pStyle w:val="ListBullet"/>
      </w:pPr>
      <w:r w:rsidRPr="00B24CE3">
        <w:t>supporting community-led projects, including diversion for Aboriginal women and young people;</w:t>
      </w:r>
    </w:p>
    <w:p w:rsidR="00B32D50" w:rsidRPr="00B24CE3" w:rsidRDefault="00B32D50" w:rsidP="00F17BCD">
      <w:pPr>
        <w:pStyle w:val="ListBullet"/>
      </w:pPr>
      <w:r w:rsidRPr="00B24CE3">
        <w:t xml:space="preserve">expanding Baroona Youth Healing Place to provide an alternative to remand for young Aboriginal people; </w:t>
      </w:r>
    </w:p>
    <w:p w:rsidR="00B32D50" w:rsidRPr="00B24CE3" w:rsidRDefault="00B32D50" w:rsidP="00F17BCD">
      <w:pPr>
        <w:pStyle w:val="ListBullet"/>
      </w:pPr>
      <w:r w:rsidRPr="00B24CE3">
        <w:t>providing intensive support for vulnerable families; and</w:t>
      </w:r>
    </w:p>
    <w:p w:rsidR="00B32D50" w:rsidRPr="00B24CE3" w:rsidRDefault="00B32D50" w:rsidP="00F17BCD">
      <w:pPr>
        <w:pStyle w:val="ListBullet"/>
      </w:pPr>
      <w:r w:rsidRPr="00B24CE3">
        <w:t>providing support for the Aboriginal Justice Caucus.</w:t>
      </w:r>
    </w:p>
    <w:p w:rsidR="00B32D50" w:rsidRPr="00173C22" w:rsidRDefault="00B32D50" w:rsidP="00F17BCD">
      <w:r w:rsidRPr="00173C22">
        <w:t>This initiative contributes to the Department of Justice and Regulation</w:t>
      </w:r>
      <w:r>
        <w:t>’</w:t>
      </w:r>
      <w:r w:rsidRPr="00173C22">
        <w:t>s Victims and Community Support Services output.</w:t>
      </w:r>
    </w:p>
    <w:p w:rsidR="00B32D50" w:rsidRPr="00173C22" w:rsidRDefault="00B32D50" w:rsidP="00420943"/>
    <w:p w:rsidR="00B32D50" w:rsidRPr="00420943" w:rsidRDefault="00B32D50" w:rsidP="00420943">
      <w:pPr>
        <w:pStyle w:val="Heading30"/>
      </w:pPr>
      <w:r w:rsidRPr="00420943">
        <w:lastRenderedPageBreak/>
        <w:t xml:space="preserve">Aviation Resources </w:t>
      </w:r>
    </w:p>
    <w:p w:rsidR="00B32D50" w:rsidRPr="00173C22" w:rsidRDefault="00B32D50" w:rsidP="00F17BCD">
      <w:pPr>
        <w:rPr>
          <w:rFonts w:cstheme="majorHAnsi"/>
          <w:color w:val="000000" w:themeColor="text1"/>
          <w:szCs w:val="24"/>
        </w:rPr>
      </w:pPr>
      <w:r w:rsidRPr="00173C22">
        <w:rPr>
          <w:rFonts w:cstheme="majorHAnsi"/>
          <w:color w:val="000000" w:themeColor="text1"/>
          <w:szCs w:val="24"/>
        </w:rPr>
        <w:t xml:space="preserve">Refer to the initiative description under Department of Environment, Land, Water and Planning. </w:t>
      </w:r>
    </w:p>
    <w:p w:rsidR="00B32D50" w:rsidRPr="00173C22" w:rsidRDefault="00B32D50" w:rsidP="00F17BCD">
      <w:pPr>
        <w:rPr>
          <w:rFonts w:cstheme="majorHAnsi"/>
          <w:color w:val="000000" w:themeColor="text1"/>
          <w:szCs w:val="24"/>
        </w:rPr>
      </w:pPr>
      <w:r w:rsidRPr="00173C22">
        <w:rPr>
          <w:rFonts w:cstheme="majorHAnsi"/>
          <w:color w:val="000000" w:themeColor="text1"/>
          <w:szCs w:val="24"/>
        </w:rPr>
        <w:t>This initiative contributes to the Department of Justice and Regulation</w:t>
      </w:r>
      <w:r>
        <w:rPr>
          <w:rFonts w:cstheme="majorHAnsi"/>
          <w:color w:val="000000" w:themeColor="text1"/>
          <w:szCs w:val="24"/>
        </w:rPr>
        <w:t>’</w:t>
      </w:r>
      <w:r w:rsidRPr="00173C22">
        <w:rPr>
          <w:rFonts w:cstheme="majorHAnsi"/>
          <w:color w:val="000000" w:themeColor="text1"/>
          <w:szCs w:val="24"/>
        </w:rPr>
        <w:t>s Emergency Management Capability output.</w:t>
      </w:r>
    </w:p>
    <w:p w:rsidR="00B32D50" w:rsidRPr="00173C22" w:rsidRDefault="00B32D50" w:rsidP="00F17BCD">
      <w:pPr>
        <w:pStyle w:val="Heading30"/>
      </w:pPr>
      <w:r w:rsidRPr="00173C22">
        <w:t xml:space="preserve">Caulfield Racecourse Reserve – </w:t>
      </w:r>
      <w:r w:rsidR="00C4434F" w:rsidRPr="00173C22">
        <w:t xml:space="preserve">relocation </w:t>
      </w:r>
      <w:r w:rsidRPr="00173C22">
        <w:t>of thoroughbred training</w:t>
      </w:r>
    </w:p>
    <w:p w:rsidR="00B32D50" w:rsidRPr="00173C22" w:rsidRDefault="00B32D50" w:rsidP="00F17BCD">
      <w:pPr>
        <w:rPr>
          <w:rFonts w:cstheme="majorHAnsi"/>
          <w:color w:val="000000" w:themeColor="text1"/>
          <w:szCs w:val="24"/>
        </w:rPr>
      </w:pPr>
      <w:r>
        <w:rPr>
          <w:rFonts w:cstheme="majorHAnsi"/>
          <w:color w:val="000000" w:themeColor="text1"/>
          <w:szCs w:val="24"/>
        </w:rPr>
        <w:t>Funding will be</w:t>
      </w:r>
      <w:r w:rsidRPr="00173C22">
        <w:rPr>
          <w:rFonts w:cstheme="majorHAnsi"/>
          <w:color w:val="000000" w:themeColor="text1"/>
          <w:szCs w:val="24"/>
        </w:rPr>
        <w:t xml:space="preserve"> provided to assist with the relocation of thoroughbred training from Caulfield Racecourse to the Cranbourne Turf Club and </w:t>
      </w:r>
      <w:bookmarkStart w:id="123" w:name="_Hlk525207151"/>
      <w:r w:rsidRPr="00173C22">
        <w:rPr>
          <w:rFonts w:cstheme="majorHAnsi"/>
          <w:color w:val="000000" w:themeColor="text1"/>
          <w:szCs w:val="24"/>
        </w:rPr>
        <w:t xml:space="preserve">Pakenham </w:t>
      </w:r>
      <w:bookmarkEnd w:id="123"/>
      <w:r w:rsidRPr="00173C22">
        <w:rPr>
          <w:rFonts w:cstheme="majorHAnsi"/>
          <w:color w:val="000000" w:themeColor="text1"/>
          <w:szCs w:val="24"/>
        </w:rPr>
        <w:t>Racing Club. This will enable the consolidation and improvement of world-class training facilitates at Cranbourne Turf Club and Pakenham Racing Club, and optimise access to public space for the community.</w:t>
      </w:r>
    </w:p>
    <w:p w:rsidR="00B32D50" w:rsidRPr="00173C22" w:rsidRDefault="00B32D50" w:rsidP="00F17BCD">
      <w:pPr>
        <w:rPr>
          <w:rFonts w:cstheme="majorHAnsi"/>
          <w:color w:val="000000" w:themeColor="text1"/>
          <w:szCs w:val="24"/>
        </w:rPr>
      </w:pPr>
      <w:r w:rsidRPr="00173C22">
        <w:rPr>
          <w:rFonts w:cstheme="majorHAnsi"/>
          <w:color w:val="000000" w:themeColor="text1"/>
          <w:szCs w:val="24"/>
        </w:rPr>
        <w:t>This initiative contributes to the Department of Justice and Regulation</w:t>
      </w:r>
      <w:r>
        <w:rPr>
          <w:rFonts w:cstheme="majorHAnsi"/>
          <w:color w:val="000000" w:themeColor="text1"/>
          <w:szCs w:val="24"/>
        </w:rPr>
        <w:t>’</w:t>
      </w:r>
      <w:r w:rsidRPr="00173C22">
        <w:rPr>
          <w:rFonts w:cstheme="majorHAnsi"/>
          <w:color w:val="000000" w:themeColor="text1"/>
          <w:szCs w:val="24"/>
        </w:rPr>
        <w:t>s Gambling, Liquor and Racing output.</w:t>
      </w:r>
    </w:p>
    <w:p w:rsidR="00B32D50" w:rsidRPr="00173C22" w:rsidRDefault="00B32D50" w:rsidP="00F17BCD">
      <w:pPr>
        <w:pStyle w:val="Heading30"/>
      </w:pPr>
      <w:r w:rsidRPr="00173C22">
        <w:t>Corrections system capacity</w:t>
      </w:r>
    </w:p>
    <w:p w:rsidR="00B32D50" w:rsidRPr="00173C22" w:rsidRDefault="00B32D50" w:rsidP="00F17BCD">
      <w:pPr>
        <w:rPr>
          <w:rFonts w:cstheme="majorHAnsi"/>
          <w:color w:val="000000" w:themeColor="text1"/>
          <w:szCs w:val="24"/>
        </w:rPr>
      </w:pPr>
      <w:r>
        <w:rPr>
          <w:rFonts w:cstheme="majorHAnsi"/>
          <w:color w:val="000000" w:themeColor="text1"/>
          <w:szCs w:val="24"/>
        </w:rPr>
        <w:t>Funding will be</w:t>
      </w:r>
      <w:r w:rsidRPr="00173C22">
        <w:rPr>
          <w:rFonts w:cstheme="majorHAnsi"/>
          <w:color w:val="000000" w:themeColor="text1"/>
          <w:szCs w:val="24"/>
        </w:rPr>
        <w:t xml:space="preserve"> provided to open 160 new beds and increase capacity in the men</w:t>
      </w:r>
      <w:r>
        <w:rPr>
          <w:rFonts w:cstheme="majorHAnsi"/>
          <w:color w:val="000000" w:themeColor="text1"/>
          <w:szCs w:val="24"/>
        </w:rPr>
        <w:t>’</w:t>
      </w:r>
      <w:r w:rsidRPr="00173C22">
        <w:rPr>
          <w:rFonts w:cstheme="majorHAnsi"/>
          <w:color w:val="000000" w:themeColor="text1"/>
          <w:szCs w:val="24"/>
        </w:rPr>
        <w:t>s and women</w:t>
      </w:r>
      <w:r>
        <w:rPr>
          <w:rFonts w:cstheme="majorHAnsi"/>
          <w:color w:val="000000" w:themeColor="text1"/>
          <w:szCs w:val="24"/>
        </w:rPr>
        <w:t>’</w:t>
      </w:r>
      <w:r w:rsidRPr="00173C22">
        <w:rPr>
          <w:rFonts w:cstheme="majorHAnsi"/>
          <w:color w:val="000000" w:themeColor="text1"/>
          <w:szCs w:val="24"/>
        </w:rPr>
        <w:t xml:space="preserve">s prison systems through extending weekend reception operating hours for Melbourne Assessment Prison, measures to divert more people away from remand and planning further options to increase capacity to meet expected demand. </w:t>
      </w:r>
    </w:p>
    <w:p w:rsidR="00B32D50" w:rsidRPr="00173C22" w:rsidRDefault="00B32D50" w:rsidP="00F17BCD">
      <w:pPr>
        <w:rPr>
          <w:rFonts w:cstheme="majorHAnsi"/>
          <w:color w:val="000000" w:themeColor="text1"/>
          <w:szCs w:val="24"/>
        </w:rPr>
      </w:pPr>
      <w:r w:rsidRPr="00173C22">
        <w:rPr>
          <w:rFonts w:cstheme="majorHAnsi"/>
          <w:color w:val="000000" w:themeColor="text1"/>
          <w:szCs w:val="24"/>
        </w:rPr>
        <w:t>This initiative contributes to the Department of Justice and Regulation</w:t>
      </w:r>
      <w:r>
        <w:rPr>
          <w:rFonts w:cstheme="majorHAnsi"/>
          <w:color w:val="000000" w:themeColor="text1"/>
          <w:szCs w:val="24"/>
        </w:rPr>
        <w:t>’</w:t>
      </w:r>
      <w:r w:rsidRPr="00173C22">
        <w:rPr>
          <w:rFonts w:cstheme="majorHAnsi"/>
          <w:color w:val="000000" w:themeColor="text1"/>
          <w:szCs w:val="24"/>
        </w:rPr>
        <w:t>s Prisoner Supervision and Support output.</w:t>
      </w:r>
    </w:p>
    <w:p w:rsidR="00B32D50" w:rsidRDefault="00B32D50" w:rsidP="00F17BCD">
      <w:pPr>
        <w:pStyle w:val="Heading30"/>
      </w:pPr>
      <w:bookmarkStart w:id="124" w:name="_Hlk528050846"/>
      <w:r w:rsidRPr="00771A14">
        <w:t>Future emergency alert</w:t>
      </w:r>
    </w:p>
    <w:p w:rsidR="00B32D50" w:rsidRDefault="00B32D50" w:rsidP="00F17BCD">
      <w:r>
        <w:t>R</w:t>
      </w:r>
      <w:r w:rsidRPr="00812B97">
        <w:t xml:space="preserve">efer to the </w:t>
      </w:r>
      <w:r>
        <w:t xml:space="preserve">asset description </w:t>
      </w:r>
      <w:r w:rsidRPr="00812B97">
        <w:t>of this initiativ</w:t>
      </w:r>
      <w:r>
        <w:t>e.</w:t>
      </w:r>
    </w:p>
    <w:bookmarkEnd w:id="124"/>
    <w:p w:rsidR="00B32D50" w:rsidRPr="00173C22" w:rsidRDefault="00B32D50" w:rsidP="00F17BCD">
      <w:pPr>
        <w:pStyle w:val="Heading30"/>
      </w:pPr>
      <w:r w:rsidRPr="00173C22">
        <w:t xml:space="preserve">National Redress Scheme for Institutional Child Sexual Abuse </w:t>
      </w:r>
    </w:p>
    <w:p w:rsidR="00B32D50" w:rsidRPr="00173C22" w:rsidRDefault="00B32D50" w:rsidP="00F17BCD">
      <w:pPr>
        <w:ind w:right="-227"/>
        <w:rPr>
          <w:rFonts w:cstheme="majorHAnsi"/>
          <w:color w:val="000000" w:themeColor="text1"/>
          <w:szCs w:val="24"/>
        </w:rPr>
      </w:pPr>
      <w:r>
        <w:rPr>
          <w:rFonts w:cstheme="majorHAnsi"/>
          <w:color w:val="000000" w:themeColor="text1"/>
          <w:szCs w:val="24"/>
        </w:rPr>
        <w:t>Funding will be</w:t>
      </w:r>
      <w:r w:rsidRPr="00173C22">
        <w:rPr>
          <w:rFonts w:cstheme="majorHAnsi"/>
          <w:color w:val="000000" w:themeColor="text1"/>
          <w:szCs w:val="24"/>
        </w:rPr>
        <w:t xml:space="preserve"> provided for Victoria</w:t>
      </w:r>
      <w:r>
        <w:rPr>
          <w:rFonts w:cstheme="majorHAnsi"/>
          <w:color w:val="000000" w:themeColor="text1"/>
          <w:szCs w:val="24"/>
        </w:rPr>
        <w:t>’</w:t>
      </w:r>
      <w:r w:rsidRPr="00173C22">
        <w:rPr>
          <w:rFonts w:cstheme="majorHAnsi"/>
          <w:color w:val="000000" w:themeColor="text1"/>
          <w:szCs w:val="24"/>
        </w:rPr>
        <w:t>s participation in the National Redress Scheme over 10 years from 1 July 2018. The scheme will deliver a financial payment of up to $150 000</w:t>
      </w:r>
      <w:r>
        <w:rPr>
          <w:rFonts w:cstheme="majorHAnsi"/>
          <w:color w:val="000000" w:themeColor="text1"/>
          <w:szCs w:val="24"/>
        </w:rPr>
        <w:t xml:space="preserve"> to </w:t>
      </w:r>
      <w:r w:rsidRPr="00173C22">
        <w:rPr>
          <w:rFonts w:cstheme="majorHAnsi"/>
          <w:color w:val="000000" w:themeColor="text1"/>
          <w:szCs w:val="24"/>
        </w:rPr>
        <w:t xml:space="preserve">eligible individual claimants, access to psychological counselling and a direct personal response – such as an apology from the responsible institution – to eligible survivors of institutional child abuse. This implements recommendations of the Victorian Parliamentary Inquiry Betrayal of Trust report and the Royal Commission into Institutional Responses to Child Sexual Abuse. </w:t>
      </w:r>
    </w:p>
    <w:p w:rsidR="00B32D50" w:rsidRDefault="00B32D50" w:rsidP="00F17BCD">
      <w:pPr>
        <w:rPr>
          <w:rFonts w:cstheme="majorHAnsi"/>
          <w:color w:val="000000" w:themeColor="text1"/>
          <w:szCs w:val="24"/>
        </w:rPr>
      </w:pPr>
      <w:r w:rsidRPr="00173C22">
        <w:rPr>
          <w:rFonts w:cstheme="majorHAnsi"/>
          <w:color w:val="000000" w:themeColor="text1"/>
          <w:szCs w:val="24"/>
        </w:rPr>
        <w:t>This initiative contributes to the Department of Justice and Regulation</w:t>
      </w:r>
      <w:r>
        <w:rPr>
          <w:rFonts w:cstheme="majorHAnsi"/>
          <w:color w:val="000000" w:themeColor="text1"/>
          <w:szCs w:val="24"/>
        </w:rPr>
        <w:t>’</w:t>
      </w:r>
      <w:r w:rsidRPr="00173C22">
        <w:rPr>
          <w:rFonts w:cstheme="majorHAnsi"/>
          <w:color w:val="000000" w:themeColor="text1"/>
          <w:szCs w:val="24"/>
        </w:rPr>
        <w:t>s Criminal Law Support and Reform output.</w:t>
      </w:r>
    </w:p>
    <w:p w:rsidR="00B32D50" w:rsidRDefault="00B32D50">
      <w:pPr>
        <w:keepLines w:val="0"/>
        <w:rPr>
          <w:rFonts w:asciiTheme="majorHAnsi" w:eastAsiaTheme="majorEastAsia" w:hAnsiTheme="majorHAnsi" w:cstheme="majorBidi"/>
          <w:b/>
          <w:bCs/>
          <w:spacing w:val="-2"/>
          <w:szCs w:val="26"/>
        </w:rPr>
      </w:pPr>
      <w:r>
        <w:br w:type="page"/>
      </w:r>
    </w:p>
    <w:p w:rsidR="00B32D50" w:rsidRPr="00173C22" w:rsidRDefault="00B32D50" w:rsidP="00F17BCD">
      <w:pPr>
        <w:pStyle w:val="Heading30"/>
        <w:rPr>
          <w:rFonts w:asciiTheme="minorHAnsi" w:eastAsiaTheme="minorHAnsi" w:hAnsiTheme="minorHAnsi" w:cstheme="majorHAnsi"/>
          <w:i/>
          <w:color w:val="000000" w:themeColor="text1"/>
          <w:szCs w:val="24"/>
        </w:rPr>
      </w:pPr>
      <w:r w:rsidRPr="00173C22">
        <w:lastRenderedPageBreak/>
        <w:t xml:space="preserve">Recovery activities – Barwon South West fires </w:t>
      </w:r>
    </w:p>
    <w:p w:rsidR="00B32D50" w:rsidRPr="00173C22" w:rsidRDefault="00B32D50" w:rsidP="00F17BCD">
      <w:pPr>
        <w:rPr>
          <w:rFonts w:cstheme="majorHAnsi"/>
          <w:color w:val="000000" w:themeColor="text1"/>
          <w:szCs w:val="24"/>
        </w:rPr>
      </w:pPr>
      <w:r w:rsidRPr="00173C22">
        <w:rPr>
          <w:rFonts w:cstheme="majorHAnsi"/>
          <w:color w:val="000000" w:themeColor="text1"/>
          <w:szCs w:val="24"/>
        </w:rPr>
        <w:t>Funding will be provided for community recovery activities and restoration and rehabilitation works arising from the March 2018 Barwon South West fires.</w:t>
      </w:r>
    </w:p>
    <w:p w:rsidR="00B32D50" w:rsidRPr="00173C22" w:rsidRDefault="00B32D50" w:rsidP="00F17BCD">
      <w:pPr>
        <w:rPr>
          <w:rFonts w:cstheme="majorHAnsi"/>
          <w:color w:val="000000" w:themeColor="text1"/>
          <w:szCs w:val="24"/>
        </w:rPr>
      </w:pPr>
      <w:bookmarkStart w:id="125" w:name="_Hlk526170556"/>
      <w:r w:rsidRPr="00173C22">
        <w:rPr>
          <w:rFonts w:cstheme="majorHAnsi"/>
          <w:color w:val="000000" w:themeColor="text1"/>
          <w:szCs w:val="24"/>
        </w:rPr>
        <w:t>This initiative contributes to the Department of Justice and Regulation</w:t>
      </w:r>
      <w:r>
        <w:rPr>
          <w:rFonts w:cstheme="majorHAnsi"/>
          <w:color w:val="000000" w:themeColor="text1"/>
          <w:szCs w:val="24"/>
        </w:rPr>
        <w:t>’</w:t>
      </w:r>
      <w:r w:rsidRPr="00173C22">
        <w:rPr>
          <w:rFonts w:cstheme="majorHAnsi"/>
          <w:color w:val="000000" w:themeColor="text1"/>
          <w:szCs w:val="24"/>
        </w:rPr>
        <w:t xml:space="preserve">s Emergency Management Capability output. </w:t>
      </w:r>
    </w:p>
    <w:bookmarkEnd w:id="125"/>
    <w:p w:rsidR="00B32D50" w:rsidRPr="00373CE8" w:rsidRDefault="00B32D50" w:rsidP="00F17BCD">
      <w:pPr>
        <w:pStyle w:val="Heading30"/>
      </w:pPr>
      <w:r w:rsidRPr="00373CE8">
        <w:t xml:space="preserve">Support to progress agreements under the </w:t>
      </w:r>
      <w:r w:rsidRPr="00B24CE3">
        <w:rPr>
          <w:i/>
        </w:rPr>
        <w:t>Traditional Owner Settlement Act 2010</w:t>
      </w:r>
    </w:p>
    <w:p w:rsidR="00B32D50" w:rsidRPr="00434BC2" w:rsidRDefault="00B32D50" w:rsidP="00F17BCD">
      <w:r w:rsidRPr="00434BC2">
        <w:t xml:space="preserve">Funding is provided to support negotiation and engagement with Traditional Owner groups to improve Native Title recognition and settlement processes with a range of groups on the path to agreements under the </w:t>
      </w:r>
      <w:r w:rsidRPr="00434BC2">
        <w:rPr>
          <w:i/>
        </w:rPr>
        <w:t>Traditional Owner Settlement Act 2010</w:t>
      </w:r>
      <w:r w:rsidRPr="00434BC2">
        <w:t xml:space="preserve">. </w:t>
      </w:r>
    </w:p>
    <w:p w:rsidR="00B32D50" w:rsidRDefault="00B32D50" w:rsidP="00F17BCD">
      <w:r w:rsidRPr="00434BC2">
        <w:t>This initiative contributes to the Department of Justice and Regulation</w:t>
      </w:r>
      <w:r>
        <w:t>’</w:t>
      </w:r>
      <w:r w:rsidRPr="00434BC2">
        <w:t>s Protection of Personal Identity and Individual/Community Rights output.</w:t>
      </w:r>
    </w:p>
    <w:p w:rsidR="00B32D50" w:rsidRPr="00B2651A" w:rsidRDefault="00B32D50" w:rsidP="00F17BCD">
      <w:pPr>
        <w:pStyle w:val="Heading30"/>
        <w:rPr>
          <w:rFonts w:asciiTheme="minorHAnsi" w:hAnsiTheme="minorHAnsi"/>
          <w:b w:val="0"/>
          <w:i/>
          <w:szCs w:val="20"/>
        </w:rPr>
      </w:pPr>
      <w:r>
        <w:t xml:space="preserve">Victorian Racing Industry POCT Payment  </w:t>
      </w:r>
    </w:p>
    <w:p w:rsidR="00B32D50" w:rsidRDefault="00B32D50" w:rsidP="00F17BCD">
      <w:r>
        <w:t>Consistent with the introduction of the Point of Co</w:t>
      </w:r>
      <w:r w:rsidR="00420943">
        <w:t>nsumption Tax (POCT) in 2019, a </w:t>
      </w:r>
      <w:r>
        <w:t>proportion of the POCT revenue will be provided to the Victorian Racing Industry. This proportion will be set at 1.5 per cent of taxable net wagering revenue received.</w:t>
      </w:r>
    </w:p>
    <w:p w:rsidR="00B32D50" w:rsidRDefault="00B32D50" w:rsidP="00F17BCD">
      <w:r>
        <w:t>This initiative contributes to the Department of Justice and Regulation’s Gambling, Liquor, and Racing Output.</w:t>
      </w:r>
    </w:p>
    <w:p w:rsidR="00B32D50" w:rsidRPr="00707E17" w:rsidRDefault="00B32D50" w:rsidP="00F17BCD">
      <w:pPr>
        <w:pStyle w:val="Heading30"/>
        <w:rPr>
          <w:rFonts w:asciiTheme="minorHAnsi" w:hAnsiTheme="minorHAnsi"/>
          <w:b w:val="0"/>
          <w:i/>
          <w:szCs w:val="20"/>
        </w:rPr>
      </w:pPr>
      <w:r>
        <w:t>Wye River – 2015 Separation Creek bushfires</w:t>
      </w:r>
    </w:p>
    <w:p w:rsidR="00B32D50" w:rsidRDefault="00B32D50" w:rsidP="00420943">
      <w:pPr>
        <w:ind w:right="198"/>
      </w:pPr>
      <w:r>
        <w:t xml:space="preserve">Further support will be provided for the Colac Otway Shire Council to complete additional storm water reticulation works which are required following damage caused by the Wye River and Separation Creek Christmas Day bushfires in 2015. </w:t>
      </w:r>
    </w:p>
    <w:p w:rsidR="00B32D50" w:rsidRPr="00EE0462" w:rsidRDefault="00B32D50" w:rsidP="00F17BCD">
      <w:pPr>
        <w:rPr>
          <w:rFonts w:cstheme="majorHAnsi"/>
          <w:color w:val="000000" w:themeColor="text1"/>
          <w:szCs w:val="24"/>
        </w:rPr>
      </w:pPr>
      <w:r w:rsidRPr="00EE0462">
        <w:rPr>
          <w:rFonts w:cstheme="majorHAnsi"/>
          <w:color w:val="000000" w:themeColor="text1"/>
          <w:szCs w:val="24"/>
        </w:rPr>
        <w:t>This initiative contributes to the Department of Justice and Regulation</w:t>
      </w:r>
      <w:r>
        <w:rPr>
          <w:rFonts w:cstheme="majorHAnsi"/>
          <w:color w:val="000000" w:themeColor="text1"/>
          <w:szCs w:val="24"/>
        </w:rPr>
        <w:t>’</w:t>
      </w:r>
      <w:r w:rsidRPr="00EE0462">
        <w:rPr>
          <w:rFonts w:cstheme="majorHAnsi"/>
          <w:color w:val="000000" w:themeColor="text1"/>
          <w:szCs w:val="24"/>
        </w:rPr>
        <w:t xml:space="preserve">s Emergency Management Capability output. </w:t>
      </w:r>
    </w:p>
    <w:p w:rsidR="00B32D50" w:rsidRDefault="00B32D50">
      <w:pPr>
        <w:keepLines w:val="0"/>
        <w:rPr>
          <w:rFonts w:cstheme="majorHAnsi"/>
          <w:color w:val="000000" w:themeColor="text1"/>
          <w:szCs w:val="24"/>
        </w:rPr>
      </w:pPr>
      <w:r>
        <w:rPr>
          <w:rFonts w:cstheme="majorHAnsi"/>
          <w:color w:val="000000" w:themeColor="text1"/>
          <w:szCs w:val="24"/>
        </w:rPr>
        <w:br w:type="page"/>
      </w:r>
    </w:p>
    <w:p w:rsidR="00B32D50" w:rsidRPr="007F4B6F" w:rsidRDefault="00B32D50" w:rsidP="00F17BCD">
      <w:pPr>
        <w:pStyle w:val="Heading20"/>
        <w:rPr>
          <w:i/>
          <w:lang w:eastAsia="en-AU"/>
        </w:rPr>
      </w:pPr>
      <w:r w:rsidRPr="007F4B6F">
        <w:rPr>
          <w:i/>
          <w:lang w:eastAsia="en-AU"/>
        </w:rPr>
        <w:lastRenderedPageBreak/>
        <w:t>Asset initiatives</w:t>
      </w:r>
    </w:p>
    <w:p w:rsidR="00B32D50" w:rsidRDefault="00B32D50" w:rsidP="00F17BCD">
      <w:pPr>
        <w:pStyle w:val="TableHeading"/>
        <w:spacing w:before="180"/>
        <w:rPr>
          <w:lang w:eastAsia="en-AU"/>
        </w:rPr>
      </w:pPr>
      <w:r>
        <w:rPr>
          <w:lang w:eastAsia="en-AU"/>
        </w:rPr>
        <w:t>Table A.11</w:t>
      </w:r>
      <w:r w:rsidRPr="00C11A7F">
        <w:rPr>
          <w:lang w:eastAsia="en-AU"/>
        </w:rPr>
        <w:t>:</w:t>
      </w:r>
      <w:r w:rsidRPr="00C11A7F">
        <w:rPr>
          <w:lang w:eastAsia="en-AU"/>
        </w:rPr>
        <w:tab/>
        <w:t xml:space="preserve">Asset initiatives – </w:t>
      </w:r>
      <w:r w:rsidRPr="00F675FB">
        <w:rPr>
          <w:lang w:eastAsia="en-AU"/>
        </w:rPr>
        <w:t>Department of Justice and Regulation</w:t>
      </w:r>
      <w:r w:rsidRPr="00C11A7F">
        <w:rPr>
          <w:lang w:eastAsia="en-AU"/>
        </w:rPr>
        <w:tab/>
        <w:t>($ million)</w:t>
      </w:r>
    </w:p>
    <w:tbl>
      <w:tblPr>
        <w:tblStyle w:val="DTFTable9"/>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B32D50" w:rsidRPr="00C11A7F"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B32D50" w:rsidRPr="00C11A7F" w:rsidRDefault="00B32D50" w:rsidP="00F17BCD">
            <w:pPr>
              <w:autoSpaceDE w:val="0"/>
              <w:autoSpaceDN w:val="0"/>
              <w:adjustRightInd w:val="0"/>
              <w:rPr>
                <w:rFonts w:eastAsia="Times New Roman" w:cs="Calibri"/>
                <w:color w:val="FFFFFF"/>
                <w:szCs w:val="20"/>
                <w:lang w:eastAsia="en-AU"/>
              </w:rPr>
            </w:pP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sidRPr="00C11A7F">
              <w:rPr>
                <w:rFonts w:eastAsia="Times New Roman" w:cs="Calibri"/>
                <w:iCs/>
                <w:color w:val="FFFFFF"/>
                <w:szCs w:val="20"/>
                <w:lang w:eastAsia="en-AU"/>
              </w:rPr>
              <w:t>TEI</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auto" w:fill="auto"/>
          </w:tcPr>
          <w:p w:rsidR="00B32D50" w:rsidRPr="0088023E" w:rsidRDefault="00B32D50" w:rsidP="00F17BCD">
            <w:pPr>
              <w:autoSpaceDE w:val="0"/>
              <w:autoSpaceDN w:val="0"/>
              <w:adjustRightInd w:val="0"/>
              <w:ind w:left="0" w:firstLine="0"/>
              <w:rPr>
                <w:rFonts w:eastAsia="Times New Roman" w:cs="Calibri"/>
                <w:color w:val="000000"/>
                <w:szCs w:val="20"/>
                <w:lang w:eastAsia="en-AU"/>
              </w:rPr>
            </w:pPr>
            <w:r>
              <w:rPr>
                <w:rFonts w:eastAsia="Times New Roman" w:cs="Calibri"/>
                <w:color w:val="000000"/>
                <w:szCs w:val="20"/>
                <w:lang w:eastAsia="en-AU"/>
              </w:rPr>
              <w:t>Future emergency alert</w:t>
            </w:r>
          </w:p>
        </w:tc>
        <w:tc>
          <w:tcPr>
            <w:tcW w:w="850" w:type="dxa"/>
            <w:tcBorders>
              <w:top w:val="nil"/>
              <w:left w:val="nil"/>
              <w:bottom w:val="nil"/>
              <w:right w:val="nil"/>
            </w:tcBorders>
            <w:shd w:val="clear" w:color="auto" w:fill="auto"/>
          </w:tcPr>
          <w:p w:rsidR="00B32D50" w:rsidRPr="0088023E"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2.5</w:t>
            </w:r>
          </w:p>
        </w:tc>
        <w:tc>
          <w:tcPr>
            <w:tcW w:w="850" w:type="dxa"/>
            <w:tcBorders>
              <w:top w:val="nil"/>
              <w:left w:val="nil"/>
              <w:bottom w:val="nil"/>
              <w:right w:val="nil"/>
            </w:tcBorders>
            <w:shd w:val="clear" w:color="auto" w:fill="auto"/>
          </w:tcPr>
          <w:p w:rsidR="00B32D50" w:rsidRPr="0088023E"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w:t>
            </w:r>
          </w:p>
        </w:tc>
        <w:tc>
          <w:tcPr>
            <w:tcW w:w="850" w:type="dxa"/>
            <w:tcBorders>
              <w:top w:val="nil"/>
              <w:left w:val="nil"/>
              <w:bottom w:val="nil"/>
              <w:right w:val="nil"/>
            </w:tcBorders>
            <w:shd w:val="clear" w:color="auto" w:fill="auto"/>
          </w:tcPr>
          <w:p w:rsidR="00B32D50" w:rsidRPr="0088023E"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w:t>
            </w:r>
          </w:p>
        </w:tc>
        <w:tc>
          <w:tcPr>
            <w:tcW w:w="850" w:type="dxa"/>
            <w:tcBorders>
              <w:top w:val="nil"/>
              <w:left w:val="nil"/>
              <w:bottom w:val="nil"/>
              <w:right w:val="nil"/>
            </w:tcBorders>
            <w:shd w:val="clear" w:color="auto" w:fill="auto"/>
          </w:tcPr>
          <w:p w:rsidR="00B32D50" w:rsidRPr="0088023E"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w:t>
            </w:r>
          </w:p>
        </w:tc>
        <w:tc>
          <w:tcPr>
            <w:tcW w:w="850" w:type="dxa"/>
            <w:tcBorders>
              <w:top w:val="nil"/>
              <w:left w:val="nil"/>
              <w:bottom w:val="nil"/>
              <w:right w:val="nil"/>
            </w:tcBorders>
            <w:shd w:val="clear" w:color="auto" w:fill="auto"/>
          </w:tcPr>
          <w:p w:rsidR="00B32D50" w:rsidRPr="0088023E" w:rsidRDefault="00B32D50" w:rsidP="00F17B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2.5</w:t>
            </w:r>
          </w:p>
        </w:tc>
      </w:tr>
      <w:tr w:rsidR="00B32D50" w:rsidRPr="00C11A7F"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B32D50" w:rsidRPr="00C11A7F" w:rsidRDefault="00B32D50" w:rsidP="00F17BCD">
            <w:pPr>
              <w:autoSpaceDE w:val="0"/>
              <w:autoSpaceDN w:val="0"/>
              <w:adjustRightInd w:val="0"/>
              <w:rPr>
                <w:rFonts w:eastAsia="Times New Roman" w:cs="Calibri"/>
                <w:bCs/>
                <w:color w:val="000000"/>
                <w:szCs w:val="20"/>
                <w:lang w:eastAsia="en-AU"/>
              </w:rPr>
            </w:pPr>
            <w:r w:rsidRPr="00C11A7F">
              <w:rPr>
                <w:rFonts w:eastAsia="Times New Roman" w:cs="Calibri"/>
                <w:bCs/>
                <w:color w:val="000000"/>
                <w:szCs w:val="20"/>
                <w:lang w:eastAsia="en-AU"/>
              </w:rPr>
              <w:t>Total asset initiatives</w:t>
            </w:r>
            <w:r>
              <w:rPr>
                <w:rFonts w:eastAsia="Times New Roman" w:cs="Calibri"/>
                <w:bCs/>
                <w:color w:val="000000"/>
                <w:szCs w:val="20"/>
                <w:lang w:eastAsia="en-AU"/>
              </w:rPr>
              <w:t xml:space="preserve"> </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2.5</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2.5</w:t>
            </w:r>
          </w:p>
        </w:tc>
      </w:tr>
    </w:tbl>
    <w:p w:rsidR="00B32D50" w:rsidRDefault="00B32D50" w:rsidP="00F17BCD">
      <w:pPr>
        <w:pStyle w:val="Heading30"/>
      </w:pPr>
      <w:r w:rsidRPr="00771A14">
        <w:t>Future emergency alert</w:t>
      </w:r>
    </w:p>
    <w:p w:rsidR="00B32D50" w:rsidRDefault="00B32D50" w:rsidP="00F17BCD">
      <w:r w:rsidRPr="00F675FB">
        <w:t>Funding will be provided to continue delivery of a modern national telephone warning system. This will allow emergency services to send messages to landlines and mobile phones within a defined area about likely or actual emergencies. This will continue to minimise risks to public safety by using a proven and modern emergency alert system.</w:t>
      </w:r>
    </w:p>
    <w:p w:rsidR="00B32D50" w:rsidRDefault="00B32D50" w:rsidP="00F17BCD">
      <w:r w:rsidRPr="00771A14">
        <w:t>This initiative contributes to the Department of Justice and Regulation</w:t>
      </w:r>
      <w:r>
        <w:t>’</w:t>
      </w:r>
      <w:r w:rsidRPr="00771A14">
        <w:t>s Emergency Management Capability output.</w:t>
      </w:r>
    </w:p>
    <w:p w:rsidR="00B32D50" w:rsidRDefault="00B32D50" w:rsidP="00F17BCD">
      <w:pPr>
        <w:rPr>
          <w:rFonts w:cstheme="majorHAnsi"/>
          <w:color w:val="000000" w:themeColor="text1"/>
          <w:szCs w:val="24"/>
        </w:rPr>
      </w:pPr>
    </w:p>
    <w:p w:rsidR="00B32D50" w:rsidRDefault="00B32D50" w:rsidP="00F17BCD">
      <w:r>
        <w:rPr>
          <w:lang w:eastAsia="en-AU"/>
        </w:rPr>
        <w:br w:type="page"/>
      </w:r>
    </w:p>
    <w:p w:rsidR="00B32D50" w:rsidRPr="00C11A7F" w:rsidRDefault="00B32D50" w:rsidP="00834D1D">
      <w:pPr>
        <w:pStyle w:val="Heading10"/>
        <w:rPr>
          <w:lang w:eastAsia="en-AU"/>
        </w:rPr>
      </w:pPr>
      <w:bookmarkStart w:id="126" w:name="_Toc500179549"/>
      <w:bookmarkStart w:id="127" w:name="_Toc528864780"/>
      <w:r w:rsidRPr="00C11A7F">
        <w:rPr>
          <w:lang w:eastAsia="en-AU"/>
        </w:rPr>
        <w:lastRenderedPageBreak/>
        <w:t>Department of Premier and Cabinet</w:t>
      </w:r>
      <w:bookmarkEnd w:id="126"/>
      <w:bookmarkEnd w:id="127"/>
    </w:p>
    <w:p w:rsidR="00B32D50" w:rsidRPr="007F4B6F" w:rsidRDefault="00B32D50" w:rsidP="00F17BCD">
      <w:pPr>
        <w:keepNext/>
        <w:numPr>
          <w:ilvl w:val="1"/>
          <w:numId w:val="0"/>
        </w:numPr>
        <w:tabs>
          <w:tab w:val="right" w:pos="9582"/>
        </w:tabs>
        <w:spacing w:before="240"/>
        <w:outlineLvl w:val="1"/>
        <w:rPr>
          <w:rFonts w:ascii="Calibri" w:hAnsi="Calibri"/>
          <w:b/>
          <w:i/>
          <w:spacing w:val="-2"/>
          <w:sz w:val="26"/>
          <w:szCs w:val="26"/>
          <w:lang w:eastAsia="en-AU"/>
        </w:rPr>
      </w:pPr>
      <w:r w:rsidRPr="007F4B6F">
        <w:rPr>
          <w:rFonts w:ascii="Calibri" w:hAnsi="Calibri"/>
          <w:b/>
          <w:i/>
          <w:spacing w:val="-2"/>
          <w:sz w:val="26"/>
          <w:szCs w:val="26"/>
          <w:lang w:eastAsia="en-AU"/>
        </w:rPr>
        <w:t>Output initiatives</w:t>
      </w:r>
    </w:p>
    <w:p w:rsidR="00B32D50" w:rsidRDefault="00B32D50" w:rsidP="00F17BCD">
      <w:pPr>
        <w:pStyle w:val="TableHeading"/>
        <w:spacing w:before="180"/>
        <w:rPr>
          <w:lang w:eastAsia="en-AU"/>
        </w:rPr>
      </w:pPr>
      <w:r>
        <w:rPr>
          <w:lang w:eastAsia="en-AU"/>
        </w:rPr>
        <w:t>Table A.12</w:t>
      </w:r>
      <w:r w:rsidRPr="00C11A7F">
        <w:rPr>
          <w:lang w:eastAsia="en-AU"/>
        </w:rPr>
        <w:t>:</w:t>
      </w:r>
      <w:r w:rsidRPr="00C11A7F">
        <w:rPr>
          <w:lang w:eastAsia="en-AU"/>
        </w:rPr>
        <w:tab/>
        <w:t>Output initiatives – Department of Premier and Cabinet</w:t>
      </w:r>
      <w:r w:rsidRPr="00C11A7F">
        <w:rPr>
          <w:lang w:eastAsia="en-AU"/>
        </w:rPr>
        <w:tab/>
        <w:t>($ million)</w:t>
      </w:r>
    </w:p>
    <w:tbl>
      <w:tblPr>
        <w:tblStyle w:val="DTFTable8"/>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B32D50" w:rsidRPr="00C11A7F"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B32D50" w:rsidRPr="00C11A7F" w:rsidRDefault="00B32D50" w:rsidP="00F17BCD">
            <w:pPr>
              <w:autoSpaceDE w:val="0"/>
              <w:autoSpaceDN w:val="0"/>
              <w:adjustRightInd w:val="0"/>
              <w:rPr>
                <w:rFonts w:eastAsia="Times New Roman" w:cs="Calibri"/>
                <w:color w:val="FFFFFF"/>
                <w:szCs w:val="20"/>
                <w:lang w:eastAsia="en-AU"/>
              </w:rPr>
            </w:pPr>
            <w:bookmarkStart w:id="128" w:name="_Hlk525223751"/>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11A7F" w:rsidRDefault="00B32D50" w:rsidP="00F17BCD">
            <w:pPr>
              <w:autoSpaceDE w:val="0"/>
              <w:autoSpaceDN w:val="0"/>
              <w:adjustRightInd w:val="0"/>
              <w:spacing w:after="0"/>
              <w:rPr>
                <w:rFonts w:eastAsia="Times New Roman" w:cs="Calibri"/>
                <w:color w:val="000000"/>
                <w:szCs w:val="20"/>
                <w:lang w:eastAsia="en-AU"/>
              </w:rPr>
            </w:pPr>
            <w:r w:rsidRPr="00DC6953">
              <w:rPr>
                <w:rFonts w:eastAsia="Times New Roman" w:cs="Calibri"/>
                <w:color w:val="000000"/>
                <w:szCs w:val="20"/>
                <w:lang w:eastAsia="en-AU"/>
              </w:rPr>
              <w:t xml:space="preserve">Victorian Electoral Commission </w:t>
            </w:r>
            <w:r>
              <w:rPr>
                <w:rFonts w:eastAsia="Times New Roman" w:cs="Calibri"/>
                <w:color w:val="000000"/>
                <w:szCs w:val="20"/>
                <w:lang w:eastAsia="en-AU"/>
              </w:rPr>
              <w:t>–</w:t>
            </w:r>
            <w:r w:rsidRPr="00DC6953">
              <w:rPr>
                <w:rFonts w:eastAsia="Times New Roman" w:cs="Calibri"/>
                <w:color w:val="000000"/>
                <w:szCs w:val="20"/>
                <w:lang w:eastAsia="en-AU"/>
              </w:rPr>
              <w:t xml:space="preserve"> </w:t>
            </w:r>
            <w:r w:rsidR="00420943">
              <w:rPr>
                <w:rFonts w:eastAsia="Times New Roman" w:cs="Calibri"/>
                <w:color w:val="000000"/>
                <w:szCs w:val="20"/>
                <w:lang w:eastAsia="en-AU"/>
              </w:rPr>
              <w:br/>
            </w:r>
            <w:r w:rsidRPr="00DC6953">
              <w:rPr>
                <w:rFonts w:eastAsia="Times New Roman" w:cs="Calibri"/>
                <w:color w:val="000000"/>
                <w:szCs w:val="20"/>
                <w:lang w:eastAsia="en-AU"/>
              </w:rPr>
              <w:t>new donations disclosure and reporting scheme</w:t>
            </w:r>
          </w:p>
        </w:tc>
        <w:tc>
          <w:tcPr>
            <w:tcW w:w="850" w:type="dxa"/>
            <w:tcBorders>
              <w:top w:val="nil"/>
              <w:left w:val="nil"/>
              <w:bottom w:val="nil"/>
              <w:right w:val="nil"/>
            </w:tcBorders>
          </w:tcPr>
          <w:p w:rsidR="00B32D50" w:rsidRPr="00C11A7F" w:rsidRDefault="00B32D50" w:rsidP="00F17BCD">
            <w:pPr>
              <w:autoSpaceDE w:val="0"/>
              <w:autoSpaceDN w:val="0"/>
              <w:adjustRightInd w:val="0"/>
              <w:spacing w:after="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22.0</w:t>
            </w:r>
          </w:p>
        </w:tc>
        <w:tc>
          <w:tcPr>
            <w:tcW w:w="850" w:type="dxa"/>
            <w:tcBorders>
              <w:top w:val="nil"/>
              <w:left w:val="nil"/>
              <w:bottom w:val="nil"/>
              <w:right w:val="nil"/>
            </w:tcBorders>
          </w:tcPr>
          <w:p w:rsidR="00B32D50" w:rsidRPr="00C11A7F" w:rsidRDefault="00B32D50" w:rsidP="00F17BCD">
            <w:pPr>
              <w:autoSpaceDE w:val="0"/>
              <w:autoSpaceDN w:val="0"/>
              <w:adjustRightInd w:val="0"/>
              <w:spacing w:after="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15.0</w:t>
            </w:r>
          </w:p>
        </w:tc>
        <w:tc>
          <w:tcPr>
            <w:tcW w:w="850" w:type="dxa"/>
            <w:tcBorders>
              <w:top w:val="nil"/>
              <w:left w:val="nil"/>
              <w:bottom w:val="nil"/>
              <w:right w:val="nil"/>
            </w:tcBorders>
          </w:tcPr>
          <w:p w:rsidR="00B32D50" w:rsidRPr="00C11A7F" w:rsidRDefault="00B32D50" w:rsidP="00F17BCD">
            <w:pPr>
              <w:autoSpaceDE w:val="0"/>
              <w:autoSpaceDN w:val="0"/>
              <w:adjustRightInd w:val="0"/>
              <w:spacing w:after="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15.0</w:t>
            </w:r>
          </w:p>
        </w:tc>
        <w:tc>
          <w:tcPr>
            <w:tcW w:w="850" w:type="dxa"/>
            <w:tcBorders>
              <w:top w:val="nil"/>
              <w:left w:val="nil"/>
              <w:bottom w:val="nil"/>
              <w:right w:val="nil"/>
            </w:tcBorders>
          </w:tcPr>
          <w:p w:rsidR="00B32D50" w:rsidRPr="00C11A7F" w:rsidRDefault="00B32D50" w:rsidP="00F17BCD">
            <w:pPr>
              <w:autoSpaceDE w:val="0"/>
              <w:autoSpaceDN w:val="0"/>
              <w:adjustRightInd w:val="0"/>
              <w:spacing w:after="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15.0</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DC6953" w:rsidRDefault="00B32D50" w:rsidP="00F17BCD">
            <w:pPr>
              <w:autoSpaceDE w:val="0"/>
              <w:autoSpaceDN w:val="0"/>
              <w:adjustRightInd w:val="0"/>
              <w:spacing w:after="0"/>
              <w:rPr>
                <w:rFonts w:eastAsia="Times New Roman" w:cs="Calibri"/>
                <w:color w:val="000000"/>
                <w:szCs w:val="20"/>
                <w:lang w:eastAsia="en-AU"/>
              </w:rPr>
            </w:pPr>
            <w:r>
              <w:rPr>
                <w:rFonts w:eastAsia="Times New Roman" w:cs="Calibri"/>
                <w:color w:val="000000"/>
                <w:szCs w:val="20"/>
                <w:lang w:eastAsia="en-AU"/>
              </w:rPr>
              <w:t>Service Victoria –</w:t>
            </w:r>
            <w:r w:rsidRPr="00DC6953">
              <w:rPr>
                <w:rFonts w:eastAsia="Times New Roman" w:cs="Calibri"/>
                <w:color w:val="000000"/>
                <w:szCs w:val="20"/>
                <w:lang w:eastAsia="en-AU"/>
              </w:rPr>
              <w:t xml:space="preserve"> transition to unrestricted public access</w:t>
            </w:r>
            <w:r>
              <w:rPr>
                <w:rFonts w:eastAsia="Times New Roman" w:cs="Calibri"/>
                <w:color w:val="000000"/>
                <w:szCs w:val="20"/>
                <w:lang w:eastAsia="en-AU"/>
              </w:rPr>
              <w:t xml:space="preserve"> </w:t>
            </w:r>
            <w:r w:rsidRPr="00486BB2">
              <w:rPr>
                <w:rFonts w:eastAsia="Times New Roman" w:cs="Calibri"/>
                <w:color w:val="000000"/>
                <w:szCs w:val="20"/>
                <w:vertAlign w:val="superscript"/>
                <w:lang w:eastAsia="en-AU"/>
              </w:rPr>
              <w:t>(a)</w:t>
            </w:r>
          </w:p>
        </w:tc>
        <w:tc>
          <w:tcPr>
            <w:tcW w:w="850" w:type="dxa"/>
            <w:tcBorders>
              <w:top w:val="nil"/>
              <w:left w:val="nil"/>
              <w:bottom w:val="nil"/>
              <w:right w:val="nil"/>
            </w:tcBorders>
            <w:shd w:val="clear" w:color="auto" w:fill="auto"/>
          </w:tcPr>
          <w:p w:rsidR="00B32D50" w:rsidRPr="00C11A7F" w:rsidRDefault="00B32D50" w:rsidP="00F17BCD">
            <w:pPr>
              <w:autoSpaceDE w:val="0"/>
              <w:autoSpaceDN w:val="0"/>
              <w:adjustRightInd w:val="0"/>
              <w:spacing w:after="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20.0</w:t>
            </w:r>
          </w:p>
        </w:tc>
        <w:tc>
          <w:tcPr>
            <w:tcW w:w="850" w:type="dxa"/>
            <w:tcBorders>
              <w:top w:val="nil"/>
              <w:left w:val="nil"/>
              <w:bottom w:val="nil"/>
              <w:right w:val="nil"/>
            </w:tcBorders>
            <w:shd w:val="clear" w:color="auto" w:fill="auto"/>
          </w:tcPr>
          <w:p w:rsidR="00B32D50" w:rsidRPr="00DC6953"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20.0</w:t>
            </w:r>
          </w:p>
        </w:tc>
        <w:tc>
          <w:tcPr>
            <w:tcW w:w="850" w:type="dxa"/>
            <w:tcBorders>
              <w:top w:val="nil"/>
              <w:left w:val="nil"/>
              <w:bottom w:val="nil"/>
              <w:right w:val="nil"/>
            </w:tcBorders>
            <w:shd w:val="clear" w:color="auto" w:fill="auto"/>
          </w:tcPr>
          <w:p w:rsidR="00B32D50" w:rsidRPr="00DC6953"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w:t>
            </w:r>
          </w:p>
        </w:tc>
        <w:tc>
          <w:tcPr>
            <w:tcW w:w="850" w:type="dxa"/>
            <w:tcBorders>
              <w:top w:val="nil"/>
              <w:left w:val="nil"/>
              <w:bottom w:val="nil"/>
              <w:right w:val="nil"/>
            </w:tcBorders>
            <w:shd w:val="clear" w:color="auto" w:fill="auto"/>
          </w:tcPr>
          <w:p w:rsidR="00B32D50" w:rsidRPr="00C11A7F" w:rsidRDefault="00B32D50" w:rsidP="00F17BCD">
            <w:pPr>
              <w:autoSpaceDE w:val="0"/>
              <w:autoSpaceDN w:val="0"/>
              <w:adjustRightInd w:val="0"/>
              <w:spacing w:after="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w:t>
            </w:r>
          </w:p>
        </w:tc>
      </w:tr>
      <w:tr w:rsidR="00B32D50" w:rsidRPr="00C11A7F"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B32D50" w:rsidRPr="00C11A7F" w:rsidRDefault="00B32D50" w:rsidP="00F17BCD">
            <w:pPr>
              <w:autoSpaceDE w:val="0"/>
              <w:autoSpaceDN w:val="0"/>
              <w:adjustRightInd w:val="0"/>
              <w:rPr>
                <w:rFonts w:eastAsia="Times New Roman" w:cs="Calibri"/>
                <w:bCs/>
                <w:color w:val="000000"/>
                <w:szCs w:val="20"/>
                <w:lang w:eastAsia="en-AU"/>
              </w:rPr>
            </w:pPr>
            <w:r w:rsidRPr="00C11A7F">
              <w:rPr>
                <w:rFonts w:eastAsia="Times New Roman" w:cs="Calibri"/>
                <w:bCs/>
                <w:color w:val="000000"/>
                <w:szCs w:val="20"/>
                <w:lang w:eastAsia="en-AU"/>
              </w:rPr>
              <w:t>Total output initiatives</w:t>
            </w:r>
            <w:r>
              <w:rPr>
                <w:rFonts w:eastAsia="Times New Roman" w:cs="Calibri"/>
                <w:bCs/>
                <w:color w:val="000000"/>
                <w:szCs w:val="20"/>
                <w:lang w:eastAsia="en-AU"/>
              </w:rPr>
              <w:t xml:space="preserve"> </w:t>
            </w:r>
            <w:r w:rsidRPr="00486BB2">
              <w:rPr>
                <w:rFonts w:eastAsia="Times New Roman" w:cs="Calibri"/>
                <w:bCs/>
                <w:color w:val="000000"/>
                <w:szCs w:val="20"/>
                <w:vertAlign w:val="superscript"/>
                <w:lang w:eastAsia="en-AU"/>
              </w:rPr>
              <w:t>(b)</w:t>
            </w:r>
          </w:p>
        </w:tc>
        <w:tc>
          <w:tcPr>
            <w:tcW w:w="850" w:type="dxa"/>
            <w:tcBorders>
              <w:top w:val="single" w:sz="6" w:space="0" w:color="auto"/>
              <w:bottom w:val="single" w:sz="12" w:space="0" w:color="auto"/>
            </w:tcBorders>
            <w:vAlign w:val="center"/>
          </w:tcPr>
          <w:p w:rsidR="00B32D50" w:rsidRPr="00386542" w:rsidRDefault="00B32D50" w:rsidP="00F17BCD">
            <w:pPr>
              <w:autoSpaceDE w:val="0"/>
              <w:autoSpaceDN w:val="0"/>
              <w:adjustRightInd w:val="0"/>
              <w:spacing w:after="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42.0</w:t>
            </w:r>
          </w:p>
        </w:tc>
        <w:tc>
          <w:tcPr>
            <w:tcW w:w="850" w:type="dxa"/>
            <w:tcBorders>
              <w:top w:val="single" w:sz="6" w:space="0" w:color="auto"/>
              <w:bottom w:val="single" w:sz="12" w:space="0" w:color="auto"/>
            </w:tcBorders>
            <w:vAlign w:val="center"/>
          </w:tcPr>
          <w:p w:rsidR="00B32D50" w:rsidRPr="00386542" w:rsidRDefault="00B32D50" w:rsidP="00F17BCD">
            <w:pPr>
              <w:autoSpaceDE w:val="0"/>
              <w:autoSpaceDN w:val="0"/>
              <w:adjustRightInd w:val="0"/>
              <w:spacing w:after="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35.0</w:t>
            </w:r>
          </w:p>
        </w:tc>
        <w:tc>
          <w:tcPr>
            <w:tcW w:w="850" w:type="dxa"/>
            <w:tcBorders>
              <w:top w:val="single" w:sz="6" w:space="0" w:color="auto"/>
              <w:bottom w:val="single" w:sz="12" w:space="0" w:color="auto"/>
            </w:tcBorders>
            <w:vAlign w:val="center"/>
          </w:tcPr>
          <w:p w:rsidR="00B32D50" w:rsidRPr="00386542" w:rsidRDefault="00B32D50" w:rsidP="00F17BCD">
            <w:pPr>
              <w:autoSpaceDE w:val="0"/>
              <w:autoSpaceDN w:val="0"/>
              <w:adjustRightInd w:val="0"/>
              <w:spacing w:after="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sidRPr="00386542">
              <w:rPr>
                <w:rFonts w:eastAsia="Times New Roman" w:cs="Calibri"/>
                <w:bCs/>
                <w:color w:val="000000"/>
                <w:szCs w:val="20"/>
                <w:lang w:eastAsia="en-AU"/>
              </w:rPr>
              <w:t>15.0</w:t>
            </w:r>
          </w:p>
        </w:tc>
        <w:tc>
          <w:tcPr>
            <w:tcW w:w="850" w:type="dxa"/>
            <w:tcBorders>
              <w:top w:val="single" w:sz="6" w:space="0" w:color="auto"/>
              <w:bottom w:val="single" w:sz="12" w:space="0" w:color="auto"/>
            </w:tcBorders>
            <w:vAlign w:val="center"/>
          </w:tcPr>
          <w:p w:rsidR="00B32D50" w:rsidRPr="00386542" w:rsidRDefault="00B32D50" w:rsidP="00F17BCD">
            <w:pPr>
              <w:autoSpaceDE w:val="0"/>
              <w:autoSpaceDN w:val="0"/>
              <w:adjustRightInd w:val="0"/>
              <w:spacing w:after="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sidRPr="00386542">
              <w:rPr>
                <w:rFonts w:eastAsia="Times New Roman" w:cs="Calibri"/>
                <w:bCs/>
                <w:color w:val="000000"/>
                <w:szCs w:val="20"/>
                <w:lang w:eastAsia="en-AU"/>
              </w:rPr>
              <w:t>15.0</w:t>
            </w:r>
          </w:p>
        </w:tc>
      </w:tr>
    </w:tbl>
    <w:bookmarkEnd w:id="128"/>
    <w:p w:rsidR="00B32D50" w:rsidRDefault="00B32D50" w:rsidP="00F17BCD">
      <w:pPr>
        <w:pStyle w:val="Note"/>
        <w:rPr>
          <w:lang w:eastAsia="en-AU"/>
        </w:rPr>
      </w:pPr>
      <w:r>
        <w:rPr>
          <w:lang w:eastAsia="en-AU"/>
        </w:rPr>
        <w:t>Notes:</w:t>
      </w:r>
    </w:p>
    <w:p w:rsidR="00B32D50" w:rsidRDefault="00B32D50" w:rsidP="00F17BCD">
      <w:pPr>
        <w:pStyle w:val="Note"/>
        <w:rPr>
          <w:lang w:eastAsia="en-AU"/>
        </w:rPr>
      </w:pPr>
      <w:r>
        <w:rPr>
          <w:lang w:eastAsia="en-AU"/>
        </w:rPr>
        <w:t>(a)</w:t>
      </w:r>
      <w:r>
        <w:rPr>
          <w:lang w:eastAsia="en-AU"/>
        </w:rPr>
        <w:tab/>
        <w:t>This is in addition to funding announced in the 2015-16 and 2016-17 budgets.</w:t>
      </w:r>
    </w:p>
    <w:p w:rsidR="00B32D50" w:rsidRDefault="00B32D50" w:rsidP="00F17BCD">
      <w:pPr>
        <w:pStyle w:val="Note"/>
        <w:rPr>
          <w:lang w:eastAsia="en-AU"/>
        </w:rPr>
      </w:pPr>
      <w:r>
        <w:rPr>
          <w:lang w:eastAsia="en-AU"/>
        </w:rPr>
        <w:t>(b)</w:t>
      </w:r>
      <w:r>
        <w:rPr>
          <w:lang w:eastAsia="en-AU"/>
        </w:rPr>
        <w:tab/>
        <w:t>Table may not add due to rounding.</w:t>
      </w:r>
    </w:p>
    <w:p w:rsidR="00B32D50" w:rsidRPr="00E3476A" w:rsidRDefault="00B32D50" w:rsidP="00F17BCD">
      <w:pPr>
        <w:pStyle w:val="Heading30"/>
      </w:pPr>
      <w:r w:rsidRPr="00E3476A">
        <w:t xml:space="preserve">Victorian Electoral Commission </w:t>
      </w:r>
      <w:r>
        <w:t>–</w:t>
      </w:r>
      <w:r w:rsidRPr="00E3476A">
        <w:t xml:space="preserve"> new donations disclosure and reporting scheme</w:t>
      </w:r>
    </w:p>
    <w:p w:rsidR="00B32D50" w:rsidRDefault="00B32D50" w:rsidP="00F17BCD">
      <w:pPr>
        <w:tabs>
          <w:tab w:val="left" w:pos="5220"/>
        </w:tabs>
      </w:pPr>
      <w:r w:rsidRPr="00E3476A">
        <w:t xml:space="preserve">Funding will be provided to establish and maintain a </w:t>
      </w:r>
      <w:r>
        <w:t>Victorian</w:t>
      </w:r>
      <w:r w:rsidRPr="00E3476A">
        <w:t xml:space="preserve"> political donations disclosure and reporting scheme, creatin</w:t>
      </w:r>
      <w:r>
        <w:t>g greater public transparency in</w:t>
      </w:r>
      <w:r w:rsidRPr="00E3476A">
        <w:t xml:space="preserve"> the Victorian political system and decision-making process.</w:t>
      </w:r>
      <w:r>
        <w:t xml:space="preserve"> </w:t>
      </w:r>
      <w:r w:rsidRPr="00ED4998">
        <w:t>Key fea</w:t>
      </w:r>
      <w:r>
        <w:t>tures of the new scheme include</w:t>
      </w:r>
      <w:r w:rsidRPr="00ED4998">
        <w:t xml:space="preserve"> a ban on political</w:t>
      </w:r>
      <w:r>
        <w:t xml:space="preserve"> donations from foreign sources</w:t>
      </w:r>
      <w:r w:rsidRPr="00ED4998">
        <w:t xml:space="preserve"> and introducing </w:t>
      </w:r>
      <w:r>
        <w:t>a cap on political donations.</w:t>
      </w:r>
    </w:p>
    <w:p w:rsidR="00B32D50" w:rsidRDefault="00B32D50" w:rsidP="00F17BCD">
      <w:pPr>
        <w:tabs>
          <w:tab w:val="left" w:pos="5220"/>
        </w:tabs>
      </w:pPr>
      <w:r w:rsidRPr="00E3476A">
        <w:t>This initiative contributes to the Department of Premier and Cabinet</w:t>
      </w:r>
      <w:r>
        <w:t>’</w:t>
      </w:r>
      <w:r w:rsidRPr="00E3476A">
        <w:t>s State electoral roll and electoral events</w:t>
      </w:r>
      <w:r>
        <w:t xml:space="preserve"> output.</w:t>
      </w:r>
    </w:p>
    <w:p w:rsidR="00B32D50" w:rsidRDefault="00B32D50" w:rsidP="00F17BCD">
      <w:pPr>
        <w:pStyle w:val="Heading30"/>
      </w:pPr>
      <w:r>
        <w:t>Service Victoria –</w:t>
      </w:r>
      <w:r w:rsidRPr="00E3476A">
        <w:t xml:space="preserve"> transition to unrestricted public access</w:t>
      </w:r>
    </w:p>
    <w:p w:rsidR="00B32D50" w:rsidRDefault="00B32D50" w:rsidP="00F17BCD">
      <w:pPr>
        <w:tabs>
          <w:tab w:val="left" w:pos="5220"/>
        </w:tabs>
      </w:pPr>
      <w:r w:rsidRPr="00E3476A">
        <w:t>Service Victoria has been established to enhance the delivery of government transactions with citizens, enable the delivery of a more effective customer experience and create new distribution channels for simple, high</w:t>
      </w:r>
      <w:r>
        <w:t>-volume transactions. Funding will be</w:t>
      </w:r>
      <w:r w:rsidRPr="00E3476A">
        <w:t xml:space="preserve"> provided to operate and extend a range of transactions and service enhancements</w:t>
      </w:r>
      <w:r>
        <w:t>,</w:t>
      </w:r>
      <w:r w:rsidRPr="00E3476A">
        <w:t xml:space="preserve"> including</w:t>
      </w:r>
      <w:r>
        <w:t xml:space="preserve"> </w:t>
      </w:r>
      <w:r w:rsidRPr="00E3476A">
        <w:t>identity verification service</w:t>
      </w:r>
      <w:r>
        <w:t>s</w:t>
      </w:r>
      <w:r w:rsidRPr="00E3476A">
        <w:t>.</w:t>
      </w:r>
    </w:p>
    <w:p w:rsidR="00B32D50" w:rsidRDefault="00B32D50" w:rsidP="00F17BCD">
      <w:pPr>
        <w:tabs>
          <w:tab w:val="left" w:pos="5220"/>
        </w:tabs>
      </w:pPr>
      <w:r w:rsidRPr="00E3476A">
        <w:t>This initiative contributes to the Department of Premier and Cabinet</w:t>
      </w:r>
      <w:r>
        <w:t>’</w:t>
      </w:r>
      <w:r w:rsidRPr="00E3476A">
        <w:t xml:space="preserve">s Digital </w:t>
      </w:r>
      <w:r>
        <w:t>g</w:t>
      </w:r>
      <w:r w:rsidRPr="00E3476A">
        <w:t xml:space="preserve">overnment and </w:t>
      </w:r>
      <w:r>
        <w:t>c</w:t>
      </w:r>
      <w:r w:rsidRPr="00E3476A">
        <w:t>ommunications output.</w:t>
      </w:r>
    </w:p>
    <w:p w:rsidR="00C4434F" w:rsidRDefault="00C4434F" w:rsidP="00F17BCD">
      <w:pPr>
        <w:tabs>
          <w:tab w:val="left" w:pos="5220"/>
        </w:tabs>
      </w:pPr>
    </w:p>
    <w:p w:rsidR="00B32D50" w:rsidRPr="007F4B6F" w:rsidRDefault="00B32D50" w:rsidP="00F17BCD">
      <w:pPr>
        <w:keepNext/>
        <w:numPr>
          <w:ilvl w:val="1"/>
          <w:numId w:val="0"/>
        </w:numPr>
        <w:tabs>
          <w:tab w:val="right" w:pos="9582"/>
        </w:tabs>
        <w:spacing w:before="240"/>
        <w:outlineLvl w:val="1"/>
        <w:rPr>
          <w:rFonts w:ascii="Calibri" w:hAnsi="Calibri"/>
          <w:b/>
          <w:i/>
          <w:spacing w:val="-2"/>
          <w:sz w:val="26"/>
          <w:szCs w:val="26"/>
          <w:lang w:eastAsia="en-AU"/>
        </w:rPr>
      </w:pPr>
      <w:r w:rsidRPr="007F4B6F">
        <w:rPr>
          <w:rFonts w:ascii="Calibri" w:hAnsi="Calibri"/>
          <w:b/>
          <w:i/>
          <w:spacing w:val="-2"/>
          <w:sz w:val="26"/>
          <w:szCs w:val="26"/>
          <w:lang w:eastAsia="en-AU"/>
        </w:rPr>
        <w:t>Asset initiatives</w:t>
      </w:r>
    </w:p>
    <w:p w:rsidR="00B32D50" w:rsidRDefault="00B32D50" w:rsidP="00F17BCD">
      <w:pPr>
        <w:pStyle w:val="TableHeading"/>
        <w:spacing w:before="180"/>
        <w:rPr>
          <w:lang w:eastAsia="en-AU"/>
        </w:rPr>
      </w:pPr>
      <w:r>
        <w:rPr>
          <w:lang w:eastAsia="en-AU"/>
        </w:rPr>
        <w:t>Table A.13</w:t>
      </w:r>
      <w:r w:rsidRPr="00C11A7F">
        <w:rPr>
          <w:lang w:eastAsia="en-AU"/>
        </w:rPr>
        <w:t>:</w:t>
      </w:r>
      <w:r w:rsidRPr="00C11A7F">
        <w:rPr>
          <w:lang w:eastAsia="en-AU"/>
        </w:rPr>
        <w:tab/>
        <w:t>Asset initiatives – Department of Premier and Cabinet</w:t>
      </w:r>
      <w:r w:rsidRPr="00C11A7F">
        <w:rPr>
          <w:lang w:eastAsia="en-AU"/>
        </w:rPr>
        <w:tab/>
        <w:t>($ million)</w:t>
      </w:r>
    </w:p>
    <w:tbl>
      <w:tblPr>
        <w:tblStyle w:val="DTFTable9"/>
        <w:tblW w:w="7765" w:type="dxa"/>
        <w:tblInd w:w="45" w:type="dxa"/>
        <w:tblLayout w:type="fixed"/>
        <w:tblCellMar>
          <w:left w:w="45" w:type="dxa"/>
          <w:right w:w="45" w:type="dxa"/>
        </w:tblCellMar>
        <w:tblLook w:val="06E0" w:firstRow="1" w:lastRow="1" w:firstColumn="1" w:lastColumn="0" w:noHBand="1" w:noVBand="1"/>
      </w:tblPr>
      <w:tblGrid>
        <w:gridCol w:w="3828"/>
        <w:gridCol w:w="787"/>
        <w:gridCol w:w="787"/>
        <w:gridCol w:w="788"/>
        <w:gridCol w:w="787"/>
        <w:gridCol w:w="788"/>
      </w:tblGrid>
      <w:tr w:rsidR="00B32D50" w:rsidRPr="00C11A7F" w:rsidTr="00C44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solid" w:color="000000" w:fill="auto"/>
          </w:tcPr>
          <w:p w:rsidR="00B32D50" w:rsidRPr="00C11A7F" w:rsidRDefault="00B32D50" w:rsidP="00F17BCD">
            <w:pPr>
              <w:autoSpaceDE w:val="0"/>
              <w:autoSpaceDN w:val="0"/>
              <w:adjustRightInd w:val="0"/>
              <w:rPr>
                <w:rFonts w:eastAsia="Times New Roman" w:cs="Calibri"/>
                <w:color w:val="FFFFFF"/>
                <w:szCs w:val="20"/>
                <w:lang w:eastAsia="en-AU"/>
              </w:rPr>
            </w:pPr>
            <w:bookmarkStart w:id="129" w:name="_Hlk525224200"/>
          </w:p>
        </w:tc>
        <w:tc>
          <w:tcPr>
            <w:tcW w:w="787"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787"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788"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787"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c>
          <w:tcPr>
            <w:tcW w:w="788"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sidRPr="00C11A7F">
              <w:rPr>
                <w:rFonts w:eastAsia="Times New Roman" w:cs="Calibri"/>
                <w:iCs/>
                <w:color w:val="FFFFFF"/>
                <w:szCs w:val="20"/>
                <w:lang w:eastAsia="en-AU"/>
              </w:rPr>
              <w:t>TEI</w:t>
            </w:r>
          </w:p>
        </w:tc>
      </w:tr>
      <w:tr w:rsidR="00B32D50" w:rsidRPr="00C11A7F" w:rsidTr="00C4434F">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tcPr>
          <w:p w:rsidR="00B32D50" w:rsidRPr="0088023E" w:rsidRDefault="00B32D50" w:rsidP="00F17BCD">
            <w:pPr>
              <w:autoSpaceDE w:val="0"/>
              <w:autoSpaceDN w:val="0"/>
              <w:adjustRightInd w:val="0"/>
              <w:rPr>
                <w:rFonts w:eastAsia="Times New Roman" w:cs="Calibri"/>
                <w:color w:val="000000"/>
                <w:szCs w:val="20"/>
                <w:lang w:eastAsia="en-AU"/>
              </w:rPr>
            </w:pPr>
            <w:r w:rsidRPr="0088023E">
              <w:rPr>
                <w:rFonts w:eastAsia="Times New Roman" w:cs="Calibri"/>
                <w:color w:val="000000"/>
                <w:szCs w:val="20"/>
                <w:lang w:eastAsia="en-AU"/>
              </w:rPr>
              <w:t xml:space="preserve">Victorian Electoral Commission </w:t>
            </w:r>
            <w:r>
              <w:rPr>
                <w:rFonts w:eastAsia="Times New Roman" w:cs="Calibri"/>
                <w:color w:val="000000"/>
                <w:szCs w:val="20"/>
                <w:lang w:eastAsia="en-AU"/>
              </w:rPr>
              <w:t>–</w:t>
            </w:r>
            <w:r w:rsidRPr="0088023E">
              <w:rPr>
                <w:rFonts w:eastAsia="Times New Roman" w:cs="Calibri"/>
                <w:color w:val="000000"/>
                <w:szCs w:val="20"/>
                <w:lang w:eastAsia="en-AU"/>
              </w:rPr>
              <w:t xml:space="preserve"> </w:t>
            </w:r>
            <w:r w:rsidR="00C4434F">
              <w:rPr>
                <w:rFonts w:eastAsia="Times New Roman" w:cs="Calibri"/>
                <w:color w:val="000000"/>
                <w:szCs w:val="20"/>
                <w:lang w:eastAsia="en-AU"/>
              </w:rPr>
              <w:br/>
            </w:r>
            <w:r w:rsidRPr="0088023E">
              <w:rPr>
                <w:rFonts w:eastAsia="Times New Roman" w:cs="Calibri"/>
                <w:color w:val="000000"/>
                <w:szCs w:val="20"/>
                <w:lang w:eastAsia="en-AU"/>
              </w:rPr>
              <w:t>new donations disclosure and reporting scheme</w:t>
            </w:r>
            <w:r>
              <w:rPr>
                <w:rFonts w:eastAsia="Times New Roman" w:cs="Calibri"/>
                <w:color w:val="000000"/>
                <w:szCs w:val="20"/>
                <w:lang w:eastAsia="en-AU"/>
              </w:rPr>
              <w:t xml:space="preserve"> </w:t>
            </w:r>
            <w:r w:rsidRPr="0049767C">
              <w:rPr>
                <w:rFonts w:eastAsia="Times New Roman" w:cs="Calibri"/>
                <w:color w:val="000000"/>
                <w:szCs w:val="20"/>
                <w:vertAlign w:val="superscript"/>
                <w:lang w:eastAsia="en-AU"/>
              </w:rPr>
              <w:t>(a)</w:t>
            </w:r>
          </w:p>
        </w:tc>
        <w:tc>
          <w:tcPr>
            <w:tcW w:w="787" w:type="dxa"/>
            <w:tcBorders>
              <w:top w:val="nil"/>
              <w:left w:val="nil"/>
              <w:bottom w:val="nil"/>
              <w:right w:val="nil"/>
            </w:tcBorders>
            <w:shd w:val="clear" w:color="auto" w:fill="auto"/>
          </w:tcPr>
          <w:p w:rsidR="00B32D50" w:rsidRPr="0088023E"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1</w:t>
            </w:r>
            <w:r w:rsidRPr="0088023E">
              <w:rPr>
                <w:rFonts w:eastAsia="Times New Roman" w:cs="Calibri"/>
                <w:color w:val="000000"/>
                <w:szCs w:val="20"/>
                <w:lang w:eastAsia="en-AU"/>
              </w:rPr>
              <w:t>.0</w:t>
            </w:r>
          </w:p>
        </w:tc>
        <w:tc>
          <w:tcPr>
            <w:tcW w:w="787" w:type="dxa"/>
            <w:tcBorders>
              <w:top w:val="nil"/>
              <w:left w:val="nil"/>
              <w:bottom w:val="nil"/>
              <w:right w:val="nil"/>
            </w:tcBorders>
            <w:shd w:val="clear" w:color="auto" w:fill="auto"/>
          </w:tcPr>
          <w:p w:rsidR="00B32D50" w:rsidRPr="0088023E"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88023E">
              <w:rPr>
                <w:rFonts w:eastAsia="Times New Roman" w:cs="Calibri"/>
                <w:color w:val="000000"/>
                <w:szCs w:val="20"/>
                <w:lang w:eastAsia="en-AU"/>
              </w:rPr>
              <w:t>1.0</w:t>
            </w:r>
          </w:p>
        </w:tc>
        <w:tc>
          <w:tcPr>
            <w:tcW w:w="788" w:type="dxa"/>
            <w:tcBorders>
              <w:top w:val="nil"/>
              <w:left w:val="nil"/>
              <w:bottom w:val="nil"/>
              <w:right w:val="nil"/>
            </w:tcBorders>
            <w:shd w:val="clear" w:color="auto" w:fill="auto"/>
          </w:tcPr>
          <w:p w:rsidR="00B32D50" w:rsidRPr="0088023E"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88023E">
              <w:rPr>
                <w:rFonts w:eastAsia="Times New Roman" w:cs="Calibri"/>
                <w:color w:val="000000"/>
                <w:szCs w:val="20"/>
                <w:lang w:eastAsia="en-AU"/>
              </w:rPr>
              <w:t>1.0</w:t>
            </w:r>
          </w:p>
        </w:tc>
        <w:tc>
          <w:tcPr>
            <w:tcW w:w="787" w:type="dxa"/>
            <w:tcBorders>
              <w:top w:val="nil"/>
              <w:left w:val="nil"/>
              <w:bottom w:val="nil"/>
              <w:right w:val="nil"/>
            </w:tcBorders>
            <w:shd w:val="clear" w:color="auto" w:fill="auto"/>
          </w:tcPr>
          <w:p w:rsidR="00B32D50" w:rsidRPr="0088023E"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88023E">
              <w:rPr>
                <w:rFonts w:eastAsia="Times New Roman" w:cs="Calibri"/>
                <w:color w:val="000000"/>
                <w:szCs w:val="20"/>
                <w:lang w:eastAsia="en-AU"/>
              </w:rPr>
              <w:t>1.0</w:t>
            </w:r>
          </w:p>
        </w:tc>
        <w:tc>
          <w:tcPr>
            <w:tcW w:w="788" w:type="dxa"/>
            <w:tcBorders>
              <w:top w:val="nil"/>
              <w:left w:val="nil"/>
              <w:bottom w:val="nil"/>
              <w:right w:val="nil"/>
            </w:tcBorders>
            <w:shd w:val="clear" w:color="auto" w:fill="auto"/>
          </w:tcPr>
          <w:p w:rsidR="00B32D50" w:rsidRPr="0088023E"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88023E">
              <w:rPr>
                <w:rFonts w:eastAsia="Times New Roman" w:cs="Calibri"/>
                <w:color w:val="000000"/>
                <w:szCs w:val="20"/>
                <w:lang w:eastAsia="en-AU"/>
              </w:rPr>
              <w:t>8.0</w:t>
            </w:r>
          </w:p>
        </w:tc>
      </w:tr>
      <w:tr w:rsidR="00B32D50" w:rsidRPr="00C11A7F" w:rsidTr="00C4434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12" w:space="0" w:color="auto"/>
            </w:tcBorders>
          </w:tcPr>
          <w:p w:rsidR="00B32D50" w:rsidRPr="00C11A7F" w:rsidRDefault="00B32D50" w:rsidP="00F17BCD">
            <w:pPr>
              <w:autoSpaceDE w:val="0"/>
              <w:autoSpaceDN w:val="0"/>
              <w:adjustRightInd w:val="0"/>
              <w:rPr>
                <w:rFonts w:eastAsia="Times New Roman" w:cs="Calibri"/>
                <w:bCs/>
                <w:color w:val="000000"/>
                <w:szCs w:val="20"/>
                <w:lang w:eastAsia="en-AU"/>
              </w:rPr>
            </w:pPr>
            <w:r w:rsidRPr="00C11A7F">
              <w:rPr>
                <w:rFonts w:eastAsia="Times New Roman" w:cs="Calibri"/>
                <w:bCs/>
                <w:color w:val="000000"/>
                <w:szCs w:val="20"/>
                <w:lang w:eastAsia="en-AU"/>
              </w:rPr>
              <w:t>Total asset initiatives</w:t>
            </w:r>
            <w:r>
              <w:rPr>
                <w:rFonts w:eastAsia="Times New Roman" w:cs="Calibri"/>
                <w:bCs/>
                <w:color w:val="000000"/>
                <w:szCs w:val="20"/>
                <w:lang w:eastAsia="en-AU"/>
              </w:rPr>
              <w:t xml:space="preserve"> </w:t>
            </w:r>
          </w:p>
        </w:tc>
        <w:tc>
          <w:tcPr>
            <w:tcW w:w="787" w:type="dxa"/>
            <w:tcBorders>
              <w:top w:val="single" w:sz="6" w:space="0" w:color="auto"/>
              <w:bottom w:val="single" w:sz="12" w:space="0" w:color="auto"/>
            </w:tcBorders>
          </w:tcPr>
          <w:p w:rsidR="00B32D50" w:rsidRPr="00C11A7F"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1.0</w:t>
            </w:r>
          </w:p>
        </w:tc>
        <w:tc>
          <w:tcPr>
            <w:tcW w:w="787" w:type="dxa"/>
            <w:tcBorders>
              <w:top w:val="single" w:sz="6" w:space="0" w:color="auto"/>
              <w:bottom w:val="single" w:sz="12" w:space="0" w:color="auto"/>
            </w:tcBorders>
          </w:tcPr>
          <w:p w:rsidR="00B32D50" w:rsidRPr="00C11A7F"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1.0</w:t>
            </w:r>
          </w:p>
        </w:tc>
        <w:tc>
          <w:tcPr>
            <w:tcW w:w="788" w:type="dxa"/>
            <w:tcBorders>
              <w:top w:val="single" w:sz="6" w:space="0" w:color="auto"/>
              <w:bottom w:val="single" w:sz="12" w:space="0" w:color="auto"/>
            </w:tcBorders>
          </w:tcPr>
          <w:p w:rsidR="00B32D50" w:rsidRPr="00C11A7F"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1.0</w:t>
            </w:r>
          </w:p>
        </w:tc>
        <w:tc>
          <w:tcPr>
            <w:tcW w:w="787" w:type="dxa"/>
            <w:tcBorders>
              <w:top w:val="single" w:sz="6" w:space="0" w:color="auto"/>
              <w:bottom w:val="single" w:sz="12" w:space="0" w:color="auto"/>
            </w:tcBorders>
          </w:tcPr>
          <w:p w:rsidR="00B32D50" w:rsidRPr="00C11A7F"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1.0</w:t>
            </w:r>
          </w:p>
        </w:tc>
        <w:tc>
          <w:tcPr>
            <w:tcW w:w="788" w:type="dxa"/>
            <w:tcBorders>
              <w:top w:val="single" w:sz="6" w:space="0" w:color="auto"/>
              <w:bottom w:val="single" w:sz="12" w:space="0" w:color="auto"/>
            </w:tcBorders>
          </w:tcPr>
          <w:p w:rsidR="00B32D50" w:rsidRPr="00C11A7F"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8.0</w:t>
            </w:r>
          </w:p>
        </w:tc>
      </w:tr>
    </w:tbl>
    <w:bookmarkEnd w:id="129"/>
    <w:p w:rsidR="00B32D50" w:rsidRDefault="00B32D50" w:rsidP="00F17BCD">
      <w:pPr>
        <w:pStyle w:val="Note"/>
        <w:rPr>
          <w:lang w:eastAsia="en-AU"/>
        </w:rPr>
      </w:pPr>
      <w:r>
        <w:rPr>
          <w:lang w:eastAsia="en-AU"/>
        </w:rPr>
        <w:t>Notes:</w:t>
      </w:r>
    </w:p>
    <w:p w:rsidR="00B32D50" w:rsidRDefault="00B32D50" w:rsidP="00F17BCD">
      <w:pPr>
        <w:pStyle w:val="Note"/>
        <w:rPr>
          <w:lang w:eastAsia="en-AU"/>
        </w:rPr>
      </w:pPr>
      <w:r>
        <w:rPr>
          <w:lang w:eastAsia="en-AU"/>
        </w:rPr>
        <w:t>(a)</w:t>
      </w:r>
      <w:r>
        <w:rPr>
          <w:lang w:eastAsia="en-AU"/>
        </w:rPr>
        <w:tab/>
        <w:t>TEI includes funding in 2017-18.</w:t>
      </w:r>
    </w:p>
    <w:p w:rsidR="00B32D50" w:rsidRPr="00E3476A" w:rsidRDefault="00B32D50" w:rsidP="00F17BCD">
      <w:pPr>
        <w:pStyle w:val="Heading30"/>
      </w:pPr>
      <w:r w:rsidRPr="00E3476A">
        <w:t xml:space="preserve">Victorian Electoral Commission </w:t>
      </w:r>
      <w:r>
        <w:t>–</w:t>
      </w:r>
      <w:r w:rsidRPr="00E3476A">
        <w:t xml:space="preserve"> new donations disclosure and reporting scheme</w:t>
      </w:r>
    </w:p>
    <w:p w:rsidR="00B32D50" w:rsidRDefault="00B32D50" w:rsidP="00F17BCD">
      <w:bookmarkStart w:id="130" w:name="_Hlk525227689"/>
      <w:r>
        <w:t>Refer to the output description of this initiative.</w:t>
      </w:r>
    </w:p>
    <w:p w:rsidR="00B32D50" w:rsidRPr="00C11A7F" w:rsidRDefault="00B32D50" w:rsidP="00834D1D">
      <w:pPr>
        <w:pStyle w:val="Heading10"/>
        <w:rPr>
          <w:lang w:eastAsia="en-AU"/>
        </w:rPr>
      </w:pPr>
      <w:bookmarkStart w:id="131" w:name="_Toc500179550"/>
      <w:bookmarkStart w:id="132" w:name="_Toc528864781"/>
      <w:bookmarkStart w:id="133" w:name="_Hlk527367681"/>
      <w:bookmarkStart w:id="134" w:name="_Hlk525224156"/>
      <w:bookmarkEnd w:id="130"/>
      <w:r w:rsidRPr="00C11A7F">
        <w:rPr>
          <w:lang w:eastAsia="en-AU"/>
        </w:rPr>
        <w:lastRenderedPageBreak/>
        <w:t>D</w:t>
      </w:r>
      <w:r>
        <w:rPr>
          <w:lang w:eastAsia="en-AU"/>
        </w:rPr>
        <w:t>epartment of Treasury and FinanC</w:t>
      </w:r>
      <w:r w:rsidRPr="00C11A7F">
        <w:rPr>
          <w:lang w:eastAsia="en-AU"/>
        </w:rPr>
        <w:t>e</w:t>
      </w:r>
      <w:bookmarkEnd w:id="131"/>
      <w:bookmarkEnd w:id="132"/>
    </w:p>
    <w:p w:rsidR="00B32D50" w:rsidRPr="007F4B6F" w:rsidRDefault="00B32D50" w:rsidP="00F17BCD">
      <w:pPr>
        <w:keepNext/>
        <w:numPr>
          <w:ilvl w:val="1"/>
          <w:numId w:val="0"/>
        </w:numPr>
        <w:tabs>
          <w:tab w:val="right" w:pos="9582"/>
        </w:tabs>
        <w:spacing w:before="240"/>
        <w:outlineLvl w:val="1"/>
        <w:rPr>
          <w:rFonts w:ascii="Calibri" w:hAnsi="Calibri"/>
          <w:b/>
          <w:i/>
          <w:spacing w:val="-2"/>
          <w:sz w:val="26"/>
          <w:szCs w:val="26"/>
          <w:lang w:eastAsia="en-AU"/>
        </w:rPr>
      </w:pPr>
      <w:r w:rsidRPr="007F4B6F">
        <w:rPr>
          <w:rFonts w:ascii="Calibri" w:hAnsi="Calibri"/>
          <w:b/>
          <w:i/>
          <w:spacing w:val="-2"/>
          <w:sz w:val="26"/>
          <w:szCs w:val="26"/>
          <w:lang w:eastAsia="en-AU"/>
        </w:rPr>
        <w:t>Output initiatives</w:t>
      </w:r>
    </w:p>
    <w:p w:rsidR="00B32D50" w:rsidRDefault="00B32D50" w:rsidP="00F17BCD">
      <w:pPr>
        <w:pStyle w:val="TableHeading"/>
        <w:spacing w:before="180"/>
        <w:rPr>
          <w:lang w:eastAsia="en-AU"/>
        </w:rPr>
      </w:pPr>
      <w:bookmarkStart w:id="135" w:name="_Hlk527370055"/>
      <w:bookmarkEnd w:id="133"/>
      <w:r>
        <w:rPr>
          <w:lang w:eastAsia="en-AU"/>
        </w:rPr>
        <w:t>Table A.14</w:t>
      </w:r>
      <w:r w:rsidRPr="00C11A7F">
        <w:rPr>
          <w:lang w:eastAsia="en-AU"/>
        </w:rPr>
        <w:t>:</w:t>
      </w:r>
      <w:r w:rsidRPr="00C11A7F">
        <w:rPr>
          <w:lang w:eastAsia="en-AU"/>
        </w:rPr>
        <w:tab/>
        <w:t>Output initiatives – Department of Treasury and Finance</w:t>
      </w:r>
      <w:r w:rsidRPr="00C11A7F">
        <w:rPr>
          <w:lang w:eastAsia="en-AU"/>
        </w:rPr>
        <w:tab/>
        <w:t>($ million)</w:t>
      </w:r>
    </w:p>
    <w:tbl>
      <w:tblPr>
        <w:tblStyle w:val="DTFTable"/>
        <w:tblW w:w="7765" w:type="dxa"/>
        <w:tblLayout w:type="fixed"/>
        <w:tblLook w:val="06E0" w:firstRow="1" w:lastRow="1" w:firstColumn="1" w:lastColumn="0" w:noHBand="1" w:noVBand="1"/>
      </w:tblPr>
      <w:tblGrid>
        <w:gridCol w:w="4365"/>
        <w:gridCol w:w="850"/>
        <w:gridCol w:w="850"/>
        <w:gridCol w:w="850"/>
        <w:gridCol w:w="850"/>
      </w:tblGrid>
      <w:tr w:rsidR="00B32D50" w:rsidRPr="00C11A7F" w:rsidTr="00F17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Pr>
          <w:p w:rsidR="00B32D50" w:rsidRPr="00C11A7F" w:rsidRDefault="00B32D50" w:rsidP="00F17BCD">
            <w:pPr>
              <w:autoSpaceDE w:val="0"/>
              <w:autoSpaceDN w:val="0"/>
              <w:adjustRightInd w:val="0"/>
              <w:rPr>
                <w:rFonts w:eastAsia="Times New Roman" w:cs="Calibri"/>
                <w:color w:val="FFFFFF"/>
                <w:szCs w:val="20"/>
                <w:lang w:eastAsia="en-AU"/>
              </w:rPr>
            </w:pPr>
            <w:bookmarkStart w:id="136" w:name="_Hlk527368817"/>
            <w:bookmarkEnd w:id="134"/>
            <w:bookmarkEnd w:id="135"/>
          </w:p>
        </w:tc>
        <w:tc>
          <w:tcPr>
            <w:tcW w:w="850" w:type="dxa"/>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850" w:type="dxa"/>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850" w:type="dxa"/>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850" w:type="dxa"/>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C10DAD" w:rsidRDefault="00B32D50" w:rsidP="00F17BCD">
            <w:pPr>
              <w:rPr>
                <w:rFonts w:cs="Calibri"/>
                <w:color w:val="000000"/>
                <w:szCs w:val="17"/>
              </w:rPr>
            </w:pPr>
            <w:r w:rsidRPr="00E0578E">
              <w:rPr>
                <w:rFonts w:cs="Calibri"/>
                <w:color w:val="000000"/>
                <w:szCs w:val="17"/>
              </w:rPr>
              <w:t>Annual land valuations</w:t>
            </w:r>
          </w:p>
        </w:tc>
        <w:tc>
          <w:tcPr>
            <w:tcW w:w="850" w:type="dxa"/>
          </w:tcPr>
          <w:p w:rsidR="00B32D50"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Pr>
                <w:rFonts w:cs="Calibri"/>
                <w:color w:val="000000"/>
                <w:szCs w:val="17"/>
                <w:lang w:eastAsia="en-AU"/>
              </w:rPr>
              <w:t>8.0</w:t>
            </w:r>
          </w:p>
        </w:tc>
        <w:tc>
          <w:tcPr>
            <w:tcW w:w="850" w:type="dxa"/>
          </w:tcPr>
          <w:p w:rsidR="00B32D50"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Pr>
                <w:rFonts w:cs="Calibri"/>
                <w:color w:val="000000"/>
                <w:szCs w:val="17"/>
                <w:lang w:eastAsia="en-AU"/>
              </w:rPr>
              <w:t>..</w:t>
            </w:r>
          </w:p>
        </w:tc>
        <w:tc>
          <w:tcPr>
            <w:tcW w:w="850" w:type="dxa"/>
          </w:tcPr>
          <w:p w:rsidR="00B32D50"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Pr>
                <w:rFonts w:cs="Calibri"/>
                <w:color w:val="000000"/>
                <w:szCs w:val="17"/>
                <w:lang w:eastAsia="en-AU"/>
              </w:rPr>
              <w:t>..</w:t>
            </w:r>
          </w:p>
        </w:tc>
        <w:tc>
          <w:tcPr>
            <w:tcW w:w="850" w:type="dxa"/>
          </w:tcPr>
          <w:p w:rsidR="00B32D50"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Pr>
                <w:rFonts w:cs="Calibri"/>
                <w:color w:val="000000"/>
                <w:szCs w:val="17"/>
                <w:lang w:eastAsia="en-AU"/>
              </w:rPr>
              <w:t>..</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C10DAD" w:rsidRDefault="00B32D50" w:rsidP="00F17BCD">
            <w:pPr>
              <w:rPr>
                <w:rFonts w:cs="Calibri"/>
                <w:color w:val="000000"/>
                <w:szCs w:val="17"/>
              </w:rPr>
            </w:pPr>
            <w:r w:rsidRPr="0089135B">
              <w:t>Commercialisation of land titles and registry functions of Land Use Victoria</w:t>
            </w:r>
          </w:p>
        </w:tc>
        <w:tc>
          <w:tcPr>
            <w:tcW w:w="850" w:type="dxa"/>
          </w:tcPr>
          <w:p w:rsidR="00B32D50"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t>10.8</w:t>
            </w:r>
          </w:p>
        </w:tc>
        <w:tc>
          <w:tcPr>
            <w:tcW w:w="850" w:type="dxa"/>
          </w:tcPr>
          <w:p w:rsidR="00B32D50"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sidRPr="0089135B">
              <w:t>..</w:t>
            </w:r>
          </w:p>
        </w:tc>
        <w:tc>
          <w:tcPr>
            <w:tcW w:w="850" w:type="dxa"/>
          </w:tcPr>
          <w:p w:rsidR="00B32D50"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sidRPr="0089135B">
              <w:t>..</w:t>
            </w:r>
          </w:p>
        </w:tc>
        <w:tc>
          <w:tcPr>
            <w:tcW w:w="850" w:type="dxa"/>
          </w:tcPr>
          <w:p w:rsidR="00B32D50"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sidRPr="0089135B">
              <w:t>..</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C10DAD" w:rsidRDefault="00B32D50" w:rsidP="00F17BCD">
            <w:pPr>
              <w:spacing w:after="0"/>
              <w:rPr>
                <w:rFonts w:cs="Calibri"/>
                <w:color w:val="000000"/>
                <w:szCs w:val="17"/>
                <w:lang w:eastAsia="en-AU"/>
              </w:rPr>
            </w:pPr>
            <w:r w:rsidRPr="00AD07AE">
              <w:rPr>
                <w:rFonts w:cs="Calibri"/>
                <w:i/>
                <w:color w:val="000000"/>
                <w:szCs w:val="17"/>
              </w:rPr>
              <w:t>Homes for Victorians</w:t>
            </w:r>
            <w:r w:rsidRPr="00C10DAD">
              <w:rPr>
                <w:rFonts w:cs="Calibri"/>
                <w:color w:val="000000"/>
                <w:szCs w:val="17"/>
              </w:rPr>
              <w:t xml:space="preserve"> housing strategy</w:t>
            </w:r>
          </w:p>
        </w:tc>
        <w:tc>
          <w:tcPr>
            <w:tcW w:w="850" w:type="dxa"/>
          </w:tcPr>
          <w:p w:rsidR="00B32D50" w:rsidRPr="00C10DAD"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Pr>
                <w:rFonts w:cs="Calibri"/>
                <w:color w:val="000000"/>
                <w:szCs w:val="17"/>
                <w:lang w:eastAsia="en-AU"/>
              </w:rPr>
              <w:t>1.0</w:t>
            </w:r>
          </w:p>
        </w:tc>
        <w:tc>
          <w:tcPr>
            <w:tcW w:w="850" w:type="dxa"/>
          </w:tcPr>
          <w:p w:rsidR="00B32D50" w:rsidRPr="00C10DAD"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Pr>
                <w:rFonts w:cs="Calibri"/>
                <w:color w:val="000000"/>
                <w:szCs w:val="17"/>
                <w:lang w:eastAsia="en-AU"/>
              </w:rPr>
              <w:t>..</w:t>
            </w:r>
          </w:p>
        </w:tc>
        <w:tc>
          <w:tcPr>
            <w:tcW w:w="850" w:type="dxa"/>
          </w:tcPr>
          <w:p w:rsidR="00B32D50" w:rsidRPr="00C10DAD"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Pr>
                <w:rFonts w:cs="Calibri"/>
                <w:color w:val="000000"/>
                <w:szCs w:val="17"/>
                <w:lang w:eastAsia="en-AU"/>
              </w:rPr>
              <w:t>..</w:t>
            </w:r>
          </w:p>
        </w:tc>
        <w:tc>
          <w:tcPr>
            <w:tcW w:w="850" w:type="dxa"/>
          </w:tcPr>
          <w:p w:rsidR="00B32D50" w:rsidRPr="00C10DAD" w:rsidRDefault="00B32D50" w:rsidP="00F17BCD">
            <w:pPr>
              <w:autoSpaceDE w:val="0"/>
              <w:autoSpaceDN w:val="0"/>
              <w:adjustRightInd w:val="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Pr>
                <w:rFonts w:cs="Calibri"/>
                <w:color w:val="000000"/>
                <w:szCs w:val="17"/>
                <w:lang w:eastAsia="en-AU"/>
              </w:rPr>
              <w:t>..</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C10DAD" w:rsidRDefault="00B32D50" w:rsidP="00F17BCD">
            <w:pPr>
              <w:rPr>
                <w:rFonts w:cs="Calibri"/>
                <w:color w:val="000000"/>
                <w:szCs w:val="17"/>
              </w:rPr>
            </w:pPr>
            <w:r w:rsidRPr="00C23C5E">
              <w:rPr>
                <w:rFonts w:cs="Calibri"/>
                <w:color w:val="000000"/>
                <w:szCs w:val="17"/>
              </w:rPr>
              <w:t>Point of Consumption Tax administrative costs</w:t>
            </w:r>
          </w:p>
        </w:tc>
        <w:tc>
          <w:tcPr>
            <w:tcW w:w="850" w:type="dxa"/>
          </w:tcPr>
          <w:p w:rsidR="00B32D50" w:rsidRPr="00C10DAD" w:rsidRDefault="00B32D50" w:rsidP="00F17BCD">
            <w:pPr>
              <w:autoSpaceDE w:val="0"/>
              <w:autoSpaceDN w:val="0"/>
              <w:adjustRightInd w:val="0"/>
              <w:spacing w:after="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2.5</w:t>
            </w:r>
          </w:p>
        </w:tc>
        <w:tc>
          <w:tcPr>
            <w:tcW w:w="850" w:type="dxa"/>
          </w:tcPr>
          <w:p w:rsidR="00B32D50" w:rsidRPr="00C10DAD"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1.0</w:t>
            </w:r>
          </w:p>
        </w:tc>
        <w:tc>
          <w:tcPr>
            <w:tcW w:w="850" w:type="dxa"/>
          </w:tcPr>
          <w:p w:rsidR="00B32D50" w:rsidRPr="00C10DAD" w:rsidRDefault="00B32D50" w:rsidP="00F17BCD">
            <w:pPr>
              <w:spacing w:after="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1.0</w:t>
            </w:r>
          </w:p>
        </w:tc>
        <w:tc>
          <w:tcPr>
            <w:tcW w:w="850" w:type="dxa"/>
          </w:tcPr>
          <w:p w:rsidR="00B32D50" w:rsidRPr="00C10DAD" w:rsidRDefault="00B32D50" w:rsidP="00F17BCD">
            <w:pPr>
              <w:autoSpaceDE w:val="0"/>
              <w:autoSpaceDN w:val="0"/>
              <w:adjustRightInd w:val="0"/>
              <w:spacing w:after="0"/>
              <w:ind w:left="170" w:hanging="170"/>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cs="Calibri"/>
                <w:color w:val="000000"/>
                <w:szCs w:val="17"/>
              </w:rPr>
              <w:t>1.0</w:t>
            </w:r>
          </w:p>
        </w:tc>
      </w:tr>
      <w:tr w:rsidR="00B32D50" w:rsidRPr="00C11A7F"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Pr>
          <w:p w:rsidR="00B32D50" w:rsidRPr="00C10DAD" w:rsidRDefault="00B32D50" w:rsidP="00F17BCD">
            <w:pPr>
              <w:autoSpaceDE w:val="0"/>
              <w:autoSpaceDN w:val="0"/>
              <w:adjustRightInd w:val="0"/>
              <w:rPr>
                <w:rFonts w:eastAsia="Times New Roman" w:cs="Calibri"/>
                <w:bCs/>
                <w:color w:val="000000"/>
                <w:szCs w:val="17"/>
                <w:lang w:eastAsia="en-AU"/>
              </w:rPr>
            </w:pPr>
            <w:r w:rsidRPr="00C10DAD">
              <w:rPr>
                <w:rFonts w:eastAsia="Times New Roman" w:cs="Calibri"/>
                <w:bCs/>
                <w:color w:val="000000"/>
                <w:szCs w:val="17"/>
                <w:lang w:eastAsia="en-AU"/>
              </w:rPr>
              <w:t>Total output initiatives</w:t>
            </w:r>
            <w:r>
              <w:rPr>
                <w:rFonts w:eastAsia="Times New Roman" w:cs="Calibri"/>
                <w:bCs/>
                <w:color w:val="000000"/>
                <w:szCs w:val="17"/>
                <w:lang w:eastAsia="en-AU"/>
              </w:rPr>
              <w:t xml:space="preserve"> </w:t>
            </w:r>
            <w:r w:rsidRPr="0049767C">
              <w:rPr>
                <w:rFonts w:eastAsia="Times New Roman" w:cs="Calibri"/>
                <w:bCs/>
                <w:color w:val="000000"/>
                <w:szCs w:val="17"/>
                <w:vertAlign w:val="superscript"/>
                <w:lang w:eastAsia="en-AU"/>
              </w:rPr>
              <w:t>(a)</w:t>
            </w:r>
          </w:p>
        </w:tc>
        <w:tc>
          <w:tcPr>
            <w:tcW w:w="850" w:type="dxa"/>
          </w:tcPr>
          <w:p w:rsidR="00B32D50" w:rsidRPr="00C10DAD"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17"/>
                <w:lang w:eastAsia="en-AU"/>
              </w:rPr>
            </w:pPr>
            <w:r>
              <w:rPr>
                <w:rFonts w:eastAsia="Times New Roman" w:cs="Calibri"/>
                <w:bCs/>
                <w:color w:val="000000"/>
                <w:szCs w:val="17"/>
                <w:lang w:eastAsia="en-AU"/>
              </w:rPr>
              <w:t>22.3</w:t>
            </w:r>
          </w:p>
        </w:tc>
        <w:tc>
          <w:tcPr>
            <w:tcW w:w="850" w:type="dxa"/>
          </w:tcPr>
          <w:p w:rsidR="00B32D50" w:rsidRPr="00C10DAD"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17"/>
                <w:lang w:eastAsia="en-AU"/>
              </w:rPr>
            </w:pPr>
            <w:r>
              <w:rPr>
                <w:rFonts w:eastAsia="Times New Roman" w:cs="Calibri"/>
                <w:bCs/>
                <w:color w:val="000000"/>
                <w:szCs w:val="17"/>
                <w:lang w:eastAsia="en-AU"/>
              </w:rPr>
              <w:t>1.0</w:t>
            </w:r>
          </w:p>
        </w:tc>
        <w:tc>
          <w:tcPr>
            <w:tcW w:w="850" w:type="dxa"/>
          </w:tcPr>
          <w:p w:rsidR="00B32D50" w:rsidRPr="00C10DAD"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17"/>
                <w:lang w:eastAsia="en-AU"/>
              </w:rPr>
            </w:pPr>
            <w:r>
              <w:rPr>
                <w:rFonts w:eastAsia="Times New Roman" w:cs="Calibri"/>
                <w:bCs/>
                <w:color w:val="000000"/>
                <w:szCs w:val="17"/>
                <w:lang w:eastAsia="en-AU"/>
              </w:rPr>
              <w:t>1.0</w:t>
            </w:r>
          </w:p>
        </w:tc>
        <w:tc>
          <w:tcPr>
            <w:tcW w:w="850" w:type="dxa"/>
          </w:tcPr>
          <w:p w:rsidR="00B32D50" w:rsidRPr="00C10DAD" w:rsidRDefault="00B32D50" w:rsidP="00F17BCD">
            <w:pPr>
              <w:autoSpaceDE w:val="0"/>
              <w:autoSpaceDN w:val="0"/>
              <w:adjustRightInd w:val="0"/>
              <w:ind w:left="170" w:hanging="17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17"/>
                <w:lang w:eastAsia="en-AU"/>
              </w:rPr>
            </w:pPr>
            <w:r>
              <w:rPr>
                <w:rFonts w:eastAsia="Times New Roman" w:cs="Calibri"/>
                <w:bCs/>
                <w:color w:val="000000"/>
                <w:szCs w:val="17"/>
                <w:lang w:eastAsia="en-AU"/>
              </w:rPr>
              <w:t>1.0</w:t>
            </w:r>
          </w:p>
        </w:tc>
      </w:tr>
    </w:tbl>
    <w:bookmarkEnd w:id="136"/>
    <w:p w:rsidR="00B32D50" w:rsidRDefault="00B32D50" w:rsidP="00F17BCD">
      <w:pPr>
        <w:pStyle w:val="Note"/>
        <w:rPr>
          <w:lang w:eastAsia="en-AU"/>
        </w:rPr>
      </w:pPr>
      <w:r>
        <w:rPr>
          <w:lang w:eastAsia="en-AU"/>
        </w:rPr>
        <w:t>Note:</w:t>
      </w:r>
    </w:p>
    <w:p w:rsidR="00B32D50" w:rsidRDefault="00B32D50" w:rsidP="00F17BCD">
      <w:pPr>
        <w:pStyle w:val="Note"/>
        <w:rPr>
          <w:lang w:eastAsia="en-AU"/>
        </w:rPr>
      </w:pPr>
      <w:r>
        <w:rPr>
          <w:lang w:eastAsia="en-AU"/>
        </w:rPr>
        <w:t>(a)</w:t>
      </w:r>
      <w:r>
        <w:rPr>
          <w:lang w:eastAsia="en-AU"/>
        </w:rPr>
        <w:tab/>
        <w:t>Table may not add due to rounding.</w:t>
      </w:r>
    </w:p>
    <w:p w:rsidR="00B32D50" w:rsidRDefault="00B32D50" w:rsidP="00F17BCD">
      <w:pPr>
        <w:pStyle w:val="Heading30"/>
        <w:spacing w:before="180"/>
        <w:rPr>
          <w:rFonts w:ascii="Garamond" w:eastAsia="Garamond" w:hAnsi="Garamond" w:cs="Times New Roman"/>
          <w:highlight w:val="yellow"/>
          <w:lang w:eastAsia="en-AU"/>
        </w:rPr>
      </w:pPr>
      <w:r w:rsidRPr="00BC3980">
        <w:rPr>
          <w:rFonts w:eastAsia="Times New Roman"/>
        </w:rPr>
        <w:t xml:space="preserve">Annual land valuations </w:t>
      </w:r>
      <w:r>
        <w:rPr>
          <w:rFonts w:eastAsia="Times New Roman"/>
        </w:rPr>
        <w:t xml:space="preserve"> </w:t>
      </w:r>
    </w:p>
    <w:p w:rsidR="00B32D50" w:rsidRPr="00BC3980" w:rsidRDefault="00B32D50" w:rsidP="00F17BCD">
      <w:pPr>
        <w:rPr>
          <w:rFonts w:ascii="Garamond" w:eastAsia="Garamond" w:hAnsi="Garamond" w:cs="Times New Roman"/>
        </w:rPr>
      </w:pPr>
      <w:r w:rsidRPr="00BC3980">
        <w:rPr>
          <w:rFonts w:ascii="Garamond" w:eastAsia="Garamond" w:hAnsi="Garamond" w:cs="Times New Roman"/>
        </w:rPr>
        <w:t xml:space="preserve">Additional funding for land valuations will be provided to aid implementation of changes to the </w:t>
      </w:r>
      <w:r w:rsidRPr="009F2ABF">
        <w:rPr>
          <w:rFonts w:ascii="Garamond" w:eastAsia="Garamond" w:hAnsi="Garamond" w:cs="Times New Roman"/>
          <w:i/>
        </w:rPr>
        <w:t>Valuation Land Act 1960</w:t>
      </w:r>
      <w:r w:rsidRPr="00BC3980">
        <w:rPr>
          <w:rFonts w:ascii="Garamond" w:eastAsia="Garamond" w:hAnsi="Garamond" w:cs="Times New Roman"/>
        </w:rPr>
        <w:t xml:space="preserve">, which centralised responsibility for statutory property valuations with the Valuer-General Victoria from the 2019 revaluation year. </w:t>
      </w:r>
    </w:p>
    <w:p w:rsidR="00B32D50" w:rsidRDefault="00B32D50" w:rsidP="00F17BCD">
      <w:pPr>
        <w:rPr>
          <w:rFonts w:ascii="Garamond" w:eastAsia="Garamond" w:hAnsi="Garamond" w:cs="Times New Roman"/>
        </w:rPr>
      </w:pPr>
      <w:r w:rsidRPr="00BC3980">
        <w:rPr>
          <w:rFonts w:ascii="Garamond" w:eastAsia="Garamond" w:hAnsi="Garamond" w:cs="Times New Roman"/>
        </w:rPr>
        <w:t>This initiative contributes to the Department of Treasury and Finance</w:t>
      </w:r>
      <w:r>
        <w:rPr>
          <w:rFonts w:ascii="Garamond" w:eastAsia="Garamond" w:hAnsi="Garamond" w:cs="Times New Roman"/>
        </w:rPr>
        <w:t>’</w:t>
      </w:r>
      <w:r w:rsidRPr="00BC3980">
        <w:rPr>
          <w:rFonts w:ascii="Garamond" w:eastAsia="Garamond" w:hAnsi="Garamond" w:cs="Times New Roman"/>
        </w:rPr>
        <w:t>s Revenue Management and Administrative Services to Government output.</w:t>
      </w:r>
    </w:p>
    <w:p w:rsidR="00B32D50" w:rsidRDefault="00B32D50" w:rsidP="00F17BCD">
      <w:pPr>
        <w:pStyle w:val="Heading30"/>
        <w:spacing w:before="180"/>
      </w:pPr>
      <w:bookmarkStart w:id="137" w:name="_Hlk528664757"/>
      <w:r w:rsidRPr="00DC2732">
        <w:t>Commercialisation of land titles and registry functions of Land Use Victoria</w:t>
      </w:r>
    </w:p>
    <w:bookmarkEnd w:id="137"/>
    <w:p w:rsidR="00B32D50" w:rsidRDefault="00B32D50" w:rsidP="00F17BCD">
      <w:pPr>
        <w:pStyle w:val="Heading30"/>
        <w:spacing w:before="180"/>
        <w:rPr>
          <w:rFonts w:ascii="Garamond" w:eastAsia="Garamond" w:hAnsi="Garamond" w:cs="Times New Roman"/>
          <w:b w:val="0"/>
          <w:bCs w:val="0"/>
          <w:spacing w:val="0"/>
          <w:szCs w:val="22"/>
          <w:lang w:eastAsia="en-AU"/>
        </w:rPr>
      </w:pPr>
      <w:r>
        <w:rPr>
          <w:rFonts w:ascii="Garamond" w:eastAsia="Garamond" w:hAnsi="Garamond" w:cs="Times New Roman"/>
          <w:b w:val="0"/>
          <w:bCs w:val="0"/>
          <w:spacing w:val="0"/>
          <w:szCs w:val="22"/>
          <w:lang w:eastAsia="en-AU"/>
        </w:rPr>
        <w:t>Funding has been</w:t>
      </w:r>
      <w:r w:rsidRPr="001B4FAD">
        <w:rPr>
          <w:rFonts w:ascii="Garamond" w:eastAsia="Garamond" w:hAnsi="Garamond" w:cs="Times New Roman"/>
          <w:b w:val="0"/>
          <w:bCs w:val="0"/>
          <w:spacing w:val="0"/>
          <w:szCs w:val="22"/>
          <w:lang w:eastAsia="en-AU"/>
        </w:rPr>
        <w:t xml:space="preserve"> provided to undertake the market engagement and transaction phase of the commercialisation of land titles and registry functions of Land Use Victoria, which includes the engagement of financial, accounting, tax and business separation, and legal and insurance advisers</w:t>
      </w:r>
      <w:r>
        <w:rPr>
          <w:rFonts w:ascii="Garamond" w:eastAsia="Garamond" w:hAnsi="Garamond" w:cs="Times New Roman"/>
          <w:b w:val="0"/>
          <w:bCs w:val="0"/>
          <w:spacing w:val="0"/>
          <w:szCs w:val="22"/>
          <w:lang w:eastAsia="en-AU"/>
        </w:rPr>
        <w:t>.</w:t>
      </w:r>
    </w:p>
    <w:p w:rsidR="00B32D50" w:rsidRDefault="00B32D50" w:rsidP="00F17BCD">
      <w:pPr>
        <w:pStyle w:val="Heading30"/>
        <w:spacing w:before="180"/>
      </w:pPr>
      <w:r w:rsidRPr="00DC2732">
        <w:rPr>
          <w:rFonts w:ascii="Garamond" w:eastAsia="Garamond" w:hAnsi="Garamond" w:cs="Times New Roman"/>
          <w:b w:val="0"/>
          <w:bCs w:val="0"/>
          <w:spacing w:val="0"/>
          <w:szCs w:val="22"/>
          <w:lang w:eastAsia="en-AU"/>
        </w:rPr>
        <w:t>This initiative contributes to the Department of Treasury and Finance</w:t>
      </w:r>
      <w:r>
        <w:rPr>
          <w:rFonts w:ascii="Garamond" w:eastAsia="Garamond" w:hAnsi="Garamond" w:cs="Times New Roman"/>
          <w:b w:val="0"/>
          <w:bCs w:val="0"/>
          <w:spacing w:val="0"/>
          <w:szCs w:val="22"/>
          <w:lang w:eastAsia="en-AU"/>
        </w:rPr>
        <w:t>’</w:t>
      </w:r>
      <w:r w:rsidRPr="00DC2732">
        <w:rPr>
          <w:rFonts w:ascii="Garamond" w:eastAsia="Garamond" w:hAnsi="Garamond" w:cs="Times New Roman"/>
          <w:b w:val="0"/>
          <w:bCs w:val="0"/>
          <w:spacing w:val="0"/>
          <w:szCs w:val="22"/>
          <w:lang w:eastAsia="en-AU"/>
        </w:rPr>
        <w:t>s Commercial and Infrastructure Advice output.</w:t>
      </w:r>
    </w:p>
    <w:p w:rsidR="00B32D50" w:rsidRPr="00B2651A" w:rsidRDefault="00B32D50" w:rsidP="00F17BCD">
      <w:pPr>
        <w:pStyle w:val="Heading30"/>
        <w:spacing w:before="180"/>
        <w:rPr>
          <w:rFonts w:asciiTheme="minorHAnsi" w:hAnsiTheme="minorHAnsi"/>
          <w:szCs w:val="20"/>
        </w:rPr>
      </w:pPr>
      <w:r w:rsidRPr="007F4B6F">
        <w:rPr>
          <w:i/>
        </w:rPr>
        <w:t>Homes for Victorians</w:t>
      </w:r>
      <w:r>
        <w:t xml:space="preserve"> housing strategy </w:t>
      </w:r>
    </w:p>
    <w:p w:rsidR="00B32D50" w:rsidRPr="002E1105" w:rsidRDefault="00B32D50" w:rsidP="00F17BCD">
      <w:r>
        <w:t>Funding will be</w:t>
      </w:r>
      <w:r w:rsidRPr="002E1105">
        <w:t xml:space="preserve"> provided for </w:t>
      </w:r>
      <w:r>
        <w:t xml:space="preserve">administering </w:t>
      </w:r>
      <w:r w:rsidRPr="002E1105">
        <w:t xml:space="preserve">the </w:t>
      </w:r>
      <w:r w:rsidRPr="002E1105">
        <w:rPr>
          <w:i/>
        </w:rPr>
        <w:t>Homes for Victorians</w:t>
      </w:r>
      <w:r w:rsidRPr="002E1105">
        <w:t xml:space="preserve"> housing strategy</w:t>
      </w:r>
      <w:r>
        <w:t>,</w:t>
      </w:r>
      <w:r w:rsidRPr="002E1105">
        <w:t xml:space="preserve"> which consists of a suite of initiatives that will assist in improving housing accessibility and affordability</w:t>
      </w:r>
      <w:r>
        <w:t xml:space="preserve"> in Victoria</w:t>
      </w:r>
      <w:r w:rsidRPr="002E1105">
        <w:t>.</w:t>
      </w:r>
    </w:p>
    <w:p w:rsidR="00B32D50" w:rsidRPr="00532882" w:rsidRDefault="00B32D50" w:rsidP="00F17BCD">
      <w:r>
        <w:t xml:space="preserve">This initiative contributes to the Department of Treasury and Finance’s Commercial and Infrastructure Advice output. </w:t>
      </w:r>
    </w:p>
    <w:p w:rsidR="00B32D50" w:rsidRDefault="00B32D50" w:rsidP="00F17BCD">
      <w:pPr>
        <w:pStyle w:val="Heading30"/>
        <w:spacing w:before="180"/>
      </w:pPr>
      <w:r>
        <w:t>Point of Consumption Tax administrative costs</w:t>
      </w:r>
    </w:p>
    <w:p w:rsidR="00B32D50" w:rsidRPr="00FF2661" w:rsidRDefault="00B32D50" w:rsidP="00F17BCD">
      <w:r w:rsidRPr="00FF2661">
        <w:t xml:space="preserve">The State Revenue Office will be provided with additional funding to administer the Point of Consumption Tax, including for the establishment of collection and administrative systems. </w:t>
      </w:r>
    </w:p>
    <w:p w:rsidR="00B32D50" w:rsidRPr="00B2651A" w:rsidRDefault="00B32D50" w:rsidP="00F17BCD">
      <w:r w:rsidRPr="00FF2661">
        <w:t>This initiative contributes to the Department of Treasury and Finance</w:t>
      </w:r>
      <w:r>
        <w:t>’</w:t>
      </w:r>
      <w:r w:rsidRPr="00FF2661">
        <w:t>s Revenue Management and Administrative Services to Government output.</w:t>
      </w:r>
    </w:p>
    <w:p w:rsidR="00B32D50" w:rsidRPr="00C11A7F" w:rsidRDefault="00B32D50" w:rsidP="00834D1D">
      <w:pPr>
        <w:pStyle w:val="Heading10"/>
      </w:pPr>
      <w:bookmarkStart w:id="138" w:name="_Toc500179552"/>
      <w:bookmarkStart w:id="139" w:name="_Toc528864782"/>
      <w:r w:rsidRPr="00C11A7F">
        <w:lastRenderedPageBreak/>
        <w:t>Court Services Victoria</w:t>
      </w:r>
      <w:bookmarkEnd w:id="138"/>
      <w:bookmarkEnd w:id="139"/>
    </w:p>
    <w:p w:rsidR="00B32D50" w:rsidRPr="007F4B6F" w:rsidRDefault="00B32D50" w:rsidP="00F17BCD">
      <w:pPr>
        <w:keepNext/>
        <w:numPr>
          <w:ilvl w:val="1"/>
          <w:numId w:val="0"/>
        </w:numPr>
        <w:tabs>
          <w:tab w:val="right" w:pos="9582"/>
        </w:tabs>
        <w:spacing w:before="240"/>
        <w:outlineLvl w:val="1"/>
        <w:rPr>
          <w:rFonts w:ascii="Calibri" w:hAnsi="Calibri"/>
          <w:b/>
          <w:i/>
          <w:spacing w:val="-2"/>
          <w:sz w:val="26"/>
          <w:szCs w:val="26"/>
          <w:lang w:eastAsia="en-AU"/>
        </w:rPr>
      </w:pPr>
      <w:r w:rsidRPr="007F4B6F">
        <w:rPr>
          <w:rFonts w:ascii="Calibri" w:hAnsi="Calibri"/>
          <w:b/>
          <w:i/>
          <w:spacing w:val="-2"/>
          <w:sz w:val="26"/>
          <w:szCs w:val="26"/>
          <w:lang w:eastAsia="en-AU"/>
        </w:rPr>
        <w:t>Output initiatives</w:t>
      </w:r>
    </w:p>
    <w:p w:rsidR="00B32D50" w:rsidRDefault="00B32D50" w:rsidP="00F17BCD">
      <w:pPr>
        <w:pStyle w:val="TableHeading"/>
        <w:spacing w:before="180"/>
        <w:rPr>
          <w:lang w:eastAsia="en-AU"/>
        </w:rPr>
      </w:pPr>
      <w:r>
        <w:rPr>
          <w:lang w:eastAsia="en-AU"/>
        </w:rPr>
        <w:t>Table A.15</w:t>
      </w:r>
      <w:r w:rsidRPr="00C11A7F">
        <w:rPr>
          <w:lang w:eastAsia="en-AU"/>
        </w:rPr>
        <w:t>:</w:t>
      </w:r>
      <w:r w:rsidRPr="00C11A7F">
        <w:rPr>
          <w:lang w:eastAsia="en-AU"/>
        </w:rPr>
        <w:tab/>
        <w:t>Output initiatives – Court Services Victoria</w:t>
      </w:r>
      <w:r w:rsidRPr="00C11A7F">
        <w:rPr>
          <w:lang w:eastAsia="en-AU"/>
        </w:rPr>
        <w:tab/>
        <w:t>($ million)</w:t>
      </w:r>
    </w:p>
    <w:tbl>
      <w:tblPr>
        <w:tblStyle w:val="DTFTable8"/>
        <w:tblW w:w="7765" w:type="dxa"/>
        <w:tblInd w:w="45" w:type="dxa"/>
        <w:tblLayout w:type="fixed"/>
        <w:tblCellMar>
          <w:left w:w="45" w:type="dxa"/>
          <w:right w:w="45" w:type="dxa"/>
        </w:tblCellMar>
        <w:tblLook w:val="06E0" w:firstRow="1" w:lastRow="1" w:firstColumn="1" w:lastColumn="0" w:noHBand="1" w:noVBand="1"/>
      </w:tblPr>
      <w:tblGrid>
        <w:gridCol w:w="4365"/>
        <w:gridCol w:w="850"/>
        <w:gridCol w:w="850"/>
        <w:gridCol w:w="850"/>
        <w:gridCol w:w="850"/>
      </w:tblGrid>
      <w:tr w:rsidR="00B32D50" w:rsidRPr="00C11A7F"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shd w:val="solid" w:color="000000" w:fill="auto"/>
          </w:tcPr>
          <w:p w:rsidR="00B32D50" w:rsidRPr="00C11A7F" w:rsidRDefault="00B32D50" w:rsidP="00F17BCD">
            <w:pPr>
              <w:autoSpaceDE w:val="0"/>
              <w:autoSpaceDN w:val="0"/>
              <w:adjustRightInd w:val="0"/>
              <w:rPr>
                <w:rFonts w:eastAsia="Times New Roman" w:cs="Calibri"/>
                <w:color w:val="FFFFFF"/>
                <w:szCs w:val="20"/>
                <w:lang w:eastAsia="en-AU"/>
              </w:rPr>
            </w:pP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Pr="00C11A7F" w:rsidRDefault="00B32D50" w:rsidP="00F17BCD">
            <w:pPr>
              <w:autoSpaceDE w:val="0"/>
              <w:autoSpaceDN w:val="0"/>
              <w:adjustRightInd w:val="0"/>
              <w:spacing w:after="0"/>
              <w:rPr>
                <w:rFonts w:eastAsia="Times New Roman" w:cs="Calibri"/>
                <w:color w:val="000000"/>
                <w:szCs w:val="20"/>
                <w:lang w:eastAsia="en-AU"/>
              </w:rPr>
            </w:pPr>
            <w:bookmarkStart w:id="140" w:name="_Hlk525224809"/>
            <w:r>
              <w:rPr>
                <w:rFonts w:eastAsia="Times New Roman" w:cs="Calibri"/>
                <w:color w:val="000000"/>
                <w:szCs w:val="20"/>
                <w:lang w:eastAsia="en-AU"/>
              </w:rPr>
              <w:t>Aboriginal Justice Agreement Phase Four</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lang w:eastAsia="en-AU"/>
              </w:rPr>
            </w:pPr>
            <w:r w:rsidRPr="00C746FF">
              <w:rPr>
                <w:rFonts w:cs="Calibri"/>
                <w:color w:val="000000"/>
                <w:szCs w:val="17"/>
              </w:rPr>
              <w:t>2.4</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rPr>
            </w:pPr>
            <w:r w:rsidRPr="00C746FF">
              <w:rPr>
                <w:rFonts w:cs="Calibri"/>
                <w:color w:val="000000"/>
                <w:szCs w:val="17"/>
              </w:rPr>
              <w:t>2.4</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rPr>
            </w:pPr>
            <w:r w:rsidRPr="00C746FF">
              <w:rPr>
                <w:rFonts w:cs="Calibri"/>
                <w:color w:val="000000"/>
                <w:szCs w:val="17"/>
              </w:rPr>
              <w:t>2.9</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rPr>
            </w:pPr>
            <w:r w:rsidRPr="00C746FF">
              <w:rPr>
                <w:rFonts w:cs="Calibri"/>
                <w:color w:val="000000"/>
                <w:szCs w:val="17"/>
              </w:rPr>
              <w:t>3.2</w:t>
            </w:r>
          </w:p>
        </w:tc>
      </w:tr>
      <w:bookmarkEnd w:id="140"/>
      <w:tr w:rsidR="00B32D50" w:rsidRPr="00C11A7F" w:rsidTr="00F17BCD">
        <w:tc>
          <w:tcPr>
            <w:cnfStyle w:val="001000000000" w:firstRow="0" w:lastRow="0" w:firstColumn="1" w:lastColumn="0" w:oddVBand="0" w:evenVBand="0" w:oddHBand="0" w:evenHBand="0" w:firstRowFirstColumn="0" w:firstRowLastColumn="0" w:lastRowFirstColumn="0" w:lastRowLastColumn="0"/>
            <w:tcW w:w="4365" w:type="dxa"/>
            <w:tcBorders>
              <w:top w:val="nil"/>
              <w:left w:val="nil"/>
              <w:bottom w:val="nil"/>
              <w:right w:val="nil"/>
            </w:tcBorders>
          </w:tcPr>
          <w:p w:rsidR="00B32D50" w:rsidRDefault="00B32D50" w:rsidP="00F17BCD">
            <w:pPr>
              <w:autoSpaceDE w:val="0"/>
              <w:autoSpaceDN w:val="0"/>
              <w:adjustRightInd w:val="0"/>
              <w:rPr>
                <w:rFonts w:eastAsia="Times New Roman" w:cs="Calibri"/>
                <w:color w:val="000000"/>
                <w:szCs w:val="20"/>
                <w:lang w:eastAsia="en-AU"/>
              </w:rPr>
            </w:pPr>
            <w:r w:rsidRPr="009B3175">
              <w:rPr>
                <w:rFonts w:asciiTheme="majorHAnsi" w:hAnsiTheme="majorHAnsi" w:cstheme="majorHAnsi"/>
                <w:szCs w:val="17"/>
              </w:rPr>
              <w:t>Judicial Commission of Victoria</w:t>
            </w:r>
          </w:p>
        </w:tc>
        <w:tc>
          <w:tcPr>
            <w:tcW w:w="850" w:type="dxa"/>
            <w:tcBorders>
              <w:top w:val="nil"/>
              <w:left w:val="nil"/>
              <w:bottom w:val="nil"/>
              <w:right w:val="nil"/>
            </w:tcBorders>
            <w:shd w:val="clear" w:color="auto" w:fill="auto"/>
            <w:vAlign w:val="bottom"/>
          </w:tcPr>
          <w:p w:rsidR="00B32D50" w:rsidRPr="00C746FF" w:rsidRDefault="00B32D50" w:rsidP="00F17BCD">
            <w:pPr>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asciiTheme="majorHAnsi" w:hAnsiTheme="majorHAnsi" w:cstheme="majorHAnsi"/>
                <w:color w:val="000000"/>
                <w:szCs w:val="17"/>
                <w:lang w:eastAsia="en-AU"/>
              </w:rPr>
              <w:t>0.4</w:t>
            </w:r>
          </w:p>
        </w:tc>
        <w:tc>
          <w:tcPr>
            <w:tcW w:w="850" w:type="dxa"/>
            <w:tcBorders>
              <w:top w:val="nil"/>
              <w:left w:val="nil"/>
              <w:bottom w:val="nil"/>
              <w:right w:val="nil"/>
            </w:tcBorders>
            <w:shd w:val="clear" w:color="auto" w:fill="auto"/>
            <w:vAlign w:val="bottom"/>
          </w:tcPr>
          <w:p w:rsidR="00B32D50" w:rsidRPr="00C746FF" w:rsidRDefault="00B32D50" w:rsidP="00F17BCD">
            <w:pPr>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C746FF" w:rsidRDefault="00B32D50" w:rsidP="00F17BCD">
            <w:pPr>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asciiTheme="majorHAnsi" w:hAnsiTheme="majorHAnsi" w:cstheme="majorHAnsi"/>
                <w:color w:val="000000"/>
                <w:szCs w:val="17"/>
                <w:lang w:eastAsia="en-AU"/>
              </w:rPr>
              <w:t>..</w:t>
            </w:r>
          </w:p>
        </w:tc>
        <w:tc>
          <w:tcPr>
            <w:tcW w:w="850" w:type="dxa"/>
            <w:tcBorders>
              <w:top w:val="nil"/>
              <w:left w:val="nil"/>
              <w:bottom w:val="nil"/>
              <w:right w:val="nil"/>
            </w:tcBorders>
            <w:shd w:val="clear" w:color="auto" w:fill="auto"/>
            <w:vAlign w:val="bottom"/>
          </w:tcPr>
          <w:p w:rsidR="00B32D50" w:rsidRPr="00C746FF" w:rsidRDefault="00B32D50" w:rsidP="00F17BCD">
            <w:pPr>
              <w:cnfStyle w:val="000000000000" w:firstRow="0" w:lastRow="0" w:firstColumn="0" w:lastColumn="0" w:oddVBand="0" w:evenVBand="0" w:oddHBand="0" w:evenHBand="0" w:firstRowFirstColumn="0" w:firstRowLastColumn="0" w:lastRowFirstColumn="0" w:lastRowLastColumn="0"/>
              <w:rPr>
                <w:rFonts w:cs="Calibri"/>
                <w:color w:val="000000"/>
                <w:szCs w:val="17"/>
              </w:rPr>
            </w:pPr>
            <w:r>
              <w:rPr>
                <w:rFonts w:asciiTheme="majorHAnsi" w:hAnsiTheme="majorHAnsi" w:cstheme="majorHAnsi"/>
                <w:color w:val="000000"/>
                <w:szCs w:val="17"/>
                <w:lang w:eastAsia="en-AU"/>
              </w:rPr>
              <w:t>..</w:t>
            </w:r>
          </w:p>
        </w:tc>
      </w:tr>
      <w:tr w:rsidR="00B32D50" w:rsidRPr="00C11A7F"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12" w:space="0" w:color="auto"/>
            </w:tcBorders>
          </w:tcPr>
          <w:p w:rsidR="00B32D50" w:rsidRPr="00C11A7F" w:rsidRDefault="00B32D50" w:rsidP="00F17BCD">
            <w:pPr>
              <w:autoSpaceDE w:val="0"/>
              <w:autoSpaceDN w:val="0"/>
              <w:adjustRightInd w:val="0"/>
              <w:rPr>
                <w:rFonts w:eastAsia="Times New Roman" w:cs="Calibri"/>
                <w:bCs/>
                <w:color w:val="000000"/>
                <w:szCs w:val="20"/>
                <w:lang w:eastAsia="en-AU"/>
              </w:rPr>
            </w:pPr>
            <w:r w:rsidRPr="00C11A7F">
              <w:rPr>
                <w:rFonts w:eastAsia="Times New Roman" w:cs="Calibri"/>
                <w:bCs/>
                <w:color w:val="000000"/>
                <w:szCs w:val="20"/>
                <w:lang w:eastAsia="en-AU"/>
              </w:rPr>
              <w:t>Total output initiatives</w:t>
            </w:r>
            <w:r>
              <w:rPr>
                <w:rFonts w:eastAsia="Times New Roman" w:cs="Calibri"/>
                <w:bCs/>
                <w:color w:val="000000"/>
                <w:szCs w:val="20"/>
                <w:lang w:eastAsia="en-AU"/>
              </w:rPr>
              <w:t xml:space="preserve"> </w:t>
            </w:r>
            <w:r w:rsidRPr="00BD6C73">
              <w:rPr>
                <w:rFonts w:eastAsia="Times New Roman" w:cs="Calibri"/>
                <w:bCs/>
                <w:color w:val="000000"/>
                <w:szCs w:val="20"/>
                <w:vertAlign w:val="superscript"/>
                <w:lang w:eastAsia="en-AU"/>
              </w:rPr>
              <w:t>(a)</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2.8</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2.4</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2.9</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bCs/>
                <w:color w:val="000000"/>
                <w:szCs w:val="20"/>
                <w:lang w:eastAsia="en-AU"/>
              </w:rPr>
            </w:pPr>
            <w:r>
              <w:rPr>
                <w:rFonts w:eastAsia="Times New Roman" w:cs="Calibri"/>
                <w:bCs/>
                <w:color w:val="000000"/>
                <w:szCs w:val="20"/>
                <w:lang w:eastAsia="en-AU"/>
              </w:rPr>
              <w:t>3.2</w:t>
            </w:r>
          </w:p>
        </w:tc>
      </w:tr>
    </w:tbl>
    <w:p w:rsidR="00B32D50" w:rsidRDefault="00B32D50" w:rsidP="00F17BCD">
      <w:pPr>
        <w:pStyle w:val="Note"/>
        <w:rPr>
          <w:lang w:eastAsia="en-AU"/>
        </w:rPr>
      </w:pPr>
      <w:bookmarkStart w:id="141" w:name="_Hlk528746033"/>
      <w:r>
        <w:rPr>
          <w:lang w:eastAsia="en-AU"/>
        </w:rPr>
        <w:t>Note:</w:t>
      </w:r>
    </w:p>
    <w:p w:rsidR="00B32D50" w:rsidRPr="00A72FEE" w:rsidRDefault="00B32D50" w:rsidP="00F17BCD">
      <w:pPr>
        <w:pStyle w:val="Note"/>
        <w:rPr>
          <w:i w:val="0"/>
          <w:lang w:eastAsia="en-AU"/>
        </w:rPr>
      </w:pPr>
      <w:r>
        <w:rPr>
          <w:lang w:eastAsia="en-AU"/>
        </w:rPr>
        <w:t>(a)</w:t>
      </w:r>
      <w:r>
        <w:rPr>
          <w:lang w:eastAsia="en-AU"/>
        </w:rPr>
        <w:tab/>
        <w:t>Table may not add due to rounding.</w:t>
      </w:r>
    </w:p>
    <w:bookmarkEnd w:id="141"/>
    <w:p w:rsidR="00B32D50" w:rsidRPr="00BC322C" w:rsidRDefault="00B32D50" w:rsidP="00F17BCD">
      <w:pPr>
        <w:pStyle w:val="Heading30"/>
      </w:pPr>
      <w:r>
        <w:t>Aboriginal Justice Agreement Phase Four</w:t>
      </w:r>
    </w:p>
    <w:p w:rsidR="00B32D50" w:rsidRPr="00BF64CE" w:rsidRDefault="00B32D50" w:rsidP="00F17BCD">
      <w:pPr>
        <w:tabs>
          <w:tab w:val="left" w:pos="5220"/>
        </w:tabs>
      </w:pPr>
      <w:r>
        <w:t>Funding will be</w:t>
      </w:r>
      <w:r w:rsidRPr="00BF64CE">
        <w:t xml:space="preserve"> provided for initiatives under the Burra Lotjpa Dunguludja: Victorian Aboriginal Justice Agreement Phase Four, </w:t>
      </w:r>
      <w:r>
        <w:t xml:space="preserve">informed by </w:t>
      </w:r>
      <w:r w:rsidRPr="00BF64CE">
        <w:t>the Aboriginal community. Court Services Victoria will implement several initiatives to improve access to justice for Aboriginal Victorians and reduce the</w:t>
      </w:r>
      <w:r>
        <w:t>ir</w:t>
      </w:r>
      <w:r w:rsidRPr="00BF64CE">
        <w:t xml:space="preserve"> overrepresentation in the criminal justice system, including:</w:t>
      </w:r>
    </w:p>
    <w:p w:rsidR="00B32D50" w:rsidRPr="00B24CE3" w:rsidRDefault="00B32D50" w:rsidP="00F17BCD">
      <w:pPr>
        <w:pStyle w:val="ListBullet"/>
      </w:pPr>
      <w:r w:rsidRPr="00B24CE3">
        <w:t>expanding the Koori Court to new locations;</w:t>
      </w:r>
    </w:p>
    <w:p w:rsidR="00B32D50" w:rsidRPr="00B24CE3" w:rsidRDefault="00B32D50" w:rsidP="00F17BCD">
      <w:pPr>
        <w:pStyle w:val="ListBullet"/>
      </w:pPr>
      <w:r w:rsidRPr="00B24CE3">
        <w:t>providing additional resources in the Coroners’ Court, Victims of Crime Assistance Tribunal, the Victorian Civil and Administrative Tribunal for cases involving Aboriginal people; and</w:t>
      </w:r>
    </w:p>
    <w:p w:rsidR="00B32D50" w:rsidRPr="00B24CE3" w:rsidRDefault="00B32D50" w:rsidP="00F17BCD">
      <w:pPr>
        <w:pStyle w:val="ListBullet"/>
      </w:pPr>
      <w:r w:rsidRPr="00B24CE3">
        <w:t xml:space="preserve">developing Aboriginal Community Justice Reports for cases involving Aboriginal people. </w:t>
      </w:r>
    </w:p>
    <w:p w:rsidR="00B32D50" w:rsidRPr="00A761A6" w:rsidRDefault="00B32D50" w:rsidP="00F17BCD">
      <w:pPr>
        <w:rPr>
          <w:rFonts w:cstheme="majorHAnsi"/>
          <w:b/>
          <w:color w:val="000000" w:themeColor="text1"/>
        </w:rPr>
      </w:pPr>
      <w:r w:rsidRPr="00A761A6">
        <w:rPr>
          <w:rFonts w:cstheme="majorHAnsi"/>
          <w:color w:val="000000" w:themeColor="text1"/>
        </w:rPr>
        <w:t>This initiative contributes to Court Services Victoria</w:t>
      </w:r>
      <w:r>
        <w:rPr>
          <w:rFonts w:cstheme="majorHAnsi"/>
          <w:color w:val="000000" w:themeColor="text1"/>
        </w:rPr>
        <w:t>’</w:t>
      </w:r>
      <w:r w:rsidRPr="00A761A6">
        <w:rPr>
          <w:rFonts w:cstheme="majorHAnsi"/>
          <w:color w:val="000000" w:themeColor="text1"/>
        </w:rPr>
        <w:t>s Courts output.</w:t>
      </w:r>
      <w:r w:rsidRPr="00A761A6">
        <w:rPr>
          <w:rFonts w:cstheme="majorHAnsi"/>
          <w:b/>
          <w:i/>
          <w:color w:val="000000" w:themeColor="text1"/>
        </w:rPr>
        <w:t xml:space="preserve"> </w:t>
      </w:r>
    </w:p>
    <w:p w:rsidR="00B32D50" w:rsidRDefault="00B32D50" w:rsidP="00F17BCD">
      <w:pPr>
        <w:pStyle w:val="Heading30"/>
      </w:pPr>
      <w:r w:rsidRPr="009B3175">
        <w:t>Judicial Commission of Victoria</w:t>
      </w:r>
    </w:p>
    <w:p w:rsidR="00B32D50" w:rsidRPr="009B3175" w:rsidRDefault="00B32D50" w:rsidP="00F17BCD">
      <w:pPr>
        <w:rPr>
          <w:rFonts w:cstheme="majorHAnsi"/>
          <w:color w:val="000000" w:themeColor="text1"/>
          <w:szCs w:val="24"/>
        </w:rPr>
      </w:pPr>
      <w:r>
        <w:rPr>
          <w:rFonts w:cstheme="majorHAnsi"/>
          <w:color w:val="000000" w:themeColor="text1"/>
          <w:szCs w:val="24"/>
        </w:rPr>
        <w:t xml:space="preserve">Funding is provided to the </w:t>
      </w:r>
      <w:r w:rsidRPr="009B3175">
        <w:rPr>
          <w:rFonts w:cstheme="majorHAnsi"/>
          <w:color w:val="000000" w:themeColor="text1"/>
          <w:szCs w:val="24"/>
        </w:rPr>
        <w:t xml:space="preserve">Judicial Commission of Victoria </w:t>
      </w:r>
      <w:r>
        <w:rPr>
          <w:rFonts w:cstheme="majorHAnsi"/>
          <w:color w:val="000000" w:themeColor="text1"/>
          <w:szCs w:val="24"/>
        </w:rPr>
        <w:t>to</w:t>
      </w:r>
      <w:r w:rsidRPr="009B3175">
        <w:rPr>
          <w:rFonts w:cstheme="majorHAnsi"/>
          <w:color w:val="000000" w:themeColor="text1"/>
          <w:szCs w:val="24"/>
        </w:rPr>
        <w:t xml:space="preserve"> undertake an investigation in line with its statutory responsibilities to maintain public confidence in Victorian courts. </w:t>
      </w:r>
    </w:p>
    <w:p w:rsidR="00B32D50" w:rsidRDefault="00B32D50" w:rsidP="00F17BCD">
      <w:pPr>
        <w:rPr>
          <w:rFonts w:cstheme="majorHAnsi"/>
          <w:color w:val="000000" w:themeColor="text1"/>
          <w:szCs w:val="24"/>
        </w:rPr>
      </w:pPr>
      <w:r w:rsidRPr="009B3175">
        <w:rPr>
          <w:rFonts w:cstheme="majorHAnsi"/>
          <w:color w:val="000000" w:themeColor="text1"/>
          <w:szCs w:val="24"/>
        </w:rPr>
        <w:t>This initiative contributes to Court Services Victoria</w:t>
      </w:r>
      <w:r>
        <w:rPr>
          <w:rFonts w:cstheme="majorHAnsi"/>
          <w:color w:val="000000" w:themeColor="text1"/>
          <w:szCs w:val="24"/>
        </w:rPr>
        <w:t>’</w:t>
      </w:r>
      <w:r w:rsidRPr="009B3175">
        <w:rPr>
          <w:rFonts w:cstheme="majorHAnsi"/>
          <w:color w:val="000000" w:themeColor="text1"/>
          <w:szCs w:val="24"/>
        </w:rPr>
        <w:t>s Courts output.</w:t>
      </w:r>
    </w:p>
    <w:p w:rsidR="00B32D50" w:rsidRPr="009B3175" w:rsidRDefault="00B32D50" w:rsidP="00F17BCD">
      <w:pPr>
        <w:rPr>
          <w:rFonts w:cstheme="majorHAnsi"/>
          <w:color w:val="000000" w:themeColor="text1"/>
          <w:szCs w:val="24"/>
        </w:rPr>
      </w:pPr>
    </w:p>
    <w:p w:rsidR="00B32D50" w:rsidRPr="007F4B6F" w:rsidRDefault="00B32D50" w:rsidP="00F17BCD">
      <w:pPr>
        <w:keepNext/>
        <w:numPr>
          <w:ilvl w:val="1"/>
          <w:numId w:val="0"/>
        </w:numPr>
        <w:tabs>
          <w:tab w:val="right" w:pos="9582"/>
        </w:tabs>
        <w:spacing w:before="240"/>
        <w:outlineLvl w:val="1"/>
        <w:rPr>
          <w:rFonts w:ascii="Calibri" w:hAnsi="Calibri"/>
          <w:b/>
          <w:i/>
          <w:spacing w:val="-2"/>
          <w:sz w:val="26"/>
          <w:szCs w:val="26"/>
          <w:lang w:eastAsia="en-AU"/>
        </w:rPr>
      </w:pPr>
      <w:r w:rsidRPr="007F4B6F">
        <w:rPr>
          <w:rFonts w:ascii="Calibri" w:hAnsi="Calibri"/>
          <w:b/>
          <w:i/>
          <w:spacing w:val="-2"/>
          <w:sz w:val="26"/>
          <w:szCs w:val="26"/>
          <w:lang w:eastAsia="en-AU"/>
        </w:rPr>
        <w:t>Asset initiatives</w:t>
      </w:r>
    </w:p>
    <w:p w:rsidR="00B32D50" w:rsidRDefault="00B32D50" w:rsidP="00F17BCD">
      <w:pPr>
        <w:pStyle w:val="TableHeading"/>
        <w:spacing w:before="180"/>
        <w:rPr>
          <w:lang w:eastAsia="en-AU"/>
        </w:rPr>
      </w:pPr>
      <w:r w:rsidRPr="00C11A7F">
        <w:rPr>
          <w:lang w:eastAsia="en-AU"/>
        </w:rPr>
        <w:t>Table</w:t>
      </w:r>
      <w:r>
        <w:rPr>
          <w:lang w:eastAsia="en-AU"/>
        </w:rPr>
        <w:t xml:space="preserve"> A.16</w:t>
      </w:r>
      <w:r w:rsidRPr="00C11A7F">
        <w:rPr>
          <w:lang w:eastAsia="en-AU"/>
        </w:rPr>
        <w:t>:</w:t>
      </w:r>
      <w:r w:rsidRPr="00C11A7F">
        <w:rPr>
          <w:lang w:eastAsia="en-AU"/>
        </w:rPr>
        <w:tab/>
        <w:t>Asset initiatives – Court Services Victoria</w:t>
      </w:r>
      <w:r w:rsidRPr="00C11A7F">
        <w:rPr>
          <w:lang w:eastAsia="en-AU"/>
        </w:rPr>
        <w:tab/>
        <w:t>($ million)</w:t>
      </w:r>
    </w:p>
    <w:tbl>
      <w:tblPr>
        <w:tblStyle w:val="DTFTable10"/>
        <w:tblW w:w="7765" w:type="dxa"/>
        <w:tblInd w:w="45" w:type="dxa"/>
        <w:tblLayout w:type="fixed"/>
        <w:tblCellMar>
          <w:left w:w="45" w:type="dxa"/>
          <w:right w:w="45" w:type="dxa"/>
        </w:tblCellMar>
        <w:tblLook w:val="06E0" w:firstRow="1" w:lastRow="1" w:firstColumn="1" w:lastColumn="0" w:noHBand="1" w:noVBand="1"/>
      </w:tblPr>
      <w:tblGrid>
        <w:gridCol w:w="3515"/>
        <w:gridCol w:w="850"/>
        <w:gridCol w:w="850"/>
        <w:gridCol w:w="850"/>
        <w:gridCol w:w="850"/>
        <w:gridCol w:w="850"/>
      </w:tblGrid>
      <w:tr w:rsidR="00B32D50" w:rsidRPr="00C11A7F" w:rsidTr="00F17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solid" w:color="000000" w:fill="auto"/>
          </w:tcPr>
          <w:p w:rsidR="00B32D50" w:rsidRPr="00C11A7F" w:rsidRDefault="00B32D50" w:rsidP="00F17BCD">
            <w:pPr>
              <w:autoSpaceDE w:val="0"/>
              <w:autoSpaceDN w:val="0"/>
              <w:adjustRightInd w:val="0"/>
              <w:rPr>
                <w:rFonts w:eastAsia="Times New Roman" w:cs="Calibri"/>
                <w:color w:val="FFFFFF"/>
                <w:szCs w:val="20"/>
                <w:lang w:eastAsia="en-AU"/>
              </w:rPr>
            </w:pP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2018-19</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2019-20</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2020-21</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Pr>
                <w:rFonts w:eastAsia="Times New Roman" w:cs="Calibri"/>
                <w:iCs/>
                <w:color w:val="FFFFFF"/>
                <w:szCs w:val="20"/>
                <w:lang w:eastAsia="en-AU"/>
              </w:rPr>
              <w:t>2021-22</w:t>
            </w:r>
          </w:p>
        </w:tc>
        <w:tc>
          <w:tcPr>
            <w:tcW w:w="850" w:type="dxa"/>
            <w:tcBorders>
              <w:top w:val="nil"/>
              <w:left w:val="nil"/>
              <w:bottom w:val="nil"/>
              <w:right w:val="nil"/>
            </w:tcBorders>
            <w:shd w:val="solid" w:color="000000" w:fill="auto"/>
          </w:tcPr>
          <w:p w:rsidR="00B32D50" w:rsidRPr="00C11A7F" w:rsidRDefault="00B32D50"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imes New Roman" w:cs="Calibri"/>
                <w:iCs/>
                <w:color w:val="FFFFFF"/>
                <w:szCs w:val="20"/>
                <w:lang w:eastAsia="en-AU"/>
              </w:rPr>
            </w:pPr>
            <w:r w:rsidRPr="00C11A7F">
              <w:rPr>
                <w:rFonts w:eastAsia="Times New Roman" w:cs="Calibri"/>
                <w:iCs/>
                <w:color w:val="FFFFFF"/>
                <w:szCs w:val="20"/>
                <w:lang w:eastAsia="en-AU"/>
              </w:rPr>
              <w:t>TEI</w:t>
            </w:r>
          </w:p>
        </w:tc>
      </w:tr>
      <w:tr w:rsidR="00B32D50" w:rsidRPr="00C11A7F" w:rsidTr="00F17BCD">
        <w:tc>
          <w:tcPr>
            <w:cnfStyle w:val="001000000000" w:firstRow="0" w:lastRow="0" w:firstColumn="1" w:lastColumn="0" w:oddVBand="0" w:evenVBand="0" w:oddHBand="0" w:evenHBand="0" w:firstRowFirstColumn="0" w:firstRowLastColumn="0" w:lastRowFirstColumn="0" w:lastRowLastColumn="0"/>
            <w:tcW w:w="3515" w:type="dxa"/>
            <w:tcBorders>
              <w:top w:val="nil"/>
              <w:left w:val="nil"/>
              <w:bottom w:val="nil"/>
              <w:right w:val="nil"/>
            </w:tcBorders>
            <w:shd w:val="clear" w:color="auto" w:fill="auto"/>
          </w:tcPr>
          <w:p w:rsidR="00B32D50" w:rsidRPr="00C11A7F" w:rsidRDefault="00B32D50" w:rsidP="00F17BCD">
            <w:pPr>
              <w:autoSpaceDE w:val="0"/>
              <w:autoSpaceDN w:val="0"/>
              <w:adjustRightInd w:val="0"/>
              <w:spacing w:after="0"/>
              <w:rPr>
                <w:rFonts w:eastAsia="Times New Roman" w:cs="Calibri"/>
                <w:color w:val="000000"/>
                <w:szCs w:val="20"/>
                <w:lang w:eastAsia="en-AU"/>
              </w:rPr>
            </w:pPr>
            <w:r>
              <w:rPr>
                <w:rFonts w:eastAsia="Times New Roman" w:cs="Calibri"/>
                <w:color w:val="000000"/>
                <w:szCs w:val="20"/>
                <w:lang w:eastAsia="en-AU"/>
              </w:rPr>
              <w:t>Aboriginal Justice Agreement Phase Four</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rPr>
            </w:pPr>
            <w:r w:rsidRPr="00C746FF">
              <w:rPr>
                <w:rFonts w:cs="Calibri"/>
                <w:color w:val="000000"/>
                <w:szCs w:val="17"/>
              </w:rPr>
              <w:t>0.4</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rPr>
            </w:pPr>
            <w:r w:rsidRPr="00C746FF">
              <w:rPr>
                <w:rFonts w:cs="Calibri"/>
                <w:color w:val="000000"/>
                <w:szCs w:val="17"/>
              </w:rPr>
              <w:t>0.2</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rPr>
            </w:pPr>
            <w:r w:rsidRPr="00C746FF">
              <w:rPr>
                <w:rFonts w:cs="Calibri"/>
                <w:color w:val="000000"/>
                <w:szCs w:val="17"/>
              </w:rPr>
              <w:t>0.4</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rPr>
            </w:pPr>
            <w:r w:rsidRPr="00C746FF">
              <w:rPr>
                <w:rFonts w:cs="Calibri"/>
                <w:color w:val="000000"/>
                <w:szCs w:val="17"/>
              </w:rPr>
              <w:t>0.2</w:t>
            </w:r>
          </w:p>
        </w:tc>
        <w:tc>
          <w:tcPr>
            <w:tcW w:w="850" w:type="dxa"/>
            <w:tcBorders>
              <w:top w:val="nil"/>
              <w:left w:val="nil"/>
              <w:bottom w:val="nil"/>
              <w:right w:val="nil"/>
            </w:tcBorders>
            <w:shd w:val="clear" w:color="auto" w:fill="auto"/>
          </w:tcPr>
          <w:p w:rsidR="00B32D50" w:rsidRPr="00C746FF" w:rsidRDefault="00B32D50" w:rsidP="00F17BCD">
            <w:pPr>
              <w:spacing w:after="0"/>
              <w:cnfStyle w:val="000000000000" w:firstRow="0" w:lastRow="0" w:firstColumn="0" w:lastColumn="0" w:oddVBand="0" w:evenVBand="0" w:oddHBand="0" w:evenHBand="0" w:firstRowFirstColumn="0" w:firstRowLastColumn="0" w:lastRowFirstColumn="0" w:lastRowLastColumn="0"/>
              <w:rPr>
                <w:rFonts w:cs="Calibri"/>
                <w:color w:val="000000"/>
                <w:szCs w:val="17"/>
              </w:rPr>
            </w:pPr>
            <w:r w:rsidRPr="00C746FF">
              <w:rPr>
                <w:rFonts w:cs="Calibri"/>
                <w:color w:val="000000"/>
                <w:szCs w:val="17"/>
              </w:rPr>
              <w:t>1.3</w:t>
            </w:r>
          </w:p>
        </w:tc>
      </w:tr>
      <w:tr w:rsidR="00B32D50" w:rsidRPr="00C11A7F"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Borders>
              <w:top w:val="single" w:sz="6" w:space="0" w:color="auto"/>
              <w:bottom w:val="single" w:sz="12" w:space="0" w:color="auto"/>
            </w:tcBorders>
          </w:tcPr>
          <w:p w:rsidR="00B32D50" w:rsidRPr="00C11A7F" w:rsidRDefault="00B32D50" w:rsidP="00F17BCD">
            <w:pPr>
              <w:autoSpaceDE w:val="0"/>
              <w:autoSpaceDN w:val="0"/>
              <w:adjustRightInd w:val="0"/>
              <w:rPr>
                <w:rFonts w:eastAsia="Times New Roman" w:cs="Calibri"/>
                <w:bCs/>
                <w:color w:val="000000"/>
                <w:szCs w:val="20"/>
                <w:vertAlign w:val="superscript"/>
                <w:lang w:eastAsia="en-AU"/>
              </w:rPr>
            </w:pPr>
            <w:r w:rsidRPr="00C11A7F">
              <w:rPr>
                <w:rFonts w:eastAsia="Times New Roman" w:cs="Calibri"/>
                <w:bCs/>
                <w:color w:val="000000"/>
                <w:szCs w:val="20"/>
                <w:lang w:eastAsia="en-AU"/>
              </w:rPr>
              <w:t>Total asset initiatives</w:t>
            </w:r>
            <w:r>
              <w:rPr>
                <w:rFonts w:eastAsia="Times New Roman" w:cs="Calibri"/>
                <w:bCs/>
                <w:color w:val="000000"/>
                <w:szCs w:val="20"/>
                <w:lang w:eastAsia="en-AU"/>
              </w:rPr>
              <w:t xml:space="preserve"> </w:t>
            </w:r>
            <w:r w:rsidRPr="001D277F">
              <w:rPr>
                <w:rFonts w:eastAsia="Times New Roman" w:cs="Calibri"/>
                <w:bCs/>
                <w:color w:val="000000"/>
                <w:szCs w:val="20"/>
                <w:vertAlign w:val="superscript"/>
                <w:lang w:eastAsia="en-AU"/>
              </w:rPr>
              <w:t>(a)</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0.4</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0.2</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0.4</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0.2</w:t>
            </w:r>
          </w:p>
        </w:tc>
        <w:tc>
          <w:tcPr>
            <w:tcW w:w="850" w:type="dxa"/>
            <w:tcBorders>
              <w:top w:val="single" w:sz="6" w:space="0" w:color="auto"/>
              <w:bottom w:val="single" w:sz="12" w:space="0" w:color="auto"/>
            </w:tcBorders>
          </w:tcPr>
          <w:p w:rsidR="00B32D50" w:rsidRPr="00C11A7F" w:rsidRDefault="00B32D50" w:rsidP="00F17BCD">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1.3</w:t>
            </w:r>
          </w:p>
        </w:tc>
      </w:tr>
    </w:tbl>
    <w:p w:rsidR="00B32D50" w:rsidRDefault="00B32D50" w:rsidP="00F17BCD">
      <w:pPr>
        <w:pStyle w:val="Note"/>
        <w:rPr>
          <w:lang w:eastAsia="en-AU"/>
        </w:rPr>
      </w:pPr>
      <w:r>
        <w:rPr>
          <w:lang w:eastAsia="en-AU"/>
        </w:rPr>
        <w:t>Note:</w:t>
      </w:r>
    </w:p>
    <w:p w:rsidR="00B32D50" w:rsidRDefault="00B32D50" w:rsidP="00F17BCD">
      <w:pPr>
        <w:pStyle w:val="Note"/>
        <w:rPr>
          <w:lang w:eastAsia="en-AU"/>
        </w:rPr>
      </w:pPr>
      <w:r>
        <w:rPr>
          <w:lang w:eastAsia="en-AU"/>
        </w:rPr>
        <w:t>(a)</w:t>
      </w:r>
      <w:r>
        <w:rPr>
          <w:lang w:eastAsia="en-AU"/>
        </w:rPr>
        <w:tab/>
        <w:t>Table may not add due to rounding.</w:t>
      </w:r>
    </w:p>
    <w:p w:rsidR="00B32D50" w:rsidRPr="00BC322C" w:rsidRDefault="00B32D50" w:rsidP="00F17BCD">
      <w:pPr>
        <w:pStyle w:val="Heading30"/>
      </w:pPr>
      <w:r>
        <w:t>Aboriginal Justice Agreement Phase Four</w:t>
      </w:r>
    </w:p>
    <w:p w:rsidR="00B32D50" w:rsidRDefault="00B32D50" w:rsidP="00F17BCD">
      <w:r>
        <w:t>Refer to the output description of this initiative.</w:t>
      </w:r>
    </w:p>
    <w:p w:rsidR="00B32D50" w:rsidRDefault="00B32D50" w:rsidP="00B32D50">
      <w:pPr>
        <w:sectPr w:rsidR="00B32D50" w:rsidSect="006D735A">
          <w:footerReference w:type="even" r:id="rId69"/>
          <w:footerReference w:type="default" r:id="rId70"/>
          <w:footerReference w:type="first" r:id="rId71"/>
          <w:type w:val="continuous"/>
          <w:pgSz w:w="9979" w:h="14175" w:code="9"/>
          <w:pgMar w:top="851" w:right="1134" w:bottom="851" w:left="1134" w:header="624" w:footer="567" w:gutter="0"/>
          <w:cols w:sep="1" w:space="567"/>
          <w:docGrid w:linePitch="360"/>
        </w:sectPr>
      </w:pPr>
    </w:p>
    <w:p w:rsidR="00B32D50" w:rsidRDefault="00B32D50" w:rsidP="000C43CD">
      <w:pPr>
        <w:pStyle w:val="Chapterheading"/>
      </w:pPr>
      <w:bookmarkStart w:id="143" w:name="_Toc528864783"/>
      <w:r>
        <w:lastRenderedPageBreak/>
        <w:t>Appendix B – Sensitivity analysis</w:t>
      </w:r>
      <w:bookmarkEnd w:id="143"/>
    </w:p>
    <w:p w:rsidR="00B32D50" w:rsidRDefault="00B32D50" w:rsidP="00F17BCD">
      <w:r w:rsidRPr="002B2DAB">
        <w:t xml:space="preserve">The </w:t>
      </w:r>
      <w:r>
        <w:rPr>
          <w:i/>
        </w:rPr>
        <w:t>2018 Victorian</w:t>
      </w:r>
      <w:r w:rsidRPr="002B2DAB">
        <w:rPr>
          <w:i/>
        </w:rPr>
        <w:t xml:space="preserve"> </w:t>
      </w:r>
      <w:r>
        <w:rPr>
          <w:i/>
        </w:rPr>
        <w:t>Pre</w:t>
      </w:r>
      <w:r>
        <w:rPr>
          <w:i/>
        </w:rPr>
        <w:noBreakHyphen/>
        <w:t xml:space="preserve">Election </w:t>
      </w:r>
      <w:r w:rsidRPr="002B2DAB">
        <w:rPr>
          <w:i/>
        </w:rPr>
        <w:t>Budget</w:t>
      </w:r>
      <w:r>
        <w:rPr>
          <w:i/>
        </w:rPr>
        <w:t xml:space="preserve"> Update</w:t>
      </w:r>
      <w:r w:rsidRPr="002B2DAB">
        <w:t xml:space="preserve"> </w:t>
      </w:r>
      <w:r>
        <w:t>relies on</w:t>
      </w:r>
      <w:r w:rsidRPr="002B2DAB">
        <w:t xml:space="preserve"> forecasts and </w:t>
      </w:r>
      <w:r>
        <w:t xml:space="preserve">judgements about the </w:t>
      </w:r>
      <w:r w:rsidRPr="002B2DAB">
        <w:t>economic</w:t>
      </w:r>
      <w:r>
        <w:t>, operating and financial conditions for the Victorian general government sector. Uncertainty in these conditions, for example as a result of international developments and other risks to the national economy, may cause the actual results to differ from projections.</w:t>
      </w:r>
    </w:p>
    <w:p w:rsidR="00B32D50" w:rsidRDefault="00B32D50" w:rsidP="00F17BCD">
      <w:r>
        <w:t>This sensitivity analysis explores the impact of variations in the macroeconomic outlook on key fiscal aggregates of the general government sector using two alternative approaches.</w:t>
      </w:r>
    </w:p>
    <w:p w:rsidR="00B32D50" w:rsidRDefault="00B32D50" w:rsidP="00F17BCD">
      <w:r>
        <w:t xml:space="preserve">The first quantifies the fiscal impacts of scenarios involving simultaneous variations in economic parameters that represent key risks to the economic outlook described in Chapter 1 </w:t>
      </w:r>
      <w:r w:rsidRPr="00F6625A">
        <w:rPr>
          <w:i/>
        </w:rPr>
        <w:t>Economic</w:t>
      </w:r>
      <w:r>
        <w:rPr>
          <w:i/>
        </w:rPr>
        <w:t xml:space="preserve"> Conditions and</w:t>
      </w:r>
      <w:r w:rsidRPr="00F6625A">
        <w:rPr>
          <w:i/>
        </w:rPr>
        <w:t xml:space="preserve"> Outlook</w:t>
      </w:r>
      <w:r w:rsidRPr="00F6625A">
        <w:t>.</w:t>
      </w:r>
      <w:r>
        <w:t xml:space="preserve"> These scenarios were selected to cover plausible shocks that could affect Victoria over the medium term, and the modelling takes account of linkages between key international, Australian and Victorian economic aggregates.</w:t>
      </w:r>
    </w:p>
    <w:p w:rsidR="00B32D50" w:rsidRDefault="00B32D50" w:rsidP="00F17BCD">
      <w:r>
        <w:t xml:space="preserve">The modelled outcomes are intended to be used as a guide and care should be exercised in interpreting the results. </w:t>
      </w:r>
      <w:r w:rsidRPr="00DF7EFD">
        <w:t xml:space="preserve">In </w:t>
      </w:r>
      <w:r>
        <w:t>particular</w:t>
      </w:r>
      <w:r w:rsidRPr="00DF7EFD">
        <w:t xml:space="preserve">, economic shocks tend to be idiosyncratic in nature, with the modelled scenarios </w:t>
      </w:r>
      <w:r>
        <w:t>unlikely</w:t>
      </w:r>
      <w:r w:rsidRPr="00DF7EFD">
        <w:t xml:space="preserve"> to completely reflect any future shock that could </w:t>
      </w:r>
      <w:r>
        <w:t>occur</w:t>
      </w:r>
      <w:r w:rsidRPr="00DF7EFD">
        <w:t>. Departures from these scenarios would be expected to result in di</w:t>
      </w:r>
      <w:r>
        <w:t xml:space="preserve">fferent impacts on the budget. </w:t>
      </w:r>
      <w:r w:rsidRPr="00DF7EFD">
        <w:t>Fu</w:t>
      </w:r>
      <w:r>
        <w:t>rthermore, these shocks do not incorporate</w:t>
      </w:r>
      <w:r w:rsidRPr="00DF7EFD">
        <w:t xml:space="preserve"> any policy response</w:t>
      </w:r>
      <w:r>
        <w:t>s</w:t>
      </w:r>
      <w:r w:rsidRPr="00DF7EFD">
        <w:t xml:space="preserve"> to the </w:t>
      </w:r>
      <w:r>
        <w:t xml:space="preserve">shock or the </w:t>
      </w:r>
      <w:r w:rsidRPr="00DF7EFD">
        <w:t>change in outlook</w:t>
      </w:r>
      <w:r>
        <w:t>.</w:t>
      </w:r>
    </w:p>
    <w:p w:rsidR="00B32D50" w:rsidRDefault="00B32D50" w:rsidP="00F17BCD">
      <w:r>
        <w:t>The second approach considers the fiscal impacts of independent variations in major macroeconomic parameters, holding all parameters other than the indicator of interest constant. This analysis may be useful for assessing the impact on fiscal aggregates of a forecast error in a single economic parameter. In practice, economic variations rarely occur in isolation, and scenario analysis is likely to be more appropriate to illustrate the fiscal impacts of an economic environment materially different from that presented in the budget papers.</w:t>
      </w:r>
    </w:p>
    <w:p w:rsidR="00B32D50" w:rsidRDefault="00B32D50" w:rsidP="00F17BCD">
      <w:pPr>
        <w:keepLines w:val="0"/>
        <w:rPr>
          <w:rFonts w:asciiTheme="majorHAnsi" w:eastAsiaTheme="majorEastAsia" w:hAnsiTheme="majorHAnsi" w:cstheme="majorBidi"/>
          <w:b/>
          <w:bCs/>
          <w:caps/>
          <w:spacing w:val="-2"/>
          <w:sz w:val="26"/>
          <w:szCs w:val="28"/>
        </w:rPr>
      </w:pPr>
      <w:r>
        <w:br w:type="page"/>
      </w:r>
    </w:p>
    <w:p w:rsidR="00B32D50" w:rsidRPr="00BB71B2" w:rsidRDefault="00B32D50" w:rsidP="00F17BCD">
      <w:pPr>
        <w:pStyle w:val="Heading10"/>
      </w:pPr>
      <w:bookmarkStart w:id="144" w:name="_Toc512629772"/>
      <w:bookmarkStart w:id="145" w:name="_Toc528864784"/>
      <w:r w:rsidRPr="00BB71B2">
        <w:lastRenderedPageBreak/>
        <w:t>Fiscal impacts of variations to the economic outlook</w:t>
      </w:r>
      <w:bookmarkEnd w:id="144"/>
      <w:bookmarkEnd w:id="145"/>
    </w:p>
    <w:p w:rsidR="00B32D50" w:rsidRDefault="00B32D50" w:rsidP="00F17BCD">
      <w:r>
        <w:t xml:space="preserve">This part of the sensitivity analysis quantifies some of the key risks identified in Chapter 1 </w:t>
      </w:r>
      <w:r w:rsidRPr="00F6625A">
        <w:rPr>
          <w:i/>
        </w:rPr>
        <w:t>Economic </w:t>
      </w:r>
      <w:r>
        <w:rPr>
          <w:i/>
        </w:rPr>
        <w:t xml:space="preserve">Conditions and </w:t>
      </w:r>
      <w:r w:rsidRPr="00F6625A">
        <w:rPr>
          <w:i/>
        </w:rPr>
        <w:t>Outlook</w:t>
      </w:r>
      <w:r>
        <w:t xml:space="preserve"> and presents how these risks might affect the State’s economic and fiscal aggregates. Two scenarios are considered</w:t>
      </w:r>
      <w:r w:rsidRPr="00516DAA">
        <w:t>: a negative shock to the household sector that affects consumption and dwelling investment;</w:t>
      </w:r>
      <w:r>
        <w:t xml:space="preserve"> and a positive shock to Victoria’s labour force participation rate, partially accommodated through an increase in final demand.</w:t>
      </w:r>
      <w:r>
        <w:rPr>
          <w:rStyle w:val="FootnoteReference"/>
        </w:rPr>
        <w:footnoteReference w:id="1"/>
      </w:r>
      <w:r>
        <w:t xml:space="preserve"> The design and calibration of both scenarios is identical to those analysed in </w:t>
      </w:r>
      <w:r w:rsidRPr="0018217B">
        <w:t>Budget Paper </w:t>
      </w:r>
      <w:r>
        <w:t>No. </w:t>
      </w:r>
      <w:r w:rsidRPr="0018217B">
        <w:t>2, Appendix A</w:t>
      </w:r>
      <w:r>
        <w:t xml:space="preserve"> </w:t>
      </w:r>
      <w:r w:rsidRPr="0018217B">
        <w:rPr>
          <w:i/>
        </w:rPr>
        <w:t>Sensitivity Analysis</w:t>
      </w:r>
      <w:r>
        <w:t xml:space="preserve"> of the </w:t>
      </w:r>
      <w:r w:rsidRPr="0003651A">
        <w:rPr>
          <w:i/>
        </w:rPr>
        <w:t>2018</w:t>
      </w:r>
      <w:r w:rsidRPr="0003651A">
        <w:rPr>
          <w:i/>
        </w:rPr>
        <w:noBreakHyphen/>
        <w:t>19 Budget</w:t>
      </w:r>
      <w:r>
        <w:t>. Continued strength in the Victorian economy over the past six months has, however, flowed through to a stronger base case against which the two scenarios have been compared.</w:t>
      </w:r>
    </w:p>
    <w:p w:rsidR="00B32D50" w:rsidRPr="00C80C1F" w:rsidRDefault="00B32D50" w:rsidP="00F17BCD">
      <w:r w:rsidRPr="00C80C1F">
        <w:t>The economic impacts of both scenarios have been modelled as deviations from a business as usual base case generated from the Victoria University Regional Model (VURM).</w:t>
      </w:r>
      <w:r w:rsidRPr="00C80C1F">
        <w:rPr>
          <w:rStyle w:val="FootnoteReference"/>
        </w:rPr>
        <w:footnoteReference w:id="2"/>
      </w:r>
      <w:r w:rsidRPr="00C80C1F">
        <w:t xml:space="preserve"> The changes in economic indicators resulting from the modelled shocks are then mapped into estimated revenue and expenditure impacts using elasticities that describe the historic relationship between fiscal outcomes and major macroeconomic parameters in Table </w:t>
      </w:r>
      <w:r>
        <w:t>B</w:t>
      </w:r>
      <w:r w:rsidRPr="00C80C1F">
        <w:t>.5.</w:t>
      </w:r>
      <w:r w:rsidRPr="00C80C1F">
        <w:rPr>
          <w:rStyle w:val="FootnoteReference"/>
        </w:rPr>
        <w:footnoteReference w:id="3"/>
      </w:r>
    </w:p>
    <w:p w:rsidR="00B32D50" w:rsidRDefault="00B32D50" w:rsidP="00F17BCD">
      <w:pPr>
        <w:pStyle w:val="Heading20"/>
      </w:pPr>
      <w:r w:rsidRPr="00C80C1F">
        <w:t>Downturn in household consumption and dwelling investment</w:t>
      </w:r>
    </w:p>
    <w:p w:rsidR="00B32D50" w:rsidRDefault="00B32D50" w:rsidP="00F17BCD">
      <w:r>
        <w:t xml:space="preserve">The household sector has been an important engine of growth for the Victorian economy, with both household consumption and dwelling investment growing strongly in recent years. However, there are signs of vulnerability. The residential property market is moderating, with weak to negative price growth and slowing transaction volumes. The housing construction cycle is maturing and growth in building approvals has declined, while the increase in household leverage has left some households vulnerable </w:t>
      </w:r>
      <w:r w:rsidRPr="00720224">
        <w:t>to housing and mortgage stress should their circumstances change or borrowing costs rise</w:t>
      </w:r>
      <w:r>
        <w:t xml:space="preserve"> significantly</w:t>
      </w:r>
      <w:r w:rsidRPr="00720224">
        <w:t>.</w:t>
      </w:r>
      <w:r>
        <w:t xml:space="preserve"> This could have broader implications for consumer spending, housing construction activity, the labour market and overall economic growth prospects.</w:t>
      </w:r>
    </w:p>
    <w:p w:rsidR="00B32D50" w:rsidRDefault="00B32D50" w:rsidP="00F17BCD">
      <w:r>
        <w:t>Shocks to the household sector could arise through a more rapid rise in borrowing costs for mortgage holders, tighter lending standards or other prudential measures. Alternatively, a broader softening of economic conditions could cause households to reduce their appetite to take on debt, increase their rate of saving and shrink spending on discretionary items. Households may also reappraise expectations about future asset price growth, meaning they require a higher rate of return to invest in property and other assets.</w:t>
      </w:r>
    </w:p>
    <w:p w:rsidR="00B32D50" w:rsidRDefault="00B32D50" w:rsidP="00F17BCD">
      <w:r>
        <w:lastRenderedPageBreak/>
        <w:t xml:space="preserve">To model this scenario in VURM, the shock has been applied to raise the national household saving rate and the threshold rate of return required by households to purchase newly constructed property. </w:t>
      </w:r>
      <w:r w:rsidRPr="00051E87">
        <w:t xml:space="preserve">A national shock has been applied since the triggers for this type of downturn would </w:t>
      </w:r>
      <w:r>
        <w:t xml:space="preserve">likely </w:t>
      </w:r>
      <w:r w:rsidRPr="00051E87">
        <w:t>apply to all states and territories, rather than Victoria in isolation.</w:t>
      </w:r>
      <w:r>
        <w:t xml:space="preserve"> The weakening in national household consumption and dwelling investment has been calibrated as a five percentage point fall in national dwelling investment growth</w:t>
      </w:r>
      <w:r>
        <w:rPr>
          <w:rStyle w:val="FootnoteReference"/>
        </w:rPr>
        <w:footnoteReference w:id="4"/>
      </w:r>
      <w:r>
        <w:t xml:space="preserve"> and a one percentage point decrease in national household consumption growth in the budget year.</w:t>
      </w:r>
      <w:r>
        <w:rPr>
          <w:rStyle w:val="FootnoteReference"/>
        </w:rPr>
        <w:footnoteReference w:id="5"/>
      </w:r>
      <w:r>
        <w:t xml:space="preserve"> Chart B.1 illustrates how Victorian household consumption and dwelling investment evolve under the base case and the scenario.</w:t>
      </w:r>
    </w:p>
    <w:p w:rsidR="00B32D50" w:rsidRPr="00C664F9" w:rsidRDefault="00B32D50" w:rsidP="00F17BCD">
      <w:pPr>
        <w:pStyle w:val="TableHeading"/>
      </w:pPr>
      <w:r>
        <w:t>Chart B</w:t>
      </w:r>
      <w:r w:rsidRPr="004103B7">
        <w:t>.1:</w:t>
      </w:r>
      <w:r w:rsidRPr="004103B7">
        <w:tab/>
      </w:r>
      <w:r>
        <w:t>Household consumption and dwelling investment under the base case and scenario</w:t>
      </w:r>
    </w:p>
    <w:p w:rsidR="00B32D50" w:rsidRPr="001062A3" w:rsidRDefault="00B32D50" w:rsidP="00F17BCD">
      <w:r w:rsidRPr="005B6B28">
        <w:rPr>
          <w:noProof/>
        </w:rPr>
        <w:drawing>
          <wp:inline distT="0" distB="0" distL="0" distR="0">
            <wp:extent cx="4896485" cy="29753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96485" cy="2975393"/>
                    </a:xfrm>
                    <a:prstGeom prst="rect">
                      <a:avLst/>
                    </a:prstGeom>
                    <a:noFill/>
                    <a:ln>
                      <a:noFill/>
                    </a:ln>
                  </pic:spPr>
                </pic:pic>
              </a:graphicData>
            </a:graphic>
          </wp:inline>
        </w:drawing>
      </w:r>
    </w:p>
    <w:p w:rsidR="00B32D50" w:rsidRDefault="00B32D50" w:rsidP="00F17BCD">
      <w:pPr>
        <w:pStyle w:val="Source"/>
      </w:pPr>
      <w:r>
        <w:t>Sources: Australian Bureau of Statistics, Centre of Policy Studies, Victoria University, and Department of Treasury and Finance</w:t>
      </w:r>
    </w:p>
    <w:p w:rsidR="00B32D50" w:rsidRPr="00EF2461" w:rsidRDefault="00B32D50" w:rsidP="00F17BCD">
      <w:pPr>
        <w:pStyle w:val="Note"/>
      </w:pPr>
    </w:p>
    <w:p w:rsidR="00B32D50" w:rsidRPr="00843B9A" w:rsidRDefault="00B32D50" w:rsidP="00F17BCD">
      <w:r>
        <w:lastRenderedPageBreak/>
        <w:t>Table B</w:t>
      </w:r>
      <w:r w:rsidRPr="007008E0">
        <w:t xml:space="preserve">.1 summarises the economic effects of this downside scenario on the Victorian economy. Real gross state product (GSP) is around </w:t>
      </w:r>
      <w:r>
        <w:t>three</w:t>
      </w:r>
      <w:r>
        <w:noBreakHyphen/>
        <w:t>tenths</w:t>
      </w:r>
      <w:r w:rsidRPr="007008E0">
        <w:t xml:space="preserve"> of a percentage point lower under the scenario in the budget year, with the falls in household consumption and dwelling investment partly offset by a boost to Victoria’s trade balance as a result of a depreciation in the Australian dollar. The weaker currency also raises tradable goods and services prices, adding to higher consumer price index (CPI) in 2018-19 and 2019-20. Employment falls in line with weaker conditions in the construction, accommodation and food services and retail trade industries (Chart </w:t>
      </w:r>
      <w:r>
        <w:t>B</w:t>
      </w:r>
      <w:r w:rsidRPr="007008E0">
        <w:t>.2). Subdued demand conditions reduce growth in wages, which lowers production costs and the CPI in 2020-21 and 2021-22 through second-round effects. Consequent reductions in household incomes and asset returns also weigh on growth in real GSP, acting to depress household spending further.</w:t>
      </w:r>
      <w:r>
        <w:t xml:space="preserve"> </w:t>
      </w:r>
    </w:p>
    <w:p w:rsidR="00B32D50" w:rsidRPr="00946B06" w:rsidRDefault="00B32D50" w:rsidP="00F17BCD">
      <w:pPr>
        <w:pStyle w:val="TableHeading"/>
      </w:pPr>
      <w:r>
        <w:t>Table B</w:t>
      </w:r>
      <w:r w:rsidRPr="00212986">
        <w:t>.1:</w:t>
      </w:r>
      <w:r w:rsidRPr="00212986">
        <w:tab/>
        <w:t xml:space="preserve">The effect of a </w:t>
      </w:r>
      <w:r>
        <w:t xml:space="preserve">downturn in household consumption and </w:t>
      </w:r>
      <w:r>
        <w:br/>
        <w:t>dwelling investment</w:t>
      </w:r>
      <w:r w:rsidRPr="00212986">
        <w:t xml:space="preserve"> on major economic parameters</w:t>
      </w:r>
      <w:r w:rsidRPr="00212986">
        <w:rPr>
          <w:vertAlign w:val="superscript"/>
        </w:rPr>
        <w:t>(a)</w:t>
      </w:r>
      <w:r>
        <w:rPr>
          <w:vertAlign w:val="superscript"/>
        </w:rPr>
        <w:t xml:space="preserve"> </w:t>
      </w:r>
      <w:r>
        <w:rPr>
          <w:vertAlign w:val="superscript"/>
        </w:rPr>
        <w:tab/>
      </w:r>
      <w:r w:rsidRPr="00F510F4">
        <w:t>(per cent</w:t>
      </w:r>
      <w:r>
        <w:t>)</w:t>
      </w:r>
    </w:p>
    <w:tbl>
      <w:tblPr>
        <w:tblStyle w:val="DTFTable"/>
        <w:tblW w:w="7765" w:type="dxa"/>
        <w:tblLayout w:type="fixed"/>
        <w:tblLook w:val="06A0" w:firstRow="1" w:lastRow="0" w:firstColumn="1" w:lastColumn="0" w:noHBand="1" w:noVBand="1"/>
      </w:tblPr>
      <w:tblGrid>
        <w:gridCol w:w="4365"/>
        <w:gridCol w:w="850"/>
        <w:gridCol w:w="850"/>
        <w:gridCol w:w="850"/>
        <w:gridCol w:w="850"/>
      </w:tblGrid>
      <w:tr w:rsidR="00C4434F" w:rsidRPr="00FB51BA" w:rsidTr="00C44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Pr>
          <w:p w:rsidR="00C4434F" w:rsidRPr="00FB51BA" w:rsidRDefault="00C4434F" w:rsidP="00F17BCD">
            <w:pPr>
              <w:autoSpaceDE w:val="0"/>
              <w:autoSpaceDN w:val="0"/>
              <w:adjustRightInd w:val="0"/>
              <w:rPr>
                <w:rFonts w:eastAsiaTheme="minorEastAsia" w:cs="Calibri"/>
                <w:iCs/>
                <w:color w:val="000000"/>
                <w:szCs w:val="17"/>
                <w:lang w:eastAsia="en-AU"/>
              </w:rPr>
            </w:pPr>
            <w:r w:rsidRPr="00FB51BA">
              <w:rPr>
                <w:rFonts w:eastAsiaTheme="minorEastAsia" w:cs="Calibri"/>
                <w:iCs/>
                <w:color w:val="000000"/>
                <w:szCs w:val="17"/>
                <w:lang w:eastAsia="en-AU"/>
              </w:rPr>
              <w:t xml:space="preserve"> </w:t>
            </w:r>
            <w:r>
              <w:rPr>
                <w:rFonts w:eastAsiaTheme="minorEastAsia" w:cs="Calibri"/>
                <w:i w:val="0"/>
                <w:iCs/>
                <w:color w:val="000000"/>
                <w:szCs w:val="17"/>
                <w:lang w:eastAsia="en-AU"/>
              </w:rPr>
              <w:t xml:space="preserve"> </w:t>
            </w:r>
            <w:r w:rsidRPr="00FB51BA">
              <w:rPr>
                <w:rFonts w:eastAsiaTheme="minorEastAsia" w:cs="Calibri"/>
                <w:iCs/>
                <w:color w:val="000000"/>
                <w:szCs w:val="17"/>
                <w:lang w:eastAsia="en-AU"/>
              </w:rPr>
              <w:t xml:space="preserve"> </w:t>
            </w:r>
          </w:p>
        </w:tc>
        <w:tc>
          <w:tcPr>
            <w:tcW w:w="850" w:type="dxa"/>
          </w:tcPr>
          <w:p w:rsidR="00C4434F" w:rsidRPr="00FB51BA"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FB51BA">
              <w:rPr>
                <w:rFonts w:eastAsiaTheme="minorEastAsia" w:cs="Calibri"/>
                <w:iCs/>
                <w:color w:val="FFFFFF"/>
                <w:szCs w:val="17"/>
                <w:lang w:eastAsia="en-AU"/>
              </w:rPr>
              <w:t>2018-19</w:t>
            </w:r>
            <w:r>
              <w:rPr>
                <w:rFonts w:eastAsiaTheme="minorEastAsia" w:cs="Calibri"/>
                <w:i w:val="0"/>
                <w:iCs/>
                <w:color w:val="FFFFFF"/>
                <w:szCs w:val="17"/>
                <w:lang w:eastAsia="en-AU"/>
              </w:rPr>
              <w:t xml:space="preserve"> </w:t>
            </w:r>
            <w:r w:rsidRPr="00FB51BA">
              <w:rPr>
                <w:rFonts w:eastAsiaTheme="minorEastAsia" w:cs="Calibri"/>
                <w:iCs/>
                <w:color w:val="FFFFFF"/>
                <w:szCs w:val="17"/>
                <w:lang w:eastAsia="en-AU"/>
              </w:rPr>
              <w:t>estimate</w:t>
            </w:r>
          </w:p>
        </w:tc>
        <w:tc>
          <w:tcPr>
            <w:tcW w:w="850" w:type="dxa"/>
          </w:tcPr>
          <w:p w:rsidR="00C4434F" w:rsidRPr="00FB51BA"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FB51BA">
              <w:rPr>
                <w:rFonts w:eastAsiaTheme="minorEastAsia" w:cs="Calibri"/>
                <w:iCs/>
                <w:color w:val="FFFFFF"/>
                <w:szCs w:val="17"/>
                <w:lang w:eastAsia="en-AU"/>
              </w:rPr>
              <w:t>2019-20</w:t>
            </w:r>
            <w:r>
              <w:rPr>
                <w:rFonts w:eastAsiaTheme="minorEastAsia" w:cs="Calibri"/>
                <w:i w:val="0"/>
                <w:iCs/>
                <w:color w:val="FFFFFF"/>
                <w:szCs w:val="17"/>
                <w:lang w:eastAsia="en-AU"/>
              </w:rPr>
              <w:t xml:space="preserve"> </w:t>
            </w:r>
            <w:r w:rsidRPr="00FB51BA">
              <w:rPr>
                <w:rFonts w:eastAsiaTheme="minorEastAsia" w:cs="Calibri"/>
                <w:iCs/>
                <w:color w:val="FFFFFF"/>
                <w:szCs w:val="17"/>
                <w:lang w:eastAsia="en-AU"/>
              </w:rPr>
              <w:t>estimate</w:t>
            </w:r>
          </w:p>
        </w:tc>
        <w:tc>
          <w:tcPr>
            <w:tcW w:w="850" w:type="dxa"/>
          </w:tcPr>
          <w:p w:rsidR="00C4434F" w:rsidRPr="00FB51BA"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FB51BA">
              <w:rPr>
                <w:rFonts w:eastAsiaTheme="minorEastAsia" w:cs="Calibri"/>
                <w:iCs/>
                <w:color w:val="FFFFFF"/>
                <w:szCs w:val="17"/>
                <w:lang w:eastAsia="en-AU"/>
              </w:rPr>
              <w:t>2020-21</w:t>
            </w:r>
            <w:r>
              <w:rPr>
                <w:rFonts w:eastAsiaTheme="minorEastAsia" w:cs="Calibri"/>
                <w:i w:val="0"/>
                <w:iCs/>
                <w:color w:val="FFFFFF"/>
                <w:szCs w:val="17"/>
                <w:lang w:eastAsia="en-AU"/>
              </w:rPr>
              <w:t xml:space="preserve"> </w:t>
            </w:r>
            <w:r w:rsidRPr="00FB51BA">
              <w:rPr>
                <w:rFonts w:eastAsiaTheme="minorEastAsia" w:cs="Calibri"/>
                <w:iCs/>
                <w:color w:val="FFFFFF"/>
                <w:szCs w:val="17"/>
                <w:lang w:eastAsia="en-AU"/>
              </w:rPr>
              <w:t>estimate</w:t>
            </w:r>
          </w:p>
        </w:tc>
        <w:tc>
          <w:tcPr>
            <w:tcW w:w="850" w:type="dxa"/>
          </w:tcPr>
          <w:p w:rsidR="00C4434F" w:rsidRPr="00FB51BA"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FB51BA">
              <w:rPr>
                <w:rFonts w:eastAsiaTheme="minorEastAsia" w:cs="Calibri"/>
                <w:iCs/>
                <w:color w:val="FFFFFF"/>
                <w:szCs w:val="17"/>
                <w:lang w:eastAsia="en-AU"/>
              </w:rPr>
              <w:t>2021-22</w:t>
            </w:r>
            <w:r>
              <w:rPr>
                <w:rFonts w:eastAsiaTheme="minorEastAsia" w:cs="Calibri"/>
                <w:i w:val="0"/>
                <w:iCs/>
                <w:color w:val="FFFFFF"/>
                <w:szCs w:val="17"/>
                <w:lang w:eastAsia="en-AU"/>
              </w:rPr>
              <w:t xml:space="preserve"> </w:t>
            </w:r>
            <w:r w:rsidRPr="00FB51BA">
              <w:rPr>
                <w:rFonts w:eastAsiaTheme="minorEastAsia" w:cs="Calibri"/>
                <w:iCs/>
                <w:color w:val="FFFFFF"/>
                <w:szCs w:val="17"/>
                <w:lang w:eastAsia="en-AU"/>
              </w:rPr>
              <w:t>estimate</w:t>
            </w:r>
          </w:p>
        </w:tc>
      </w:tr>
      <w:tr w:rsidR="00B32D50" w:rsidRPr="00FB51BA"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FB51BA" w:rsidRDefault="00B32D50" w:rsidP="00F17BCD">
            <w:pPr>
              <w:keepLines w:val="0"/>
              <w:autoSpaceDE w:val="0"/>
              <w:autoSpaceDN w:val="0"/>
              <w:adjustRightInd w:val="0"/>
              <w:rPr>
                <w:rFonts w:eastAsiaTheme="minorEastAsia" w:cs="Calibri"/>
                <w:color w:val="000000"/>
                <w:szCs w:val="17"/>
                <w:lang w:eastAsia="en-AU"/>
              </w:rPr>
            </w:pPr>
            <w:r w:rsidRPr="00FB51BA">
              <w:rPr>
                <w:rFonts w:eastAsiaTheme="minorEastAsia" w:cs="Calibri"/>
                <w:color w:val="000000"/>
                <w:szCs w:val="17"/>
                <w:lang w:eastAsia="en-AU"/>
              </w:rPr>
              <w:t>Real GSP</w:t>
            </w:r>
          </w:p>
        </w:tc>
        <w:tc>
          <w:tcPr>
            <w:tcW w:w="850" w:type="dxa"/>
          </w:tcPr>
          <w:p w:rsidR="00B32D50" w:rsidRPr="0002718C" w:rsidRDefault="00B32D50" w:rsidP="00F17BCD">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(0.29)</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(0.28)</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(0.29)</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(0.29)</w:t>
            </w:r>
          </w:p>
        </w:tc>
      </w:tr>
      <w:tr w:rsidR="00B32D50" w:rsidRPr="00FB51BA"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FB51BA" w:rsidRDefault="00B32D50" w:rsidP="00F17BCD">
            <w:pPr>
              <w:keepLines w:val="0"/>
              <w:autoSpaceDE w:val="0"/>
              <w:autoSpaceDN w:val="0"/>
              <w:adjustRightInd w:val="0"/>
              <w:rPr>
                <w:rFonts w:eastAsiaTheme="minorEastAsia" w:cs="Calibri"/>
                <w:color w:val="000000"/>
                <w:szCs w:val="17"/>
                <w:lang w:eastAsia="en-AU"/>
              </w:rPr>
            </w:pPr>
            <w:r w:rsidRPr="00FB51BA">
              <w:rPr>
                <w:rFonts w:eastAsiaTheme="minorEastAsia" w:cs="Calibri"/>
                <w:color w:val="000000"/>
                <w:szCs w:val="17"/>
                <w:lang w:eastAsia="en-AU"/>
              </w:rPr>
              <w:t>Employment</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(0.33)</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(0.22)</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(0.15)</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(0.11)</w:t>
            </w:r>
          </w:p>
        </w:tc>
      </w:tr>
      <w:tr w:rsidR="00B32D50" w:rsidRPr="00FB51BA"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FB51BA" w:rsidRDefault="00B32D50" w:rsidP="00F17BCD">
            <w:pPr>
              <w:keepLines w:val="0"/>
              <w:autoSpaceDE w:val="0"/>
              <w:autoSpaceDN w:val="0"/>
              <w:adjustRightInd w:val="0"/>
              <w:rPr>
                <w:rFonts w:eastAsiaTheme="minorEastAsia" w:cs="Calibri"/>
                <w:color w:val="000000"/>
                <w:szCs w:val="17"/>
                <w:lang w:eastAsia="en-AU"/>
              </w:rPr>
            </w:pPr>
            <w:r w:rsidRPr="00FB51BA">
              <w:rPr>
                <w:rFonts w:eastAsiaTheme="minorEastAsia" w:cs="Calibri"/>
                <w:color w:val="000000"/>
                <w:szCs w:val="17"/>
                <w:lang w:eastAsia="en-AU"/>
              </w:rPr>
              <w:t>Consumer price index</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0.24</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0.10</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(0.02)</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(0.11)</w:t>
            </w:r>
          </w:p>
        </w:tc>
      </w:tr>
      <w:tr w:rsidR="00B32D50" w:rsidRPr="00FB51BA"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7E6D89" w:rsidRDefault="00B32D50" w:rsidP="00F17BCD">
            <w:pPr>
              <w:keepLines w:val="0"/>
              <w:autoSpaceDE w:val="0"/>
              <w:autoSpaceDN w:val="0"/>
              <w:adjustRightInd w:val="0"/>
              <w:rPr>
                <w:rFonts w:eastAsiaTheme="minorEastAsia" w:cs="Calibri"/>
                <w:b/>
                <w:color w:val="000000"/>
                <w:szCs w:val="17"/>
                <w:lang w:eastAsia="en-AU"/>
              </w:rPr>
            </w:pPr>
            <w:r w:rsidRPr="007E6D89">
              <w:rPr>
                <w:rFonts w:eastAsiaTheme="minorEastAsia" w:cs="Calibri"/>
                <w:color w:val="000000"/>
                <w:szCs w:val="17"/>
                <w:lang w:eastAsia="en-AU"/>
              </w:rPr>
              <w:t>Wage price index</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02718C">
              <w:rPr>
                <w:rFonts w:ascii="Calibri" w:hAnsi="Calibri" w:cs="Calibri"/>
                <w:color w:val="000000"/>
                <w:szCs w:val="17"/>
              </w:rPr>
              <w:t>(0.06)</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02718C">
              <w:rPr>
                <w:rFonts w:ascii="Calibri" w:hAnsi="Calibri" w:cs="Calibri"/>
                <w:color w:val="000000"/>
                <w:szCs w:val="17"/>
              </w:rPr>
              <w:t>(0.40)</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02718C">
              <w:rPr>
                <w:rFonts w:ascii="Calibri" w:hAnsi="Calibri" w:cs="Calibri"/>
                <w:color w:val="000000"/>
                <w:szCs w:val="17"/>
              </w:rPr>
              <w:t>(0.65)</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17"/>
              </w:rPr>
            </w:pPr>
            <w:r w:rsidRPr="0002718C">
              <w:rPr>
                <w:rFonts w:ascii="Calibri" w:hAnsi="Calibri" w:cs="Calibri"/>
                <w:color w:val="000000"/>
                <w:szCs w:val="17"/>
              </w:rPr>
              <w:t>(0.84)</w:t>
            </w:r>
          </w:p>
        </w:tc>
      </w:tr>
    </w:tbl>
    <w:p w:rsidR="00B32D50" w:rsidRDefault="00B32D50" w:rsidP="00F17BCD">
      <w:pPr>
        <w:pStyle w:val="Source"/>
      </w:pPr>
      <w:r w:rsidRPr="004103B7">
        <w:t>Source: Centre of Poli</w:t>
      </w:r>
      <w:r>
        <w:t>cy Studies, Victoria University</w:t>
      </w:r>
    </w:p>
    <w:p w:rsidR="00B32D50" w:rsidRDefault="00B32D50" w:rsidP="00F17BCD">
      <w:pPr>
        <w:pStyle w:val="Note"/>
      </w:pPr>
      <w:r w:rsidRPr="004103B7">
        <w:t xml:space="preserve">Note: </w:t>
      </w:r>
    </w:p>
    <w:p w:rsidR="00B32D50" w:rsidRPr="005F6283" w:rsidRDefault="00B32D50" w:rsidP="00F17BCD">
      <w:pPr>
        <w:pStyle w:val="Note"/>
      </w:pPr>
      <w:r w:rsidRPr="005F6283">
        <w:t>(a)</w:t>
      </w:r>
      <w:r w:rsidRPr="005F6283">
        <w:tab/>
        <w:t>Figures reported are the change in the level of each parameter relative to the baseline of no change in the economic outlook, for each year of the budget.</w:t>
      </w:r>
    </w:p>
    <w:p w:rsidR="00B32D50" w:rsidRDefault="00B32D50" w:rsidP="00F17BCD">
      <w:pPr>
        <w:pStyle w:val="Note"/>
      </w:pPr>
    </w:p>
    <w:p w:rsidR="00B32D50" w:rsidRDefault="00B32D50" w:rsidP="00F17BCD">
      <w:pPr>
        <w:pStyle w:val="TableHeading"/>
      </w:pPr>
      <w:r>
        <w:t>Chart B</w:t>
      </w:r>
      <w:r w:rsidRPr="00212986">
        <w:t>.2:</w:t>
      </w:r>
      <w:r w:rsidRPr="00212986">
        <w:tab/>
        <w:t xml:space="preserve">Weaker conditions in the </w:t>
      </w:r>
      <w:r>
        <w:t xml:space="preserve">Victorian </w:t>
      </w:r>
      <w:r w:rsidRPr="00212986">
        <w:t>construc</w:t>
      </w:r>
      <w:r>
        <w:t>tion and discretionary spending </w:t>
      </w:r>
      <w:r w:rsidRPr="00212986">
        <w:t>sectors</w:t>
      </w:r>
    </w:p>
    <w:p w:rsidR="00B32D50" w:rsidRDefault="00B32D50" w:rsidP="00F17BCD">
      <w:r w:rsidRPr="00667A44">
        <w:rPr>
          <w:noProof/>
        </w:rPr>
        <w:drawing>
          <wp:inline distT="0" distB="0" distL="0" distR="0">
            <wp:extent cx="4896485" cy="29753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96485" cy="2975393"/>
                    </a:xfrm>
                    <a:prstGeom prst="rect">
                      <a:avLst/>
                    </a:prstGeom>
                    <a:noFill/>
                    <a:ln>
                      <a:noFill/>
                    </a:ln>
                  </pic:spPr>
                </pic:pic>
              </a:graphicData>
            </a:graphic>
          </wp:inline>
        </w:drawing>
      </w:r>
    </w:p>
    <w:p w:rsidR="00B32D50" w:rsidRDefault="00B32D50" w:rsidP="00F17BCD">
      <w:pPr>
        <w:pStyle w:val="Source"/>
      </w:pPr>
      <w:r w:rsidRPr="004103B7">
        <w:t>Source: Centre of Policy Studies</w:t>
      </w:r>
      <w:r>
        <w:t>, Victoria University</w:t>
      </w:r>
    </w:p>
    <w:p w:rsidR="00B32D50" w:rsidRPr="0020183A" w:rsidRDefault="00B32D50" w:rsidP="00F17BCD">
      <w:r w:rsidRPr="004103B7">
        <w:lastRenderedPageBreak/>
        <w:t xml:space="preserve">Table </w:t>
      </w:r>
      <w:r>
        <w:t>B</w:t>
      </w:r>
      <w:r w:rsidRPr="004103B7">
        <w:t xml:space="preserve">.2 summarises the fiscal impacts of </w:t>
      </w:r>
      <w:r>
        <w:t>this scenario</w:t>
      </w:r>
      <w:r w:rsidRPr="004103B7">
        <w:t>. With slower growth in real GSP, employment</w:t>
      </w:r>
      <w:r>
        <w:t xml:space="preserve"> and</w:t>
      </w:r>
      <w:r w:rsidRPr="004103B7">
        <w:t xml:space="preserve"> wages</w:t>
      </w:r>
      <w:r>
        <w:t xml:space="preserve">, </w:t>
      </w:r>
      <w:r w:rsidRPr="004103B7">
        <w:t xml:space="preserve">income from transactions is lower over the budget and forward estimates. This </w:t>
      </w:r>
      <w:r>
        <w:t xml:space="preserve">is </w:t>
      </w:r>
      <w:r w:rsidRPr="004103B7">
        <w:t>reflect</w:t>
      </w:r>
      <w:r>
        <w:t>ed in</w:t>
      </w:r>
      <w:r w:rsidRPr="004103B7">
        <w:t xml:space="preserve"> lower payroll tax</w:t>
      </w:r>
      <w:r>
        <w:t xml:space="preserve"> </w:t>
      </w:r>
      <w:r w:rsidRPr="004103B7">
        <w:t xml:space="preserve">and </w:t>
      </w:r>
      <w:r>
        <w:t xml:space="preserve">reduced </w:t>
      </w:r>
      <w:r w:rsidRPr="004103B7">
        <w:t>GST grants revenue</w:t>
      </w:r>
      <w:r>
        <w:t xml:space="preserve"> as a result of a smaller national GST pool relative to the base case</w:t>
      </w:r>
      <w:r w:rsidRPr="004103B7">
        <w:t>.</w:t>
      </w:r>
      <w:r>
        <w:rPr>
          <w:rStyle w:val="FootnoteReference"/>
        </w:rPr>
        <w:footnoteReference w:id="6"/>
      </w:r>
      <w:r w:rsidRPr="004103B7">
        <w:t xml:space="preserve"> Land transfer duty</w:t>
      </w:r>
      <w:r>
        <w:t xml:space="preserve"> collections are</w:t>
      </w:r>
      <w:r w:rsidRPr="004103B7">
        <w:t xml:space="preserve"> also lower, reflecting softer property prices. </w:t>
      </w:r>
      <w:r w:rsidRPr="0099541A">
        <w:t xml:space="preserve">Growth in expenses </w:t>
      </w:r>
      <w:r>
        <w:t xml:space="preserve">from transactions </w:t>
      </w:r>
      <w:r w:rsidRPr="0099541A">
        <w:t xml:space="preserve">is marginally slower in the scenario relative to the base case, reflecting </w:t>
      </w:r>
      <w:r>
        <w:t xml:space="preserve">lower public sector employment and </w:t>
      </w:r>
      <w:r w:rsidRPr="0099541A">
        <w:t>a gradual pass-through of weaker economy</w:t>
      </w:r>
      <w:r w:rsidRPr="0099541A">
        <w:noBreakHyphen/>
        <w:t>wide wage increases to public sector wage agreements.</w:t>
      </w:r>
      <w:r>
        <w:t xml:space="preserve"> The impact on public sector employee expenses reflects the model’s assumed relationship between private and public sector employment and wages. Public sector employment is assumed to be a fixed share of overall employment, while public sector wage growth is assumed to respond to private sector wage growth. Overall</w:t>
      </w:r>
      <w:r w:rsidRPr="00380E34">
        <w:t>, the impact on employee expenses is insufficient to offset the fall</w:t>
      </w:r>
      <w:r w:rsidRPr="004103B7">
        <w:t xml:space="preserve"> in general government sector revenue</w:t>
      </w:r>
      <w:r>
        <w:t xml:space="preserve"> and is reflected</w:t>
      </w:r>
      <w:r w:rsidRPr="004103B7">
        <w:t xml:space="preserve"> in a decline in th</w:t>
      </w:r>
      <w:r>
        <w:t>e net result and an increase in </w:t>
      </w:r>
      <w:r w:rsidRPr="004103B7">
        <w:t>net debt</w:t>
      </w:r>
      <w:r>
        <w:t xml:space="preserve"> </w:t>
      </w:r>
      <w:r w:rsidRPr="004103B7">
        <w:t>over the budget and forward estimates</w:t>
      </w:r>
      <w:r w:rsidRPr="0020183A">
        <w:t>.</w:t>
      </w:r>
    </w:p>
    <w:p w:rsidR="00B32D50" w:rsidRPr="003B6233" w:rsidRDefault="00B32D50" w:rsidP="00F17BCD">
      <w:pPr>
        <w:pStyle w:val="TableHeading"/>
      </w:pPr>
      <w:r>
        <w:t>Table B</w:t>
      </w:r>
      <w:r w:rsidRPr="00212986">
        <w:t>.2:</w:t>
      </w:r>
      <w:r w:rsidRPr="00212986">
        <w:tab/>
        <w:t xml:space="preserve">Projected fiscal impact of a </w:t>
      </w:r>
      <w:r>
        <w:t xml:space="preserve">downturn in household consumption </w:t>
      </w:r>
      <w:r>
        <w:br/>
        <w:t xml:space="preserve">and dwelling investment </w:t>
      </w:r>
      <w:r>
        <w:tab/>
      </w:r>
      <w:r w:rsidRPr="00212986">
        <w:t>($</w:t>
      </w:r>
      <w:r>
        <w:t> million)</w:t>
      </w:r>
    </w:p>
    <w:tbl>
      <w:tblPr>
        <w:tblStyle w:val="DTFTable"/>
        <w:tblW w:w="7767" w:type="dxa"/>
        <w:tblLayout w:type="fixed"/>
        <w:tblLook w:val="06E0" w:firstRow="1" w:lastRow="1" w:firstColumn="1" w:lastColumn="0" w:noHBand="1" w:noVBand="1"/>
      </w:tblPr>
      <w:tblGrid>
        <w:gridCol w:w="4367"/>
        <w:gridCol w:w="850"/>
        <w:gridCol w:w="850"/>
        <w:gridCol w:w="850"/>
        <w:gridCol w:w="850"/>
      </w:tblGrid>
      <w:tr w:rsidR="00C4434F" w:rsidRPr="003B6233" w:rsidTr="00C44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7" w:type="dxa"/>
          </w:tcPr>
          <w:p w:rsidR="00C4434F" w:rsidRPr="003B6233" w:rsidRDefault="00C4434F" w:rsidP="00F17BCD">
            <w:pPr>
              <w:autoSpaceDE w:val="0"/>
              <w:autoSpaceDN w:val="0"/>
              <w:adjustRightInd w:val="0"/>
              <w:rPr>
                <w:rFonts w:eastAsiaTheme="minorEastAsia" w:cs="Calibri"/>
                <w:iCs/>
                <w:color w:val="000000"/>
                <w:szCs w:val="17"/>
                <w:lang w:eastAsia="en-AU"/>
              </w:rPr>
            </w:pPr>
            <w:r w:rsidRPr="003B6233">
              <w:rPr>
                <w:rFonts w:eastAsiaTheme="minorEastAsia" w:cs="Calibri"/>
                <w:iCs/>
                <w:color w:val="000000"/>
                <w:szCs w:val="17"/>
                <w:lang w:eastAsia="en-AU"/>
              </w:rPr>
              <w:t xml:space="preserve"> </w:t>
            </w:r>
            <w:r>
              <w:rPr>
                <w:rFonts w:eastAsiaTheme="minorEastAsia" w:cs="Calibri"/>
                <w:i w:val="0"/>
                <w:iCs/>
                <w:color w:val="000000"/>
                <w:szCs w:val="17"/>
                <w:lang w:eastAsia="en-AU"/>
              </w:rPr>
              <w:t xml:space="preserve"> </w:t>
            </w:r>
            <w:r w:rsidRPr="003B6233">
              <w:rPr>
                <w:rFonts w:eastAsiaTheme="minorEastAsia" w:cs="Calibri"/>
                <w:iCs/>
                <w:color w:val="000000"/>
                <w:szCs w:val="17"/>
                <w:lang w:eastAsia="en-AU"/>
              </w:rPr>
              <w:t xml:space="preserve"> </w:t>
            </w:r>
          </w:p>
        </w:tc>
        <w:tc>
          <w:tcPr>
            <w:tcW w:w="850" w:type="dxa"/>
          </w:tcPr>
          <w:p w:rsidR="00C4434F" w:rsidRPr="003B6233"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2018-19</w:t>
            </w:r>
            <w:r>
              <w:rPr>
                <w:rFonts w:eastAsiaTheme="minorEastAsia" w:cs="Calibri"/>
                <w:i w:val="0"/>
                <w:iCs/>
                <w:color w:val="FFFFFF"/>
                <w:szCs w:val="17"/>
                <w:lang w:eastAsia="en-AU"/>
              </w:rPr>
              <w:t xml:space="preserve"> </w:t>
            </w:r>
            <w:r w:rsidRPr="003B6233">
              <w:rPr>
                <w:rFonts w:eastAsiaTheme="minorEastAsia" w:cs="Calibri"/>
                <w:iCs/>
                <w:color w:val="FFFFFF"/>
                <w:szCs w:val="17"/>
                <w:lang w:eastAsia="en-AU"/>
              </w:rPr>
              <w:t>estimate</w:t>
            </w:r>
          </w:p>
        </w:tc>
        <w:tc>
          <w:tcPr>
            <w:tcW w:w="850" w:type="dxa"/>
          </w:tcPr>
          <w:p w:rsidR="00C4434F" w:rsidRPr="003B6233"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2019-20</w:t>
            </w:r>
            <w:r>
              <w:rPr>
                <w:rFonts w:eastAsiaTheme="minorEastAsia" w:cs="Calibri"/>
                <w:i w:val="0"/>
                <w:iCs/>
                <w:color w:val="FFFFFF"/>
                <w:szCs w:val="17"/>
                <w:lang w:eastAsia="en-AU"/>
              </w:rPr>
              <w:t xml:space="preserve"> </w:t>
            </w:r>
            <w:r w:rsidRPr="003B6233">
              <w:rPr>
                <w:rFonts w:eastAsiaTheme="minorEastAsia" w:cs="Calibri"/>
                <w:iCs/>
                <w:color w:val="FFFFFF"/>
                <w:szCs w:val="17"/>
                <w:lang w:eastAsia="en-AU"/>
              </w:rPr>
              <w:t>estimate</w:t>
            </w:r>
          </w:p>
        </w:tc>
        <w:tc>
          <w:tcPr>
            <w:tcW w:w="850" w:type="dxa"/>
          </w:tcPr>
          <w:p w:rsidR="00C4434F" w:rsidRPr="003B6233"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2020-21</w:t>
            </w:r>
            <w:r>
              <w:rPr>
                <w:rFonts w:eastAsiaTheme="minorEastAsia" w:cs="Calibri"/>
                <w:i w:val="0"/>
                <w:iCs/>
                <w:color w:val="FFFFFF"/>
                <w:szCs w:val="17"/>
                <w:lang w:eastAsia="en-AU"/>
              </w:rPr>
              <w:t xml:space="preserve"> </w:t>
            </w:r>
            <w:r w:rsidRPr="003B6233">
              <w:rPr>
                <w:rFonts w:eastAsiaTheme="minorEastAsia" w:cs="Calibri"/>
                <w:iCs/>
                <w:color w:val="FFFFFF"/>
                <w:szCs w:val="17"/>
                <w:lang w:eastAsia="en-AU"/>
              </w:rPr>
              <w:t xml:space="preserve"> estimate</w:t>
            </w:r>
          </w:p>
        </w:tc>
        <w:tc>
          <w:tcPr>
            <w:tcW w:w="850" w:type="dxa"/>
          </w:tcPr>
          <w:p w:rsidR="00C4434F" w:rsidRPr="003B6233"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2021-22</w:t>
            </w:r>
            <w:r>
              <w:rPr>
                <w:rFonts w:eastAsiaTheme="minorEastAsia" w:cs="Calibri"/>
                <w:i w:val="0"/>
                <w:iCs/>
                <w:color w:val="FFFFFF"/>
                <w:szCs w:val="17"/>
                <w:lang w:eastAsia="en-AU"/>
              </w:rPr>
              <w:t xml:space="preserve"> </w:t>
            </w:r>
            <w:r w:rsidRPr="003B6233">
              <w:rPr>
                <w:rFonts w:eastAsiaTheme="minorEastAsia" w:cs="Calibri"/>
                <w:iCs/>
                <w:color w:val="FFFFFF"/>
                <w:szCs w:val="17"/>
                <w:lang w:eastAsia="en-AU"/>
              </w:rPr>
              <w:t>estimate</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7" w:type="dxa"/>
          </w:tcPr>
          <w:p w:rsidR="00B32D50" w:rsidRPr="003B6233" w:rsidRDefault="00B32D50" w:rsidP="00F17BCD">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Income from transactions</w:t>
            </w:r>
          </w:p>
        </w:tc>
        <w:tc>
          <w:tcPr>
            <w:tcW w:w="850" w:type="dxa"/>
          </w:tcPr>
          <w:p w:rsidR="00B32D50" w:rsidRPr="000A6655" w:rsidRDefault="00B32D50" w:rsidP="00F17BCD">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(294.0)</w:t>
            </w:r>
          </w:p>
        </w:tc>
        <w:tc>
          <w:tcPr>
            <w:tcW w:w="850" w:type="dxa"/>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(326.8)</w:t>
            </w:r>
          </w:p>
        </w:tc>
        <w:tc>
          <w:tcPr>
            <w:tcW w:w="850" w:type="dxa"/>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(351.2)</w:t>
            </w:r>
          </w:p>
        </w:tc>
        <w:tc>
          <w:tcPr>
            <w:tcW w:w="850" w:type="dxa"/>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(352.0)</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7" w:type="dxa"/>
            <w:tcBorders>
              <w:bottom w:val="single" w:sz="6" w:space="0" w:color="auto"/>
            </w:tcBorders>
          </w:tcPr>
          <w:p w:rsidR="00B32D50" w:rsidRPr="003B6233" w:rsidRDefault="00B32D50" w:rsidP="00F17BCD">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Expenses from transactions</w:t>
            </w:r>
          </w:p>
        </w:tc>
        <w:tc>
          <w:tcPr>
            <w:tcW w:w="850" w:type="dxa"/>
            <w:tcBorders>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(40.4)</w:t>
            </w:r>
          </w:p>
        </w:tc>
        <w:tc>
          <w:tcPr>
            <w:tcW w:w="850" w:type="dxa"/>
            <w:tcBorders>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(63.9)</w:t>
            </w:r>
          </w:p>
        </w:tc>
        <w:tc>
          <w:tcPr>
            <w:tcW w:w="850" w:type="dxa"/>
            <w:tcBorders>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(165.1)</w:t>
            </w:r>
          </w:p>
        </w:tc>
        <w:tc>
          <w:tcPr>
            <w:tcW w:w="850" w:type="dxa"/>
            <w:tcBorders>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(246.1)</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single" w:sz="6" w:space="0" w:color="auto"/>
            </w:tcBorders>
          </w:tcPr>
          <w:p w:rsidR="00B32D50" w:rsidRPr="003B6233" w:rsidRDefault="00B32D50" w:rsidP="00F17BCD">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 from transactions</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(253.6)</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(263.0)</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(186.1)</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(105.9)</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single" w:sz="6" w:space="0" w:color="auto"/>
            </w:tcBorders>
          </w:tcPr>
          <w:p w:rsidR="00B32D50" w:rsidRPr="003B6233" w:rsidRDefault="00B32D50" w:rsidP="00F17BCD">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Other economic flows</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(4.3)</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(4.3)</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(3.5)</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0A6655">
              <w:rPr>
                <w:rFonts w:ascii="Calibri" w:hAnsi="Calibri" w:cs="Calibri"/>
                <w:szCs w:val="17"/>
              </w:rPr>
              <w:t>(3.1)</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single" w:sz="6" w:space="0" w:color="auto"/>
            </w:tcBorders>
          </w:tcPr>
          <w:p w:rsidR="00B32D50" w:rsidRPr="003B6233" w:rsidRDefault="00B32D50" w:rsidP="00F17BCD">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(257.9)</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(267.2)</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(189.5)</w:t>
            </w:r>
          </w:p>
        </w:tc>
        <w:tc>
          <w:tcPr>
            <w:tcW w:w="850" w:type="dxa"/>
            <w:tcBorders>
              <w:top w:val="single" w:sz="6" w:space="0" w:color="auto"/>
              <w:bottom w:val="single" w:sz="6" w:space="0" w:color="auto"/>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(108.9)</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7" w:type="dxa"/>
            <w:tcBorders>
              <w:top w:val="single" w:sz="6" w:space="0" w:color="auto"/>
              <w:bottom w:val="nil"/>
            </w:tcBorders>
          </w:tcPr>
          <w:p w:rsidR="00B32D50" w:rsidRPr="003B6233" w:rsidRDefault="00B32D50" w:rsidP="00F17BCD">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debt (cumulative)</w:t>
            </w:r>
          </w:p>
        </w:tc>
        <w:tc>
          <w:tcPr>
            <w:tcW w:w="850" w:type="dxa"/>
            <w:tcBorders>
              <w:top w:val="single" w:sz="6" w:space="0" w:color="auto"/>
              <w:bottom w:val="nil"/>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257.9</w:t>
            </w:r>
          </w:p>
        </w:tc>
        <w:tc>
          <w:tcPr>
            <w:tcW w:w="850" w:type="dxa"/>
            <w:tcBorders>
              <w:top w:val="single" w:sz="6" w:space="0" w:color="auto"/>
              <w:bottom w:val="nil"/>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518.3</w:t>
            </w:r>
          </w:p>
        </w:tc>
        <w:tc>
          <w:tcPr>
            <w:tcW w:w="850" w:type="dxa"/>
            <w:tcBorders>
              <w:top w:val="single" w:sz="6" w:space="0" w:color="auto"/>
              <w:bottom w:val="nil"/>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700.8</w:t>
            </w:r>
          </w:p>
        </w:tc>
        <w:tc>
          <w:tcPr>
            <w:tcW w:w="850" w:type="dxa"/>
            <w:tcBorders>
              <w:top w:val="single" w:sz="6" w:space="0" w:color="auto"/>
              <w:bottom w:val="nil"/>
            </w:tcBorders>
          </w:tcPr>
          <w:p w:rsidR="00B32D50" w:rsidRPr="000A6655"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0A6655">
              <w:rPr>
                <w:rFonts w:ascii="Calibri" w:hAnsi="Calibri" w:cs="Calibri"/>
                <w:b/>
                <w:bCs/>
                <w:szCs w:val="17"/>
              </w:rPr>
              <w:t>802.5</w:t>
            </w:r>
          </w:p>
        </w:tc>
      </w:tr>
      <w:tr w:rsidR="00B32D50" w:rsidRPr="003B6233"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Borders>
              <w:top w:val="nil"/>
            </w:tcBorders>
          </w:tcPr>
          <w:p w:rsidR="00B32D50" w:rsidRPr="003B6233" w:rsidRDefault="00B32D50" w:rsidP="00F17BCD">
            <w:pPr>
              <w:keepLines w:val="0"/>
              <w:autoSpaceDE w:val="0"/>
              <w:autoSpaceDN w:val="0"/>
              <w:adjustRightInd w:val="0"/>
              <w:rPr>
                <w:rFonts w:eastAsiaTheme="minorEastAsia" w:cs="Calibri"/>
                <w:bCs/>
                <w:color w:val="000000"/>
                <w:szCs w:val="17"/>
                <w:lang w:eastAsia="en-AU"/>
              </w:rPr>
            </w:pPr>
            <w:r w:rsidRPr="003B6233">
              <w:rPr>
                <w:rFonts w:eastAsiaTheme="minorEastAsia" w:cs="Calibri"/>
                <w:bCs/>
                <w:color w:val="000000"/>
                <w:szCs w:val="17"/>
                <w:lang w:eastAsia="en-AU"/>
              </w:rPr>
              <w:t>Net debt to GSP ratio (percentage point difference)</w:t>
            </w:r>
          </w:p>
        </w:tc>
        <w:tc>
          <w:tcPr>
            <w:tcW w:w="850" w:type="dxa"/>
            <w:tcBorders>
              <w:top w:val="nil"/>
            </w:tcBorders>
          </w:tcPr>
          <w:p w:rsidR="00B32D50" w:rsidRPr="000A6655"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0A6655">
              <w:rPr>
                <w:rFonts w:ascii="Calibri" w:hAnsi="Calibri" w:cs="Calibri"/>
                <w:bCs/>
                <w:color w:val="000000"/>
                <w:szCs w:val="17"/>
              </w:rPr>
              <w:t>0.07</w:t>
            </w:r>
          </w:p>
        </w:tc>
        <w:tc>
          <w:tcPr>
            <w:tcW w:w="850" w:type="dxa"/>
            <w:tcBorders>
              <w:top w:val="nil"/>
            </w:tcBorders>
          </w:tcPr>
          <w:p w:rsidR="00B32D50" w:rsidRPr="000A6655"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0A6655">
              <w:rPr>
                <w:rFonts w:ascii="Calibri" w:hAnsi="Calibri" w:cs="Calibri"/>
                <w:bCs/>
                <w:color w:val="000000"/>
                <w:szCs w:val="17"/>
              </w:rPr>
              <w:t>0.13</w:t>
            </w:r>
          </w:p>
        </w:tc>
        <w:tc>
          <w:tcPr>
            <w:tcW w:w="850" w:type="dxa"/>
            <w:tcBorders>
              <w:top w:val="nil"/>
            </w:tcBorders>
          </w:tcPr>
          <w:p w:rsidR="00B32D50" w:rsidRPr="000A6655"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0A6655">
              <w:rPr>
                <w:rFonts w:ascii="Calibri" w:hAnsi="Calibri" w:cs="Calibri"/>
                <w:bCs/>
                <w:color w:val="000000"/>
                <w:szCs w:val="17"/>
              </w:rPr>
              <w:t>0.16</w:t>
            </w:r>
          </w:p>
        </w:tc>
        <w:tc>
          <w:tcPr>
            <w:tcW w:w="850" w:type="dxa"/>
            <w:tcBorders>
              <w:top w:val="nil"/>
            </w:tcBorders>
          </w:tcPr>
          <w:p w:rsidR="00B32D50" w:rsidRPr="000A6655"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0A6655">
              <w:rPr>
                <w:rFonts w:ascii="Calibri" w:hAnsi="Calibri" w:cs="Calibri"/>
                <w:bCs/>
                <w:color w:val="000000"/>
                <w:szCs w:val="17"/>
              </w:rPr>
              <w:t>0.17</w:t>
            </w:r>
          </w:p>
        </w:tc>
      </w:tr>
    </w:tbl>
    <w:p w:rsidR="00B32D50" w:rsidRPr="00294404" w:rsidRDefault="00B32D50" w:rsidP="00F17BCD">
      <w:pPr>
        <w:pStyle w:val="Source"/>
      </w:pPr>
      <w:r w:rsidRPr="00294404">
        <w:t>Source: Department of Treasury and Finance</w:t>
      </w:r>
      <w:r>
        <w:t xml:space="preserve"> </w:t>
      </w:r>
    </w:p>
    <w:p w:rsidR="00B32D50" w:rsidRDefault="00B32D50" w:rsidP="00F17BCD">
      <w:pPr>
        <w:pStyle w:val="Heading20"/>
      </w:pPr>
      <w:r>
        <w:t>Sustained high labour force participation in Victoria</w:t>
      </w:r>
    </w:p>
    <w:p w:rsidR="00B32D50" w:rsidRDefault="00B32D50" w:rsidP="00F17BCD">
      <w:r w:rsidRPr="004103B7">
        <w:t>Victoria</w:t>
      </w:r>
      <w:r>
        <w:t>’</w:t>
      </w:r>
      <w:r w:rsidRPr="004103B7">
        <w:t>s labour force participation rate has outperformed expectations in recent years</w:t>
      </w:r>
      <w:r>
        <w:t xml:space="preserve">. High labour force participation </w:t>
      </w:r>
      <w:r w:rsidRPr="004103B7">
        <w:t xml:space="preserve">has supported the strongest period of job creation since the </w:t>
      </w:r>
      <w:r>
        <w:t>early 1990</w:t>
      </w:r>
      <w:r w:rsidRPr="004103B7">
        <w:t>s</w:t>
      </w:r>
      <w:r>
        <w:t xml:space="preserve">. Longer-term </w:t>
      </w:r>
      <w:r w:rsidRPr="004103B7">
        <w:t xml:space="preserve">structural </w:t>
      </w:r>
      <w:r>
        <w:t>trends</w:t>
      </w:r>
      <w:r w:rsidRPr="004103B7">
        <w:t xml:space="preserve">, such as </w:t>
      </w:r>
      <w:r w:rsidRPr="007008E0">
        <w:t xml:space="preserve">rising workforce participation by both females and those aged </w:t>
      </w:r>
      <w:r>
        <w:t>50</w:t>
      </w:r>
      <w:r w:rsidRPr="007008E0">
        <w:t> years and over that reflect cultural, economic, and social changes in Australia have contributed significantly to the pick up in the participation rate over the past four years (Chart </w:t>
      </w:r>
      <w:r>
        <w:t>B</w:t>
      </w:r>
      <w:r w:rsidRPr="007008E0">
        <w:t>.3).</w:t>
      </w:r>
      <w:r w:rsidRPr="007008E0">
        <w:rPr>
          <w:color w:val="FFFFFF" w:themeColor="background1"/>
        </w:rPr>
        <w:t xml:space="preserve"> </w:t>
      </w:r>
      <w:r w:rsidRPr="007008E0">
        <w:t>This has more than counteracted</w:t>
      </w:r>
      <w:r>
        <w:t xml:space="preserve"> the role that demographic change through an ageing population has played in attenuating Victoria’s participation rate.</w:t>
      </w:r>
    </w:p>
    <w:p w:rsidR="00B32D50" w:rsidRDefault="00B32D50" w:rsidP="00F17BCD">
      <w:pPr>
        <w:pStyle w:val="TableHeading"/>
        <w:spacing w:before="180"/>
      </w:pPr>
      <w:r>
        <w:lastRenderedPageBreak/>
        <w:t>Chart B</w:t>
      </w:r>
      <w:r w:rsidRPr="007008E0">
        <w:t>.3:</w:t>
      </w:r>
      <w:r w:rsidRPr="007008E0">
        <w:tab/>
        <w:t xml:space="preserve">Contributions to changes in Victoria’s labour force participation rate, three months to June 2014 to three months to </w:t>
      </w:r>
      <w:r>
        <w:t>September</w:t>
      </w:r>
      <w:r w:rsidRPr="007008E0">
        <w:t xml:space="preserve"> 2018</w:t>
      </w:r>
      <w:r w:rsidRPr="00212986">
        <w:rPr>
          <w:vertAlign w:val="superscript"/>
        </w:rPr>
        <w:t>(a)</w:t>
      </w:r>
    </w:p>
    <w:p w:rsidR="00B32D50" w:rsidRDefault="00B32D50" w:rsidP="00F17BCD">
      <w:r w:rsidRPr="005C35E0">
        <w:rPr>
          <w:noProof/>
        </w:rPr>
        <w:drawing>
          <wp:inline distT="0" distB="0" distL="0" distR="0">
            <wp:extent cx="4896485" cy="2858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96485" cy="2858932"/>
                    </a:xfrm>
                    <a:prstGeom prst="rect">
                      <a:avLst/>
                    </a:prstGeom>
                    <a:noFill/>
                    <a:ln>
                      <a:noFill/>
                    </a:ln>
                  </pic:spPr>
                </pic:pic>
              </a:graphicData>
            </a:graphic>
          </wp:inline>
        </w:drawing>
      </w:r>
    </w:p>
    <w:p w:rsidR="00B32D50" w:rsidRDefault="00B32D50" w:rsidP="00F17BCD">
      <w:pPr>
        <w:pStyle w:val="Source"/>
      </w:pPr>
      <w:r w:rsidRPr="004103B7">
        <w:t>Source</w:t>
      </w:r>
      <w:r>
        <w:t>s</w:t>
      </w:r>
      <w:r w:rsidRPr="004103B7">
        <w:t>: Australian Bureau of Statistics</w:t>
      </w:r>
      <w:r>
        <w:t>; Department of Treasury and Finance</w:t>
      </w:r>
    </w:p>
    <w:p w:rsidR="00B32D50" w:rsidRPr="007C6619" w:rsidRDefault="00B32D50" w:rsidP="00F17BCD">
      <w:pPr>
        <w:pStyle w:val="Note"/>
      </w:pPr>
      <w:r w:rsidRPr="007C6619">
        <w:t xml:space="preserve">Note: </w:t>
      </w:r>
    </w:p>
    <w:p w:rsidR="00B32D50" w:rsidRDefault="00B32D50" w:rsidP="00F17BCD">
      <w:pPr>
        <w:pStyle w:val="Note"/>
      </w:pPr>
      <w:r w:rsidRPr="007C6619">
        <w:t>(a)</w:t>
      </w:r>
      <w:r w:rsidRPr="007C6619">
        <w:tab/>
        <w:t xml:space="preserve">Demographic change affects the size and composition of the potential workforce. </w:t>
      </w:r>
      <w:r w:rsidRPr="00936D6E">
        <w:t>Population ageing results in a higher proportion of the civilian population (aged 15 years and over) being in older age cohorts, which have relatively lower participation rates.</w:t>
      </w:r>
    </w:p>
    <w:p w:rsidR="00B32D50" w:rsidRPr="007C6619" w:rsidRDefault="00B32D50" w:rsidP="00C4434F"/>
    <w:p w:rsidR="00B32D50" w:rsidRDefault="00B32D50" w:rsidP="00F17BCD">
      <w:r>
        <w:t xml:space="preserve">The forecasts in Chapter 1 </w:t>
      </w:r>
      <w:r w:rsidRPr="00F6625A">
        <w:rPr>
          <w:i/>
        </w:rPr>
        <w:t>Economic </w:t>
      </w:r>
      <w:r>
        <w:rPr>
          <w:i/>
        </w:rPr>
        <w:t xml:space="preserve">Conditions and </w:t>
      </w:r>
      <w:r w:rsidRPr="00F6625A">
        <w:rPr>
          <w:i/>
        </w:rPr>
        <w:t>Outlook</w:t>
      </w:r>
      <w:r>
        <w:t xml:space="preserve"> assume the labour force participation rate (in year average terms) moderates from its peak</w:t>
      </w:r>
      <w:r w:rsidRPr="00501366">
        <w:t xml:space="preserve"> </w:t>
      </w:r>
      <w:r>
        <w:t>of</w:t>
      </w:r>
      <w:r w:rsidRPr="00501366">
        <w:t xml:space="preserve"> </w:t>
      </w:r>
      <w:r>
        <w:t>65.9 </w:t>
      </w:r>
      <w:r w:rsidRPr="00501366">
        <w:t>per cent</w:t>
      </w:r>
      <w:r>
        <w:t xml:space="preserve"> in 2017</w:t>
      </w:r>
      <w:r>
        <w:noBreakHyphen/>
        <w:t>18 over the budget and forward estimates (Chart B.4). However, it is possible that the various factors that have underpinned the rise in participation in recent years persist.</w:t>
      </w:r>
    </w:p>
    <w:p w:rsidR="00B32D50" w:rsidRDefault="00B32D50" w:rsidP="00F17BCD">
      <w:r>
        <w:t>This upside scenario assumes that the labour force participation rate rises to around 66.2 per cent by 2019</w:t>
      </w:r>
      <w:r>
        <w:noBreakHyphen/>
        <w:t>20, plateauing around this value over the forward estimates. This amounts to the aggregate participation being around 0.25 percentage points higher in the budget year and 0.5 percentage points higher than the base case for each of the following three years.</w:t>
      </w:r>
    </w:p>
    <w:p w:rsidR="00B32D50" w:rsidRPr="00DC03B6" w:rsidRDefault="00B32D50" w:rsidP="00F17BCD">
      <w:pPr>
        <w:keepNext/>
        <w:tabs>
          <w:tab w:val="left" w:pos="1134"/>
          <w:tab w:val="right" w:pos="7710"/>
        </w:tabs>
        <w:spacing w:before="180" w:after="60"/>
        <w:ind w:left="1134" w:hanging="1134"/>
        <w:rPr>
          <w:rFonts w:ascii="Calibri" w:eastAsia="Garamond" w:hAnsi="Calibri" w:cs="Times New Roman"/>
          <w:b/>
          <w:sz w:val="20"/>
          <w:szCs w:val="20"/>
        </w:rPr>
      </w:pPr>
      <w:r w:rsidRPr="00DC03B6">
        <w:rPr>
          <w:rFonts w:ascii="Calibri" w:eastAsia="Garamond" w:hAnsi="Calibri" w:cs="Times New Roman"/>
          <w:b/>
          <w:sz w:val="20"/>
          <w:szCs w:val="20"/>
        </w:rPr>
        <w:lastRenderedPageBreak/>
        <w:t xml:space="preserve">Chart </w:t>
      </w:r>
      <w:r>
        <w:rPr>
          <w:rFonts w:ascii="Calibri" w:eastAsia="Garamond" w:hAnsi="Calibri" w:cs="Times New Roman"/>
          <w:b/>
          <w:sz w:val="20"/>
          <w:szCs w:val="20"/>
        </w:rPr>
        <w:t>B</w:t>
      </w:r>
      <w:r w:rsidRPr="00DC03B6">
        <w:rPr>
          <w:rFonts w:ascii="Calibri" w:eastAsia="Garamond" w:hAnsi="Calibri" w:cs="Times New Roman"/>
          <w:b/>
          <w:sz w:val="20"/>
          <w:szCs w:val="20"/>
        </w:rPr>
        <w:t>.4:</w:t>
      </w:r>
      <w:r w:rsidRPr="00DC03B6">
        <w:rPr>
          <w:rFonts w:ascii="Calibri" w:eastAsia="Garamond" w:hAnsi="Calibri" w:cs="Times New Roman"/>
          <w:b/>
          <w:sz w:val="20"/>
          <w:szCs w:val="20"/>
        </w:rPr>
        <w:tab/>
        <w:t>Victoria</w:t>
      </w:r>
      <w:r>
        <w:rPr>
          <w:rFonts w:ascii="Calibri" w:eastAsia="Garamond" w:hAnsi="Calibri" w:cs="Times New Roman"/>
          <w:b/>
          <w:sz w:val="20"/>
          <w:szCs w:val="20"/>
        </w:rPr>
        <w:t>’</w:t>
      </w:r>
      <w:r w:rsidRPr="00DC03B6">
        <w:rPr>
          <w:rFonts w:ascii="Calibri" w:eastAsia="Garamond" w:hAnsi="Calibri" w:cs="Times New Roman"/>
          <w:b/>
          <w:sz w:val="20"/>
          <w:szCs w:val="20"/>
        </w:rPr>
        <w:t>s labour force participation rate under the base case and scenario</w:t>
      </w:r>
    </w:p>
    <w:p w:rsidR="00B32D50" w:rsidRDefault="00B32D50" w:rsidP="00F17BCD">
      <w:pPr>
        <w:rPr>
          <w:noProof/>
          <w:lang w:eastAsia="en-AU"/>
        </w:rPr>
      </w:pPr>
      <w:r w:rsidRPr="00231E91">
        <w:rPr>
          <w:noProof/>
        </w:rPr>
        <w:drawing>
          <wp:inline distT="0" distB="0" distL="0" distR="0">
            <wp:extent cx="4896485" cy="335038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96485" cy="3350388"/>
                    </a:xfrm>
                    <a:prstGeom prst="rect">
                      <a:avLst/>
                    </a:prstGeom>
                    <a:noFill/>
                    <a:ln>
                      <a:noFill/>
                    </a:ln>
                  </pic:spPr>
                </pic:pic>
              </a:graphicData>
            </a:graphic>
          </wp:inline>
        </w:drawing>
      </w:r>
    </w:p>
    <w:p w:rsidR="00B32D50" w:rsidRDefault="00B32D50" w:rsidP="00F17BCD">
      <w:pPr>
        <w:pStyle w:val="Source"/>
      </w:pPr>
      <w:r w:rsidRPr="004103B7">
        <w:t>Source</w:t>
      </w:r>
      <w:r>
        <w:t>s</w:t>
      </w:r>
      <w:r w:rsidRPr="004103B7">
        <w:t>: Australian Bureau of Statistics</w:t>
      </w:r>
      <w:r>
        <w:t>; Department of Treasury and Finance</w:t>
      </w:r>
    </w:p>
    <w:p w:rsidR="00B32D50" w:rsidRPr="007C6619" w:rsidRDefault="00B32D50" w:rsidP="00F17BCD">
      <w:pPr>
        <w:pStyle w:val="Note"/>
      </w:pPr>
    </w:p>
    <w:p w:rsidR="00B32D50" w:rsidRPr="007008E0" w:rsidRDefault="00B32D50" w:rsidP="00F17BCD">
      <w:r>
        <w:t xml:space="preserve">The most recent upswing in the participation rate suggests such an increase would not happen exogenously; that is, more Victorians would not supply their labour without reasonable prospects of gaining work. For this reason, the shock has been implemented in VURM so that the rise in the participation rate has been accompanied by an increase in final demand from household consumption. This results in the Victorian economy being able to accommodate much of the additional labour supply, leaving the unemployment </w:t>
      </w:r>
      <w:r w:rsidRPr="007008E0">
        <w:t>rate</w:t>
      </w:r>
      <w:r>
        <w:t xml:space="preserve"> </w:t>
      </w:r>
      <w:r w:rsidRPr="007008E0">
        <w:t>little changed relative to the base case.</w:t>
      </w:r>
    </w:p>
    <w:p w:rsidR="00B32D50" w:rsidRDefault="00B32D50" w:rsidP="00F17BCD">
      <w:r w:rsidRPr="007008E0">
        <w:t>The effects of this scenario on major economic parameters are reported in Table</w:t>
      </w:r>
      <w:r>
        <w:t xml:space="preserve"> B</w:t>
      </w:r>
      <w:r w:rsidRPr="007008E0">
        <w:t>.3. Strong employment growth</w:t>
      </w:r>
      <w:r>
        <w:t xml:space="preserve"> </w:t>
      </w:r>
      <w:r w:rsidRPr="007008E0">
        <w:t>and household demand provides a short</w:t>
      </w:r>
      <w:r w:rsidRPr="007008E0">
        <w:noBreakHyphen/>
        <w:t>term impetus to consumer price inflation in 2018-19 and 2019-20. Over time, the larger labour force exerts downward pressure on wages and production costs, spilling over into lower inflation by the end of the forward estimates relative to current forecasts. The boost to final demand and more contained wages</w:t>
      </w:r>
      <w:r>
        <w:t xml:space="preserve"> </w:t>
      </w:r>
      <w:r w:rsidRPr="007008E0">
        <w:t xml:space="preserve">growth stimulates employment </w:t>
      </w:r>
      <w:r>
        <w:t>(Chart B.5). This also</w:t>
      </w:r>
      <w:r w:rsidRPr="007008E0">
        <w:t xml:space="preserve"> improves the productivity</w:t>
      </w:r>
      <w:r>
        <w:t xml:space="preserve"> of capital, resulting in higher investment.</w:t>
      </w:r>
    </w:p>
    <w:p w:rsidR="00B32D50" w:rsidRDefault="00B32D50" w:rsidP="00F17BCD">
      <w:r>
        <w:br w:type="page"/>
      </w:r>
    </w:p>
    <w:p w:rsidR="00B32D50" w:rsidRPr="00946B06" w:rsidRDefault="00B32D50" w:rsidP="00F17BCD">
      <w:pPr>
        <w:pStyle w:val="TableHeading"/>
      </w:pPr>
      <w:r>
        <w:lastRenderedPageBreak/>
        <w:t>Table B</w:t>
      </w:r>
      <w:r w:rsidRPr="00212986">
        <w:t>.3:</w:t>
      </w:r>
      <w:r w:rsidRPr="00212986">
        <w:tab/>
        <w:t>The effect of higher participation on major economic parameters</w:t>
      </w:r>
      <w:r w:rsidRPr="00212986">
        <w:rPr>
          <w:vertAlign w:val="superscript"/>
        </w:rPr>
        <w:t>(a)</w:t>
      </w:r>
      <w:r>
        <w:rPr>
          <w:vertAlign w:val="superscript"/>
        </w:rPr>
        <w:t xml:space="preserve"> </w:t>
      </w:r>
      <w:r>
        <w:rPr>
          <w:vertAlign w:val="superscript"/>
        </w:rPr>
        <w:tab/>
      </w:r>
      <w:r w:rsidRPr="00212986">
        <w:t>(per cent</w:t>
      </w:r>
      <w:r>
        <w:t>)</w:t>
      </w:r>
    </w:p>
    <w:tbl>
      <w:tblPr>
        <w:tblStyle w:val="DTFTable"/>
        <w:tblW w:w="7767" w:type="dxa"/>
        <w:tblLayout w:type="fixed"/>
        <w:tblLook w:val="06A0" w:firstRow="1" w:lastRow="0" w:firstColumn="1" w:lastColumn="0" w:noHBand="1" w:noVBand="1"/>
      </w:tblPr>
      <w:tblGrid>
        <w:gridCol w:w="4367"/>
        <w:gridCol w:w="850"/>
        <w:gridCol w:w="850"/>
        <w:gridCol w:w="850"/>
        <w:gridCol w:w="850"/>
      </w:tblGrid>
      <w:tr w:rsidR="00C4434F" w:rsidRPr="00946B06" w:rsidTr="00C44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7" w:type="dxa"/>
          </w:tcPr>
          <w:p w:rsidR="00C4434F" w:rsidRPr="00946B06" w:rsidRDefault="00C4434F" w:rsidP="00F17BCD">
            <w:pPr>
              <w:autoSpaceDE w:val="0"/>
              <w:autoSpaceDN w:val="0"/>
              <w:adjustRightInd w:val="0"/>
              <w:rPr>
                <w:rFonts w:eastAsiaTheme="minorEastAsia" w:cs="Calibri"/>
                <w:iCs/>
                <w:color w:val="000000"/>
                <w:szCs w:val="17"/>
                <w:lang w:eastAsia="en-AU"/>
              </w:rPr>
            </w:pPr>
            <w:r w:rsidRPr="00946B06">
              <w:rPr>
                <w:rFonts w:eastAsiaTheme="minorEastAsia" w:cs="Calibri"/>
                <w:iCs/>
                <w:color w:val="000000"/>
                <w:szCs w:val="17"/>
                <w:lang w:eastAsia="en-AU"/>
              </w:rPr>
              <w:t xml:space="preserve"> </w:t>
            </w:r>
            <w:r>
              <w:rPr>
                <w:rFonts w:eastAsiaTheme="minorEastAsia" w:cs="Calibri"/>
                <w:i w:val="0"/>
                <w:iCs/>
                <w:color w:val="000000"/>
                <w:szCs w:val="17"/>
                <w:lang w:eastAsia="en-AU"/>
              </w:rPr>
              <w:t xml:space="preserve"> </w:t>
            </w:r>
            <w:r w:rsidRPr="00946B06">
              <w:rPr>
                <w:rFonts w:eastAsiaTheme="minorEastAsia" w:cs="Calibri"/>
                <w:iCs/>
                <w:color w:val="000000"/>
                <w:szCs w:val="17"/>
                <w:lang w:eastAsia="en-AU"/>
              </w:rPr>
              <w:t xml:space="preserve"> </w:t>
            </w:r>
          </w:p>
        </w:tc>
        <w:tc>
          <w:tcPr>
            <w:tcW w:w="850" w:type="dxa"/>
          </w:tcPr>
          <w:p w:rsidR="00C4434F" w:rsidRPr="00946B06"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946B06">
              <w:rPr>
                <w:rFonts w:eastAsiaTheme="minorEastAsia" w:cs="Calibri"/>
                <w:iCs/>
                <w:color w:val="FFFFFF"/>
                <w:szCs w:val="17"/>
                <w:lang w:eastAsia="en-AU"/>
              </w:rPr>
              <w:t>2018-19</w:t>
            </w:r>
            <w:r>
              <w:rPr>
                <w:rFonts w:eastAsiaTheme="minorEastAsia" w:cs="Calibri"/>
                <w:i w:val="0"/>
                <w:iCs/>
                <w:color w:val="FFFFFF"/>
                <w:szCs w:val="17"/>
                <w:lang w:eastAsia="en-AU"/>
              </w:rPr>
              <w:t xml:space="preserve"> </w:t>
            </w:r>
            <w:r w:rsidRPr="00946B06">
              <w:rPr>
                <w:rFonts w:eastAsiaTheme="minorEastAsia" w:cs="Calibri"/>
                <w:iCs/>
                <w:color w:val="FFFFFF"/>
                <w:szCs w:val="17"/>
                <w:lang w:eastAsia="en-AU"/>
              </w:rPr>
              <w:t>estimate</w:t>
            </w:r>
          </w:p>
        </w:tc>
        <w:tc>
          <w:tcPr>
            <w:tcW w:w="850" w:type="dxa"/>
          </w:tcPr>
          <w:p w:rsidR="00C4434F" w:rsidRPr="00946B06"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946B06">
              <w:rPr>
                <w:rFonts w:eastAsiaTheme="minorEastAsia" w:cs="Calibri"/>
                <w:iCs/>
                <w:color w:val="FFFFFF"/>
                <w:szCs w:val="17"/>
                <w:lang w:eastAsia="en-AU"/>
              </w:rPr>
              <w:t>2019-20</w:t>
            </w:r>
            <w:r>
              <w:rPr>
                <w:rFonts w:eastAsiaTheme="minorEastAsia" w:cs="Calibri"/>
                <w:i w:val="0"/>
                <w:iCs/>
                <w:color w:val="FFFFFF"/>
                <w:szCs w:val="17"/>
                <w:lang w:eastAsia="en-AU"/>
              </w:rPr>
              <w:t xml:space="preserve"> </w:t>
            </w:r>
            <w:r w:rsidRPr="00946B06">
              <w:rPr>
                <w:rFonts w:eastAsiaTheme="minorEastAsia" w:cs="Calibri"/>
                <w:iCs/>
                <w:color w:val="FFFFFF"/>
                <w:szCs w:val="17"/>
                <w:lang w:eastAsia="en-AU"/>
              </w:rPr>
              <w:t>estimate</w:t>
            </w:r>
          </w:p>
        </w:tc>
        <w:tc>
          <w:tcPr>
            <w:tcW w:w="850" w:type="dxa"/>
          </w:tcPr>
          <w:p w:rsidR="00C4434F" w:rsidRPr="00946B06"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946B06">
              <w:rPr>
                <w:rFonts w:eastAsiaTheme="minorEastAsia" w:cs="Calibri"/>
                <w:iCs/>
                <w:color w:val="FFFFFF"/>
                <w:szCs w:val="17"/>
                <w:lang w:eastAsia="en-AU"/>
              </w:rPr>
              <w:t>2020-21</w:t>
            </w:r>
            <w:r>
              <w:rPr>
                <w:rFonts w:eastAsiaTheme="minorEastAsia" w:cs="Calibri"/>
                <w:i w:val="0"/>
                <w:iCs/>
                <w:color w:val="FFFFFF"/>
                <w:szCs w:val="17"/>
                <w:lang w:eastAsia="en-AU"/>
              </w:rPr>
              <w:t xml:space="preserve"> </w:t>
            </w:r>
            <w:r w:rsidRPr="00946B06">
              <w:rPr>
                <w:rFonts w:eastAsiaTheme="minorEastAsia" w:cs="Calibri"/>
                <w:iCs/>
                <w:color w:val="FFFFFF"/>
                <w:szCs w:val="17"/>
                <w:lang w:eastAsia="en-AU"/>
              </w:rPr>
              <w:t>estimate</w:t>
            </w:r>
          </w:p>
        </w:tc>
        <w:tc>
          <w:tcPr>
            <w:tcW w:w="850" w:type="dxa"/>
          </w:tcPr>
          <w:p w:rsidR="00C4434F" w:rsidRPr="00946B06" w:rsidRDefault="00C4434F"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946B06">
              <w:rPr>
                <w:rFonts w:eastAsiaTheme="minorEastAsia" w:cs="Calibri"/>
                <w:iCs/>
                <w:color w:val="FFFFFF"/>
                <w:szCs w:val="17"/>
                <w:lang w:eastAsia="en-AU"/>
              </w:rPr>
              <w:t>2021-22</w:t>
            </w:r>
            <w:r>
              <w:rPr>
                <w:rFonts w:eastAsiaTheme="minorEastAsia" w:cs="Calibri"/>
                <w:i w:val="0"/>
                <w:iCs/>
                <w:color w:val="FFFFFF"/>
                <w:szCs w:val="17"/>
                <w:lang w:eastAsia="en-AU"/>
              </w:rPr>
              <w:t xml:space="preserve"> </w:t>
            </w:r>
            <w:r w:rsidRPr="00946B06">
              <w:rPr>
                <w:rFonts w:eastAsiaTheme="minorEastAsia" w:cs="Calibri"/>
                <w:iCs/>
                <w:color w:val="FFFFFF"/>
                <w:szCs w:val="17"/>
                <w:lang w:eastAsia="en-AU"/>
              </w:rPr>
              <w:t>estimate</w:t>
            </w:r>
          </w:p>
        </w:tc>
      </w:tr>
      <w:tr w:rsidR="00B32D50" w:rsidRPr="00946B06" w:rsidTr="00F17BCD">
        <w:tc>
          <w:tcPr>
            <w:cnfStyle w:val="001000000000" w:firstRow="0" w:lastRow="0" w:firstColumn="1" w:lastColumn="0" w:oddVBand="0" w:evenVBand="0" w:oddHBand="0" w:evenHBand="0" w:firstRowFirstColumn="0" w:firstRowLastColumn="0" w:lastRowFirstColumn="0" w:lastRowLastColumn="0"/>
            <w:tcW w:w="4367" w:type="dxa"/>
          </w:tcPr>
          <w:p w:rsidR="00B32D50" w:rsidRPr="00946B06" w:rsidRDefault="00B32D50" w:rsidP="00F17BCD">
            <w:pPr>
              <w:keepLines w:val="0"/>
              <w:autoSpaceDE w:val="0"/>
              <w:autoSpaceDN w:val="0"/>
              <w:adjustRightInd w:val="0"/>
              <w:rPr>
                <w:rFonts w:eastAsiaTheme="minorEastAsia" w:cs="Calibri"/>
                <w:color w:val="000000"/>
                <w:szCs w:val="17"/>
                <w:lang w:eastAsia="en-AU"/>
              </w:rPr>
            </w:pPr>
            <w:r w:rsidRPr="00946B06">
              <w:rPr>
                <w:rFonts w:eastAsiaTheme="minorEastAsia" w:cs="Calibri"/>
                <w:color w:val="000000"/>
                <w:szCs w:val="17"/>
                <w:lang w:eastAsia="en-AU"/>
              </w:rPr>
              <w:t>Real GSP</w:t>
            </w:r>
          </w:p>
        </w:tc>
        <w:tc>
          <w:tcPr>
            <w:tcW w:w="850" w:type="dxa"/>
          </w:tcPr>
          <w:p w:rsidR="00B32D50" w:rsidRPr="0002718C" w:rsidRDefault="00B32D50" w:rsidP="00F17BCD">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0.16</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0.37</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0.47</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0.54</w:t>
            </w:r>
          </w:p>
        </w:tc>
      </w:tr>
      <w:tr w:rsidR="00B32D50" w:rsidRPr="00946B06" w:rsidTr="00F17BCD">
        <w:tc>
          <w:tcPr>
            <w:cnfStyle w:val="001000000000" w:firstRow="0" w:lastRow="0" w:firstColumn="1" w:lastColumn="0" w:oddVBand="0" w:evenVBand="0" w:oddHBand="0" w:evenHBand="0" w:firstRowFirstColumn="0" w:firstRowLastColumn="0" w:lastRowFirstColumn="0" w:lastRowLastColumn="0"/>
            <w:tcW w:w="4367" w:type="dxa"/>
          </w:tcPr>
          <w:p w:rsidR="00B32D50" w:rsidRPr="00946B06" w:rsidRDefault="00B32D50" w:rsidP="00F17BCD">
            <w:pPr>
              <w:keepLines w:val="0"/>
              <w:autoSpaceDE w:val="0"/>
              <w:autoSpaceDN w:val="0"/>
              <w:adjustRightInd w:val="0"/>
              <w:rPr>
                <w:rFonts w:eastAsiaTheme="minorEastAsia" w:cs="Calibri"/>
                <w:color w:val="000000"/>
                <w:szCs w:val="17"/>
                <w:lang w:eastAsia="en-AU"/>
              </w:rPr>
            </w:pPr>
            <w:r w:rsidRPr="00946B06">
              <w:rPr>
                <w:rFonts w:eastAsiaTheme="minorEastAsia" w:cs="Calibri"/>
                <w:color w:val="000000"/>
                <w:szCs w:val="17"/>
                <w:lang w:eastAsia="en-AU"/>
              </w:rPr>
              <w:t>Employment</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0.22</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0.51</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0.63</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0.70</w:t>
            </w:r>
          </w:p>
        </w:tc>
      </w:tr>
      <w:tr w:rsidR="00B32D50" w:rsidRPr="00946B06" w:rsidTr="00F17BCD">
        <w:tc>
          <w:tcPr>
            <w:cnfStyle w:val="001000000000" w:firstRow="0" w:lastRow="0" w:firstColumn="1" w:lastColumn="0" w:oddVBand="0" w:evenVBand="0" w:oddHBand="0" w:evenHBand="0" w:firstRowFirstColumn="0" w:firstRowLastColumn="0" w:lastRowFirstColumn="0" w:lastRowLastColumn="0"/>
            <w:tcW w:w="4367" w:type="dxa"/>
          </w:tcPr>
          <w:p w:rsidR="00B32D50" w:rsidRPr="00946B06" w:rsidRDefault="00B32D50" w:rsidP="00F17BCD">
            <w:pPr>
              <w:keepLines w:val="0"/>
              <w:autoSpaceDE w:val="0"/>
              <w:autoSpaceDN w:val="0"/>
              <w:adjustRightInd w:val="0"/>
              <w:rPr>
                <w:rFonts w:eastAsiaTheme="minorEastAsia" w:cs="Calibri"/>
                <w:color w:val="000000"/>
                <w:szCs w:val="17"/>
                <w:lang w:eastAsia="en-AU"/>
              </w:rPr>
            </w:pPr>
            <w:r w:rsidRPr="00946B06">
              <w:rPr>
                <w:rFonts w:eastAsiaTheme="minorEastAsia" w:cs="Calibri"/>
                <w:color w:val="000000"/>
                <w:szCs w:val="17"/>
                <w:lang w:eastAsia="en-AU"/>
              </w:rPr>
              <w:t>Consumer price index</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0.11</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0.13</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(0.00)</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(0.09)</w:t>
            </w:r>
          </w:p>
        </w:tc>
      </w:tr>
      <w:tr w:rsidR="00B32D50" w:rsidRPr="00946B06" w:rsidTr="00F17BCD">
        <w:tc>
          <w:tcPr>
            <w:cnfStyle w:val="001000000000" w:firstRow="0" w:lastRow="0" w:firstColumn="1" w:lastColumn="0" w:oddVBand="0" w:evenVBand="0" w:oddHBand="0" w:evenHBand="0" w:firstRowFirstColumn="0" w:firstRowLastColumn="0" w:lastRowFirstColumn="0" w:lastRowLastColumn="0"/>
            <w:tcW w:w="4367" w:type="dxa"/>
          </w:tcPr>
          <w:p w:rsidR="00B32D50" w:rsidRPr="00946B06" w:rsidRDefault="00B32D50" w:rsidP="00F17BCD">
            <w:pPr>
              <w:keepLines w:val="0"/>
              <w:autoSpaceDE w:val="0"/>
              <w:autoSpaceDN w:val="0"/>
              <w:adjustRightInd w:val="0"/>
              <w:rPr>
                <w:rFonts w:eastAsiaTheme="minorEastAsia" w:cs="Calibri"/>
                <w:color w:val="000000"/>
                <w:szCs w:val="17"/>
                <w:lang w:eastAsia="en-AU"/>
              </w:rPr>
            </w:pPr>
            <w:r w:rsidRPr="00946B06">
              <w:rPr>
                <w:rFonts w:eastAsiaTheme="minorEastAsia" w:cs="Calibri"/>
                <w:color w:val="000000"/>
                <w:szCs w:val="17"/>
                <w:lang w:eastAsia="en-AU"/>
              </w:rPr>
              <w:t>Wage price index</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(0.03)</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(0.24)</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(0.49)</w:t>
            </w:r>
          </w:p>
        </w:tc>
        <w:tc>
          <w:tcPr>
            <w:tcW w:w="850" w:type="dxa"/>
          </w:tcPr>
          <w:p w:rsidR="00B32D50" w:rsidRPr="0002718C"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2718C">
              <w:rPr>
                <w:rFonts w:ascii="Calibri" w:hAnsi="Calibri" w:cs="Calibri"/>
                <w:color w:val="000000"/>
                <w:szCs w:val="17"/>
              </w:rPr>
              <w:t>(0.63)</w:t>
            </w:r>
          </w:p>
        </w:tc>
      </w:tr>
    </w:tbl>
    <w:p w:rsidR="00B32D50" w:rsidRDefault="00B32D50" w:rsidP="00F17BCD">
      <w:pPr>
        <w:pStyle w:val="Source"/>
      </w:pPr>
      <w:r w:rsidRPr="004103B7">
        <w:t>Source: Centre of Poli</w:t>
      </w:r>
      <w:r>
        <w:t>cy Studies, Victoria University</w:t>
      </w:r>
    </w:p>
    <w:p w:rsidR="00B32D50" w:rsidRDefault="00B32D50" w:rsidP="00F17BCD">
      <w:pPr>
        <w:pStyle w:val="Note"/>
      </w:pPr>
      <w:r w:rsidRPr="004103B7">
        <w:t xml:space="preserve">Note: </w:t>
      </w:r>
    </w:p>
    <w:p w:rsidR="00B32D50" w:rsidRDefault="00B32D50" w:rsidP="00F17BCD">
      <w:pPr>
        <w:pStyle w:val="Note"/>
      </w:pPr>
      <w:r>
        <w:t>(a)</w:t>
      </w:r>
      <w:r>
        <w:tab/>
      </w:r>
      <w:r w:rsidRPr="004103B7">
        <w:t>Figures reported are the change in the level of each parameter relative to the baseline of no change in the economic outloo</w:t>
      </w:r>
      <w:r>
        <w:t>k, for each year of the budget.</w:t>
      </w:r>
    </w:p>
    <w:p w:rsidR="00B32D50" w:rsidRDefault="00B32D50" w:rsidP="00F17BCD"/>
    <w:p w:rsidR="00B32D50" w:rsidRDefault="00B32D50" w:rsidP="00F17BCD">
      <w:pPr>
        <w:keepNext/>
        <w:tabs>
          <w:tab w:val="left" w:pos="1134"/>
          <w:tab w:val="right" w:pos="7710"/>
        </w:tabs>
        <w:spacing w:before="180" w:after="60"/>
        <w:ind w:left="1134" w:hanging="1134"/>
        <w:rPr>
          <w:rFonts w:ascii="Calibri" w:eastAsia="Garamond" w:hAnsi="Calibri" w:cs="Times New Roman"/>
          <w:b/>
          <w:sz w:val="20"/>
          <w:szCs w:val="20"/>
        </w:rPr>
      </w:pPr>
      <w:r w:rsidRPr="00212986">
        <w:rPr>
          <w:rFonts w:ascii="Calibri" w:eastAsia="Garamond" w:hAnsi="Calibri" w:cs="Times New Roman"/>
          <w:b/>
          <w:sz w:val="20"/>
          <w:szCs w:val="20"/>
        </w:rPr>
        <w:t xml:space="preserve">Chart </w:t>
      </w:r>
      <w:r>
        <w:rPr>
          <w:rFonts w:ascii="Calibri" w:eastAsia="Garamond" w:hAnsi="Calibri" w:cs="Times New Roman"/>
          <w:b/>
          <w:sz w:val="20"/>
          <w:szCs w:val="20"/>
        </w:rPr>
        <w:t>B</w:t>
      </w:r>
      <w:r w:rsidRPr="00212986">
        <w:rPr>
          <w:rFonts w:ascii="Calibri" w:eastAsia="Garamond" w:hAnsi="Calibri" w:cs="Times New Roman"/>
          <w:b/>
          <w:sz w:val="20"/>
          <w:szCs w:val="20"/>
        </w:rPr>
        <w:t>.5:</w:t>
      </w:r>
      <w:r w:rsidRPr="00212986">
        <w:rPr>
          <w:rFonts w:ascii="Calibri" w:eastAsia="Garamond" w:hAnsi="Calibri" w:cs="Times New Roman"/>
          <w:b/>
          <w:sz w:val="20"/>
          <w:szCs w:val="20"/>
        </w:rPr>
        <w:tab/>
        <w:t>The effects on growth and employment of high labour force participation</w:t>
      </w:r>
    </w:p>
    <w:p w:rsidR="00B32D50" w:rsidRPr="00212986" w:rsidRDefault="00B32D50" w:rsidP="00F17BCD">
      <w:r w:rsidRPr="004D17AA">
        <w:rPr>
          <w:noProof/>
        </w:rPr>
        <w:drawing>
          <wp:inline distT="0" distB="0" distL="0" distR="0">
            <wp:extent cx="4896485" cy="29753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96485" cy="2975393"/>
                    </a:xfrm>
                    <a:prstGeom prst="rect">
                      <a:avLst/>
                    </a:prstGeom>
                    <a:noFill/>
                    <a:ln>
                      <a:noFill/>
                    </a:ln>
                  </pic:spPr>
                </pic:pic>
              </a:graphicData>
            </a:graphic>
          </wp:inline>
        </w:drawing>
      </w:r>
    </w:p>
    <w:p w:rsidR="00B32D50" w:rsidRDefault="00B32D50" w:rsidP="00F17BCD">
      <w:pPr>
        <w:spacing w:before="20" w:after="60"/>
        <w:rPr>
          <w:rFonts w:ascii="Calibri" w:eastAsia="Garamond" w:hAnsi="Calibri" w:cs="Times New Roman"/>
          <w:i/>
          <w:spacing w:val="-2"/>
          <w:sz w:val="14"/>
        </w:rPr>
      </w:pPr>
      <w:r w:rsidRPr="004D5BF1">
        <w:rPr>
          <w:rFonts w:ascii="Calibri" w:eastAsia="Garamond" w:hAnsi="Calibri" w:cs="Times New Roman"/>
          <w:i/>
          <w:spacing w:val="-2"/>
          <w:sz w:val="14"/>
        </w:rPr>
        <w:t>Sources: Australian Bureau of Statistics; Centre of Policy Studies; Department of Treasury and Finance</w:t>
      </w:r>
    </w:p>
    <w:p w:rsidR="00B32D50" w:rsidRPr="00C97E2B" w:rsidRDefault="00B32D50" w:rsidP="00F17BCD">
      <w:pPr>
        <w:spacing w:before="20" w:after="60"/>
        <w:rPr>
          <w:rFonts w:ascii="Calibri" w:eastAsia="Garamond" w:hAnsi="Calibri" w:cs="Times New Roman"/>
          <w:i/>
          <w:spacing w:val="-2"/>
          <w:sz w:val="14"/>
        </w:rPr>
      </w:pPr>
    </w:p>
    <w:p w:rsidR="00B32D50" w:rsidRDefault="00B32D50" w:rsidP="00F17BCD">
      <w:r w:rsidRPr="0044131A">
        <w:t>Under this scenario, general government sector revenu</w:t>
      </w:r>
      <w:r>
        <w:t>e is higher, as shown in Table B</w:t>
      </w:r>
      <w:r w:rsidRPr="0044131A">
        <w:t xml:space="preserve">.4. The boost to </w:t>
      </w:r>
      <w:r>
        <w:t xml:space="preserve">Victorian </w:t>
      </w:r>
      <w:r w:rsidRPr="0044131A">
        <w:t xml:space="preserve">household consumption </w:t>
      </w:r>
      <w:r>
        <w:t xml:space="preserve">raises the </w:t>
      </w:r>
      <w:r w:rsidRPr="0044131A">
        <w:t xml:space="preserve">GST </w:t>
      </w:r>
      <w:r>
        <w:t>pool</w:t>
      </w:r>
      <w:r w:rsidRPr="0044131A">
        <w:t>,</w:t>
      </w:r>
      <w:r>
        <w:rPr>
          <w:rStyle w:val="FootnoteReference"/>
        </w:rPr>
        <w:footnoteReference w:id="7"/>
      </w:r>
      <w:r w:rsidRPr="0044131A">
        <w:t xml:space="preserve"> while higher household disposable income leads to more property-based taxes being collected by the State Government.</w:t>
      </w:r>
      <w:r>
        <w:t xml:space="preserve"> In contrast, p</w:t>
      </w:r>
      <w:r w:rsidRPr="0044131A">
        <w:t>ayroll tax</w:t>
      </w:r>
      <w:r>
        <w:t xml:space="preserve"> </w:t>
      </w:r>
      <w:r w:rsidRPr="0044131A">
        <w:t xml:space="preserve">collections are </w:t>
      </w:r>
      <w:r>
        <w:t>only marginally higher in the scenario</w:t>
      </w:r>
      <w:r w:rsidRPr="0044131A">
        <w:t xml:space="preserve">, as the </w:t>
      </w:r>
      <w:r>
        <w:t>effect of the higher level of</w:t>
      </w:r>
      <w:r w:rsidRPr="0044131A">
        <w:t xml:space="preserve"> employment </w:t>
      </w:r>
      <w:r>
        <w:t>and</w:t>
      </w:r>
      <w:r w:rsidRPr="0044131A">
        <w:t xml:space="preserve"> more modest wage growth </w:t>
      </w:r>
      <w:r>
        <w:t>almost negate each other</w:t>
      </w:r>
      <w:r w:rsidRPr="0044131A">
        <w:t>.</w:t>
      </w:r>
    </w:p>
    <w:p w:rsidR="00B32D50" w:rsidRDefault="00B32D50" w:rsidP="00F17BCD">
      <w:pPr>
        <w:keepLines w:val="0"/>
        <w:rPr>
          <w:rFonts w:asciiTheme="majorHAnsi" w:hAnsiTheme="majorHAnsi"/>
          <w:b/>
          <w:sz w:val="20"/>
          <w:szCs w:val="20"/>
        </w:rPr>
      </w:pPr>
      <w:r>
        <w:br w:type="page"/>
      </w:r>
    </w:p>
    <w:p w:rsidR="00B32D50" w:rsidRPr="003B6233" w:rsidRDefault="00B32D50" w:rsidP="00F17BCD">
      <w:pPr>
        <w:pStyle w:val="TableHeading"/>
      </w:pPr>
      <w:r w:rsidRPr="00193B36">
        <w:lastRenderedPageBreak/>
        <w:t xml:space="preserve">Table </w:t>
      </w:r>
      <w:r>
        <w:t>B</w:t>
      </w:r>
      <w:r w:rsidRPr="00193B36">
        <w:t>.4:</w:t>
      </w:r>
      <w:r w:rsidRPr="00193B36">
        <w:tab/>
        <w:t>Projected fiscal impact of higher labour force participation</w:t>
      </w:r>
      <w:r>
        <w:t xml:space="preserve"> </w:t>
      </w:r>
      <w:r>
        <w:tab/>
      </w:r>
      <w:r w:rsidRPr="004103B7">
        <w:t>($</w:t>
      </w:r>
      <w:r>
        <w:t> million)</w:t>
      </w:r>
    </w:p>
    <w:tbl>
      <w:tblPr>
        <w:tblStyle w:val="DTFTable"/>
        <w:tblW w:w="7765" w:type="dxa"/>
        <w:tblLayout w:type="fixed"/>
        <w:tblLook w:val="06E0" w:firstRow="1" w:lastRow="1" w:firstColumn="1" w:lastColumn="0" w:noHBand="1" w:noVBand="1"/>
      </w:tblPr>
      <w:tblGrid>
        <w:gridCol w:w="4365"/>
        <w:gridCol w:w="850"/>
        <w:gridCol w:w="850"/>
        <w:gridCol w:w="850"/>
        <w:gridCol w:w="850"/>
      </w:tblGrid>
      <w:tr w:rsidR="00CD76D6" w:rsidRPr="003B6233" w:rsidTr="00CD76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5" w:type="dxa"/>
          </w:tcPr>
          <w:p w:rsidR="00CD76D6" w:rsidRPr="003B6233" w:rsidRDefault="00CD76D6" w:rsidP="00F17BCD">
            <w:pPr>
              <w:autoSpaceDE w:val="0"/>
              <w:autoSpaceDN w:val="0"/>
              <w:adjustRightInd w:val="0"/>
              <w:rPr>
                <w:rFonts w:eastAsiaTheme="minorEastAsia" w:cs="Calibri"/>
                <w:iCs/>
                <w:color w:val="000000"/>
                <w:szCs w:val="17"/>
                <w:lang w:eastAsia="en-AU"/>
              </w:rPr>
            </w:pPr>
            <w:r w:rsidRPr="003B6233">
              <w:rPr>
                <w:rFonts w:eastAsiaTheme="minorEastAsia" w:cs="Calibri"/>
                <w:iCs/>
                <w:color w:val="000000"/>
                <w:szCs w:val="17"/>
                <w:lang w:eastAsia="en-AU"/>
              </w:rPr>
              <w:t xml:space="preserve"> </w:t>
            </w:r>
            <w:r>
              <w:rPr>
                <w:rFonts w:eastAsiaTheme="minorEastAsia" w:cs="Calibri"/>
                <w:i w:val="0"/>
                <w:iCs/>
                <w:color w:val="000000"/>
                <w:szCs w:val="17"/>
                <w:lang w:eastAsia="en-AU"/>
              </w:rPr>
              <w:t xml:space="preserve"> </w:t>
            </w:r>
            <w:r w:rsidRPr="003B6233">
              <w:rPr>
                <w:rFonts w:eastAsiaTheme="minorEastAsia" w:cs="Calibri"/>
                <w:iCs/>
                <w:color w:val="000000"/>
                <w:szCs w:val="17"/>
                <w:lang w:eastAsia="en-AU"/>
              </w:rPr>
              <w:t xml:space="preserve"> </w:t>
            </w:r>
          </w:p>
        </w:tc>
        <w:tc>
          <w:tcPr>
            <w:tcW w:w="850" w:type="dxa"/>
          </w:tcPr>
          <w:p w:rsidR="00CD76D6" w:rsidRPr="003B6233" w:rsidRDefault="00CD76D6"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2018-19</w:t>
            </w:r>
            <w:r>
              <w:rPr>
                <w:rFonts w:eastAsiaTheme="minorEastAsia" w:cs="Calibri"/>
                <w:i w:val="0"/>
                <w:iCs/>
                <w:color w:val="FFFFFF"/>
                <w:szCs w:val="17"/>
                <w:lang w:eastAsia="en-AU"/>
              </w:rPr>
              <w:t xml:space="preserve"> </w:t>
            </w:r>
            <w:r w:rsidRPr="003B6233">
              <w:rPr>
                <w:rFonts w:eastAsiaTheme="minorEastAsia" w:cs="Calibri"/>
                <w:iCs/>
                <w:color w:val="FFFFFF"/>
                <w:szCs w:val="17"/>
                <w:lang w:eastAsia="en-AU"/>
              </w:rPr>
              <w:t>estimate</w:t>
            </w:r>
          </w:p>
        </w:tc>
        <w:tc>
          <w:tcPr>
            <w:tcW w:w="850" w:type="dxa"/>
          </w:tcPr>
          <w:p w:rsidR="00CD76D6" w:rsidRPr="003B6233" w:rsidRDefault="00CD76D6"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2019-20</w:t>
            </w:r>
            <w:r>
              <w:rPr>
                <w:rFonts w:eastAsiaTheme="minorEastAsia" w:cs="Calibri"/>
                <w:i w:val="0"/>
                <w:iCs/>
                <w:color w:val="FFFFFF"/>
                <w:szCs w:val="17"/>
                <w:lang w:eastAsia="en-AU"/>
              </w:rPr>
              <w:t xml:space="preserve"> </w:t>
            </w:r>
            <w:r w:rsidRPr="003B6233">
              <w:rPr>
                <w:rFonts w:eastAsiaTheme="minorEastAsia" w:cs="Calibri"/>
                <w:iCs/>
                <w:color w:val="FFFFFF"/>
                <w:szCs w:val="17"/>
                <w:lang w:eastAsia="en-AU"/>
              </w:rPr>
              <w:t>estimate</w:t>
            </w:r>
          </w:p>
        </w:tc>
        <w:tc>
          <w:tcPr>
            <w:tcW w:w="850" w:type="dxa"/>
          </w:tcPr>
          <w:p w:rsidR="00CD76D6" w:rsidRPr="003B6233" w:rsidRDefault="00CD76D6"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2020-21</w:t>
            </w:r>
            <w:r>
              <w:rPr>
                <w:rFonts w:eastAsiaTheme="minorEastAsia" w:cs="Calibri"/>
                <w:i w:val="0"/>
                <w:iCs/>
                <w:color w:val="FFFFFF"/>
                <w:szCs w:val="17"/>
                <w:lang w:eastAsia="en-AU"/>
              </w:rPr>
              <w:t xml:space="preserve"> </w:t>
            </w:r>
            <w:r w:rsidRPr="003B6233">
              <w:rPr>
                <w:rFonts w:eastAsiaTheme="minorEastAsia" w:cs="Calibri"/>
                <w:iCs/>
                <w:color w:val="FFFFFF"/>
                <w:szCs w:val="17"/>
                <w:lang w:eastAsia="en-AU"/>
              </w:rPr>
              <w:t xml:space="preserve"> estimate</w:t>
            </w:r>
          </w:p>
        </w:tc>
        <w:tc>
          <w:tcPr>
            <w:tcW w:w="850" w:type="dxa"/>
          </w:tcPr>
          <w:p w:rsidR="00CD76D6" w:rsidRPr="003B6233" w:rsidRDefault="00CD76D6"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3B6233">
              <w:rPr>
                <w:rFonts w:eastAsiaTheme="minorEastAsia" w:cs="Calibri"/>
                <w:iCs/>
                <w:color w:val="FFFFFF"/>
                <w:szCs w:val="17"/>
                <w:lang w:eastAsia="en-AU"/>
              </w:rPr>
              <w:t>2021-22</w:t>
            </w:r>
            <w:r>
              <w:rPr>
                <w:rFonts w:eastAsiaTheme="minorEastAsia" w:cs="Calibri"/>
                <w:i w:val="0"/>
                <w:iCs/>
                <w:color w:val="FFFFFF"/>
                <w:szCs w:val="17"/>
                <w:lang w:eastAsia="en-AU"/>
              </w:rPr>
              <w:t xml:space="preserve"> </w:t>
            </w:r>
            <w:r w:rsidRPr="003B6233">
              <w:rPr>
                <w:rFonts w:eastAsiaTheme="minorEastAsia" w:cs="Calibri"/>
                <w:iCs/>
                <w:color w:val="FFFFFF"/>
                <w:szCs w:val="17"/>
                <w:lang w:eastAsia="en-AU"/>
              </w:rPr>
              <w:t>estimate</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5" w:type="dxa"/>
          </w:tcPr>
          <w:p w:rsidR="00B32D50" w:rsidRPr="003B6233" w:rsidRDefault="00B32D50" w:rsidP="00F17BCD">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Income from transactions</w:t>
            </w:r>
          </w:p>
        </w:tc>
        <w:tc>
          <w:tcPr>
            <w:tcW w:w="850" w:type="dxa"/>
          </w:tcPr>
          <w:p w:rsidR="00B32D50" w:rsidRPr="000A6655" w:rsidRDefault="00B32D50" w:rsidP="00F17BCD">
            <w:pPr>
              <w:keepLines w:val="0"/>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207.4</w:t>
            </w:r>
          </w:p>
        </w:tc>
        <w:tc>
          <w:tcPr>
            <w:tcW w:w="850" w:type="dxa"/>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336.4</w:t>
            </w:r>
          </w:p>
        </w:tc>
        <w:tc>
          <w:tcPr>
            <w:tcW w:w="850" w:type="dxa"/>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294.8</w:t>
            </w:r>
          </w:p>
        </w:tc>
        <w:tc>
          <w:tcPr>
            <w:tcW w:w="850" w:type="dxa"/>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286.9</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5" w:type="dxa"/>
            <w:tcBorders>
              <w:bottom w:val="single" w:sz="6" w:space="0" w:color="auto"/>
            </w:tcBorders>
          </w:tcPr>
          <w:p w:rsidR="00B32D50" w:rsidRPr="003B6233" w:rsidRDefault="00B32D50" w:rsidP="00F17BCD">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Expenses from transactions</w:t>
            </w:r>
          </w:p>
        </w:tc>
        <w:tc>
          <w:tcPr>
            <w:tcW w:w="850" w:type="dxa"/>
            <w:tcBorders>
              <w:bottom w:val="single" w:sz="6" w:space="0" w:color="auto"/>
            </w:tcBorders>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67.9</w:t>
            </w:r>
          </w:p>
        </w:tc>
        <w:tc>
          <w:tcPr>
            <w:tcW w:w="850" w:type="dxa"/>
            <w:tcBorders>
              <w:bottom w:val="single" w:sz="6" w:space="0" w:color="auto"/>
            </w:tcBorders>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126.1</w:t>
            </w:r>
          </w:p>
        </w:tc>
        <w:tc>
          <w:tcPr>
            <w:tcW w:w="850" w:type="dxa"/>
            <w:tcBorders>
              <w:bottom w:val="single" w:sz="6" w:space="0" w:color="auto"/>
            </w:tcBorders>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41.5</w:t>
            </w:r>
          </w:p>
        </w:tc>
        <w:tc>
          <w:tcPr>
            <w:tcW w:w="850" w:type="dxa"/>
            <w:tcBorders>
              <w:bottom w:val="single" w:sz="6" w:space="0" w:color="auto"/>
            </w:tcBorders>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(16.6)</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rsidR="00B32D50" w:rsidRPr="003B6233" w:rsidRDefault="00B32D50" w:rsidP="00F17BCD">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 from transactions</w:t>
            </w:r>
          </w:p>
        </w:tc>
        <w:tc>
          <w:tcPr>
            <w:tcW w:w="850" w:type="dxa"/>
            <w:tcBorders>
              <w:top w:val="single" w:sz="6" w:space="0" w:color="auto"/>
              <w:bottom w:val="single" w:sz="6" w:space="0" w:color="auto"/>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139.5</w:t>
            </w:r>
          </w:p>
        </w:tc>
        <w:tc>
          <w:tcPr>
            <w:tcW w:w="850" w:type="dxa"/>
            <w:tcBorders>
              <w:top w:val="single" w:sz="6" w:space="0" w:color="auto"/>
              <w:bottom w:val="single" w:sz="6" w:space="0" w:color="auto"/>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210.2</w:t>
            </w:r>
          </w:p>
        </w:tc>
        <w:tc>
          <w:tcPr>
            <w:tcW w:w="850" w:type="dxa"/>
            <w:tcBorders>
              <w:top w:val="single" w:sz="6" w:space="0" w:color="auto"/>
              <w:bottom w:val="single" w:sz="6" w:space="0" w:color="auto"/>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253.2</w:t>
            </w:r>
          </w:p>
        </w:tc>
        <w:tc>
          <w:tcPr>
            <w:tcW w:w="850" w:type="dxa"/>
            <w:tcBorders>
              <w:top w:val="single" w:sz="6" w:space="0" w:color="auto"/>
              <w:bottom w:val="single" w:sz="6" w:space="0" w:color="auto"/>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303.5</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rsidR="00B32D50" w:rsidRPr="003B6233" w:rsidRDefault="00B32D50" w:rsidP="00F17BCD">
            <w:pPr>
              <w:keepLines w:val="0"/>
              <w:autoSpaceDE w:val="0"/>
              <w:autoSpaceDN w:val="0"/>
              <w:adjustRightInd w:val="0"/>
              <w:rPr>
                <w:rFonts w:eastAsiaTheme="minorEastAsia" w:cs="Calibri"/>
                <w:color w:val="000000"/>
                <w:szCs w:val="17"/>
                <w:lang w:eastAsia="en-AU"/>
              </w:rPr>
            </w:pPr>
            <w:r w:rsidRPr="003B6233">
              <w:rPr>
                <w:rFonts w:eastAsiaTheme="minorEastAsia" w:cs="Calibri"/>
                <w:color w:val="000000"/>
                <w:szCs w:val="17"/>
                <w:lang w:eastAsia="en-AU"/>
              </w:rPr>
              <w:t>Other economic flows</w:t>
            </w:r>
          </w:p>
        </w:tc>
        <w:tc>
          <w:tcPr>
            <w:tcW w:w="850" w:type="dxa"/>
            <w:tcBorders>
              <w:top w:val="single" w:sz="6" w:space="0" w:color="auto"/>
              <w:bottom w:val="single" w:sz="6" w:space="0" w:color="auto"/>
            </w:tcBorders>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2.1</w:t>
            </w:r>
          </w:p>
        </w:tc>
        <w:tc>
          <w:tcPr>
            <w:tcW w:w="850" w:type="dxa"/>
            <w:tcBorders>
              <w:top w:val="single" w:sz="6" w:space="0" w:color="auto"/>
              <w:bottom w:val="single" w:sz="6" w:space="0" w:color="auto"/>
            </w:tcBorders>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4.2</w:t>
            </w:r>
          </w:p>
        </w:tc>
        <w:tc>
          <w:tcPr>
            <w:tcW w:w="850" w:type="dxa"/>
            <w:tcBorders>
              <w:top w:val="single" w:sz="6" w:space="0" w:color="auto"/>
              <w:bottom w:val="single" w:sz="6" w:space="0" w:color="auto"/>
            </w:tcBorders>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3.4</w:t>
            </w:r>
          </w:p>
        </w:tc>
        <w:tc>
          <w:tcPr>
            <w:tcW w:w="850" w:type="dxa"/>
            <w:tcBorders>
              <w:top w:val="single" w:sz="6" w:space="0" w:color="auto"/>
              <w:bottom w:val="single" w:sz="6" w:space="0" w:color="auto"/>
            </w:tcBorders>
          </w:tcPr>
          <w:p w:rsidR="00B32D50" w:rsidRPr="000A6655" w:rsidRDefault="00B32D50" w:rsidP="00F17BCD">
            <w:pPr>
              <w:ind w:firstLineChars="100" w:firstLine="17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7"/>
              </w:rPr>
            </w:pPr>
            <w:r w:rsidRPr="000A6655">
              <w:rPr>
                <w:rFonts w:ascii="Calibri" w:hAnsi="Calibri" w:cs="Calibri"/>
                <w:color w:val="000000"/>
                <w:szCs w:val="17"/>
              </w:rPr>
              <w:t>3.1</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single" w:sz="6" w:space="0" w:color="auto"/>
            </w:tcBorders>
          </w:tcPr>
          <w:p w:rsidR="00B32D50" w:rsidRPr="003B6233" w:rsidRDefault="00B32D50" w:rsidP="00F17BCD">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result</w:t>
            </w:r>
          </w:p>
        </w:tc>
        <w:tc>
          <w:tcPr>
            <w:tcW w:w="850" w:type="dxa"/>
            <w:tcBorders>
              <w:top w:val="single" w:sz="6" w:space="0" w:color="auto"/>
              <w:bottom w:val="single" w:sz="6" w:space="0" w:color="auto"/>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141.6</w:t>
            </w:r>
          </w:p>
        </w:tc>
        <w:tc>
          <w:tcPr>
            <w:tcW w:w="850" w:type="dxa"/>
            <w:tcBorders>
              <w:top w:val="single" w:sz="6" w:space="0" w:color="auto"/>
              <w:bottom w:val="single" w:sz="6" w:space="0" w:color="auto"/>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214.4</w:t>
            </w:r>
          </w:p>
        </w:tc>
        <w:tc>
          <w:tcPr>
            <w:tcW w:w="850" w:type="dxa"/>
            <w:tcBorders>
              <w:top w:val="single" w:sz="6" w:space="0" w:color="auto"/>
              <w:bottom w:val="single" w:sz="6" w:space="0" w:color="auto"/>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256.6</w:t>
            </w:r>
          </w:p>
        </w:tc>
        <w:tc>
          <w:tcPr>
            <w:tcW w:w="850" w:type="dxa"/>
            <w:tcBorders>
              <w:top w:val="single" w:sz="6" w:space="0" w:color="auto"/>
              <w:bottom w:val="single" w:sz="6" w:space="0" w:color="auto"/>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306.6</w:t>
            </w:r>
          </w:p>
        </w:tc>
      </w:tr>
      <w:tr w:rsidR="00B32D50" w:rsidRPr="003B6233" w:rsidTr="00F17BCD">
        <w:tc>
          <w:tcPr>
            <w:cnfStyle w:val="001000000000" w:firstRow="0" w:lastRow="0" w:firstColumn="1" w:lastColumn="0" w:oddVBand="0" w:evenVBand="0" w:oddHBand="0" w:evenHBand="0" w:firstRowFirstColumn="0" w:firstRowLastColumn="0" w:lastRowFirstColumn="0" w:lastRowLastColumn="0"/>
            <w:tcW w:w="4365" w:type="dxa"/>
            <w:tcBorders>
              <w:top w:val="single" w:sz="6" w:space="0" w:color="auto"/>
              <w:bottom w:val="nil"/>
            </w:tcBorders>
          </w:tcPr>
          <w:p w:rsidR="00B32D50" w:rsidRPr="003B6233" w:rsidRDefault="00B32D50" w:rsidP="00F17BCD">
            <w:pPr>
              <w:keepLines w:val="0"/>
              <w:autoSpaceDE w:val="0"/>
              <w:autoSpaceDN w:val="0"/>
              <w:adjustRightInd w:val="0"/>
              <w:rPr>
                <w:rFonts w:eastAsiaTheme="minorEastAsia" w:cs="Calibri"/>
                <w:b/>
                <w:bCs/>
                <w:color w:val="000000"/>
                <w:szCs w:val="17"/>
                <w:lang w:eastAsia="en-AU"/>
              </w:rPr>
            </w:pPr>
            <w:r w:rsidRPr="003B6233">
              <w:rPr>
                <w:rFonts w:eastAsiaTheme="minorEastAsia" w:cs="Calibri"/>
                <w:b/>
                <w:bCs/>
                <w:color w:val="000000"/>
                <w:szCs w:val="17"/>
                <w:lang w:eastAsia="en-AU"/>
              </w:rPr>
              <w:t>Net debt (cumulative)</w:t>
            </w:r>
          </w:p>
        </w:tc>
        <w:tc>
          <w:tcPr>
            <w:tcW w:w="850" w:type="dxa"/>
            <w:tcBorders>
              <w:top w:val="single" w:sz="6" w:space="0" w:color="auto"/>
              <w:bottom w:val="nil"/>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(141.6)</w:t>
            </w:r>
          </w:p>
        </w:tc>
        <w:tc>
          <w:tcPr>
            <w:tcW w:w="850" w:type="dxa"/>
            <w:tcBorders>
              <w:top w:val="single" w:sz="6" w:space="0" w:color="auto"/>
              <w:bottom w:val="nil"/>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(358.4)</w:t>
            </w:r>
          </w:p>
        </w:tc>
        <w:tc>
          <w:tcPr>
            <w:tcW w:w="850" w:type="dxa"/>
            <w:tcBorders>
              <w:top w:val="single" w:sz="6" w:space="0" w:color="auto"/>
              <w:bottom w:val="nil"/>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(617.4)</w:t>
            </w:r>
          </w:p>
        </w:tc>
        <w:tc>
          <w:tcPr>
            <w:tcW w:w="850" w:type="dxa"/>
            <w:tcBorders>
              <w:top w:val="single" w:sz="6" w:space="0" w:color="auto"/>
              <w:bottom w:val="nil"/>
            </w:tcBorders>
          </w:tcPr>
          <w:p w:rsidR="00B32D50" w:rsidRPr="000A6655" w:rsidRDefault="00B32D50" w:rsidP="00F17BCD">
            <w:pPr>
              <w:ind w:firstLineChars="100" w:firstLine="171"/>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17"/>
              </w:rPr>
            </w:pPr>
            <w:r w:rsidRPr="000A6655">
              <w:rPr>
                <w:rFonts w:ascii="Calibri" w:hAnsi="Calibri" w:cs="Calibri"/>
                <w:b/>
                <w:bCs/>
                <w:color w:val="000000"/>
                <w:szCs w:val="17"/>
              </w:rPr>
              <w:t>(926.5)</w:t>
            </w:r>
          </w:p>
        </w:tc>
      </w:tr>
      <w:tr w:rsidR="00B32D50" w:rsidRPr="003B6233"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5" w:type="dxa"/>
            <w:tcBorders>
              <w:top w:val="nil"/>
            </w:tcBorders>
          </w:tcPr>
          <w:p w:rsidR="00B32D50" w:rsidRPr="003B6233" w:rsidRDefault="00B32D50" w:rsidP="00F17BCD">
            <w:pPr>
              <w:keepLines w:val="0"/>
              <w:autoSpaceDE w:val="0"/>
              <w:autoSpaceDN w:val="0"/>
              <w:adjustRightInd w:val="0"/>
              <w:rPr>
                <w:rFonts w:eastAsiaTheme="minorEastAsia" w:cs="Calibri"/>
                <w:bCs/>
                <w:color w:val="000000"/>
                <w:szCs w:val="17"/>
                <w:lang w:eastAsia="en-AU"/>
              </w:rPr>
            </w:pPr>
            <w:r w:rsidRPr="003B6233">
              <w:rPr>
                <w:rFonts w:eastAsiaTheme="minorEastAsia" w:cs="Calibri"/>
                <w:bCs/>
                <w:color w:val="000000"/>
                <w:szCs w:val="17"/>
                <w:lang w:eastAsia="en-AU"/>
              </w:rPr>
              <w:t>Net debt to GSP ratio (percentage point difference)</w:t>
            </w:r>
          </w:p>
        </w:tc>
        <w:tc>
          <w:tcPr>
            <w:tcW w:w="850" w:type="dxa"/>
            <w:tcBorders>
              <w:top w:val="nil"/>
            </w:tcBorders>
          </w:tcPr>
          <w:p w:rsidR="00B32D50" w:rsidRPr="000A6655" w:rsidRDefault="00B32D50" w:rsidP="00F17BCD">
            <w:pPr>
              <w:ind w:firstLineChars="100" w:firstLine="171"/>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0A6655">
              <w:rPr>
                <w:rFonts w:ascii="Calibri" w:hAnsi="Calibri" w:cs="Calibri"/>
                <w:bCs/>
                <w:color w:val="000000"/>
                <w:szCs w:val="17"/>
              </w:rPr>
              <w:t>(0.04)</w:t>
            </w:r>
          </w:p>
        </w:tc>
        <w:tc>
          <w:tcPr>
            <w:tcW w:w="850" w:type="dxa"/>
            <w:tcBorders>
              <w:top w:val="nil"/>
            </w:tcBorders>
          </w:tcPr>
          <w:p w:rsidR="00B32D50" w:rsidRPr="000A6655" w:rsidRDefault="00B32D50" w:rsidP="00F17BCD">
            <w:pPr>
              <w:ind w:firstLineChars="100" w:firstLine="171"/>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0A6655">
              <w:rPr>
                <w:rFonts w:ascii="Calibri" w:hAnsi="Calibri" w:cs="Calibri"/>
                <w:bCs/>
                <w:color w:val="000000"/>
                <w:szCs w:val="17"/>
              </w:rPr>
              <w:t>(0.10)</w:t>
            </w:r>
          </w:p>
        </w:tc>
        <w:tc>
          <w:tcPr>
            <w:tcW w:w="850" w:type="dxa"/>
            <w:tcBorders>
              <w:top w:val="nil"/>
            </w:tcBorders>
          </w:tcPr>
          <w:p w:rsidR="00B32D50" w:rsidRPr="000A6655" w:rsidRDefault="00B32D50" w:rsidP="00F17BCD">
            <w:pPr>
              <w:ind w:firstLineChars="100" w:firstLine="171"/>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0A6655">
              <w:rPr>
                <w:rFonts w:ascii="Calibri" w:hAnsi="Calibri" w:cs="Calibri"/>
                <w:bCs/>
                <w:color w:val="000000"/>
                <w:szCs w:val="17"/>
              </w:rPr>
              <w:t>(0.15)</w:t>
            </w:r>
          </w:p>
        </w:tc>
        <w:tc>
          <w:tcPr>
            <w:tcW w:w="850" w:type="dxa"/>
            <w:tcBorders>
              <w:top w:val="nil"/>
            </w:tcBorders>
          </w:tcPr>
          <w:p w:rsidR="00B32D50" w:rsidRPr="000A6655" w:rsidRDefault="00B32D50" w:rsidP="00F17BCD">
            <w:pPr>
              <w:ind w:firstLineChars="100" w:firstLine="171"/>
              <w:cnfStyle w:val="010000000000" w:firstRow="0" w:lastRow="1" w:firstColumn="0" w:lastColumn="0" w:oddVBand="0" w:evenVBand="0" w:oddHBand="0" w:evenHBand="0" w:firstRowFirstColumn="0" w:firstRowLastColumn="0" w:lastRowFirstColumn="0" w:lastRowLastColumn="0"/>
              <w:rPr>
                <w:rFonts w:ascii="Calibri" w:hAnsi="Calibri" w:cs="Calibri"/>
                <w:bCs/>
                <w:color w:val="000000"/>
                <w:szCs w:val="17"/>
              </w:rPr>
            </w:pPr>
            <w:r w:rsidRPr="000A6655">
              <w:rPr>
                <w:rFonts w:ascii="Calibri" w:hAnsi="Calibri" w:cs="Calibri"/>
                <w:bCs/>
                <w:color w:val="000000"/>
                <w:szCs w:val="17"/>
              </w:rPr>
              <w:t>(0.21)</w:t>
            </w:r>
          </w:p>
        </w:tc>
      </w:tr>
    </w:tbl>
    <w:p w:rsidR="00B32D50" w:rsidRDefault="00B32D50" w:rsidP="00F17BCD">
      <w:pPr>
        <w:pStyle w:val="Source"/>
      </w:pPr>
      <w:r w:rsidRPr="004103B7">
        <w:t>Source: Department of Treasury and Finance</w:t>
      </w:r>
    </w:p>
    <w:p w:rsidR="00B32D50" w:rsidRDefault="00B32D50" w:rsidP="00F17BCD">
      <w:r>
        <w:t>Government expenses are marginally higher under the scenario, reflecting higher public sector employment. However, these effects largely unwind by the last year of the forward estimates, reflecting the pass</w:t>
      </w:r>
      <w:r>
        <w:noBreakHyphen/>
        <w:t>through of more modest economy</w:t>
      </w:r>
      <w:r>
        <w:noBreakHyphen/>
        <w:t xml:space="preserve">wide wages growth. These impacts reflect the assumed relationship between private and public sector employment and wages in the model, as discussed in the lower household consumption and dwelling investment scenario. </w:t>
      </w:r>
      <w:r w:rsidRPr="00175A3E">
        <w:t xml:space="preserve">Overall, the increase in revenue more than offsets the immediate rise in expenses, boosting the net result </w:t>
      </w:r>
      <w:r>
        <w:t xml:space="preserve">across all four years of the budget and forward estimates </w:t>
      </w:r>
      <w:r w:rsidRPr="00175A3E">
        <w:t>and leading to a fall in the stock of net debt.</w:t>
      </w:r>
    </w:p>
    <w:p w:rsidR="00B32D50" w:rsidRPr="00BB71B2" w:rsidRDefault="00B32D50" w:rsidP="00F17BCD">
      <w:pPr>
        <w:pStyle w:val="Heading10"/>
      </w:pPr>
      <w:bookmarkStart w:id="146" w:name="_Toc512629773"/>
      <w:bookmarkStart w:id="147" w:name="_Toc528864785"/>
      <w:r w:rsidRPr="00BB71B2">
        <w:t>Sensitivity to independent variations in major economic parameters</w:t>
      </w:r>
      <w:bookmarkEnd w:id="146"/>
      <w:bookmarkEnd w:id="147"/>
    </w:p>
    <w:p w:rsidR="00B32D50" w:rsidRDefault="00B32D50" w:rsidP="00F17BCD">
      <w:r w:rsidRPr="00972577">
        <w:t xml:space="preserve">Table </w:t>
      </w:r>
      <w:r>
        <w:t>B</w:t>
      </w:r>
      <w:r w:rsidRPr="00972577">
        <w:t>.5 presents the sensitivity of financial aggregates where the levels of key economic parameters are one per cent (or</w:t>
      </w:r>
      <w:r>
        <w:t>, for interest rates,</w:t>
      </w:r>
      <w:r w:rsidRPr="00972577">
        <w:t xml:space="preserve"> one percentage point) above the forecast for each year of the budget and forward estimates, holding all else constant. The impacts shown are broadly symmetric; that is, the estimated fiscal impacts would apply approximately equally in the opposite direction where there is a decrease</w:t>
      </w:r>
      <w:r>
        <w:t xml:space="preserve"> in the parameter</w:t>
      </w:r>
      <w:r w:rsidRPr="00972577">
        <w:t>. Differences may arise to the extent that the impact on income tax equivalent income may not be symmetric because that line item is subject to a floor of zero</w:t>
      </w:r>
      <w:r>
        <w:t>, and the impact on dividends may be affected by some entities facing caps on the share of profits that can be returned to the general government sector</w:t>
      </w:r>
      <w:r w:rsidRPr="00972577">
        <w:t>.</w:t>
      </w:r>
    </w:p>
    <w:p w:rsidR="00B32D50" w:rsidRDefault="00B32D50" w:rsidP="00F17BCD">
      <w:pPr>
        <w:pStyle w:val="TableHeading"/>
      </w:pPr>
      <w:r>
        <w:br w:type="page"/>
      </w:r>
    </w:p>
    <w:p w:rsidR="00B32D50" w:rsidRPr="003D4BA0" w:rsidRDefault="00B32D50" w:rsidP="00F17BCD">
      <w:pPr>
        <w:pStyle w:val="TableHeading"/>
      </w:pPr>
      <w:r w:rsidRPr="00B720EB">
        <w:lastRenderedPageBreak/>
        <w:t xml:space="preserve">Table </w:t>
      </w:r>
      <w:r>
        <w:t>B</w:t>
      </w:r>
      <w:r w:rsidRPr="00B720EB">
        <w:t>.5:</w:t>
      </w:r>
      <w:r w:rsidRPr="00B720EB">
        <w:tab/>
        <w:t xml:space="preserve">Sensitivity of key fiscal aggregates to selected indicators being </w:t>
      </w:r>
      <w:r>
        <w:br/>
      </w:r>
      <w:r w:rsidRPr="00B720EB">
        <w:t>1 per cent higher than expected from 2018-19</w:t>
      </w:r>
      <w:r w:rsidRPr="00B720EB">
        <w:rPr>
          <w:vertAlign w:val="superscript"/>
        </w:rPr>
        <w:t xml:space="preserve"> (a)(b)(c)(d)</w:t>
      </w:r>
      <w:r>
        <w:rPr>
          <w:vertAlign w:val="superscript"/>
        </w:rPr>
        <w:t xml:space="preserve"> </w:t>
      </w:r>
      <w:r>
        <w:rPr>
          <w:vertAlign w:val="superscript"/>
        </w:rPr>
        <w:tab/>
      </w:r>
      <w:r w:rsidRPr="00B720EB">
        <w:t>($</w:t>
      </w:r>
      <w:r>
        <w:t> million)</w:t>
      </w:r>
    </w:p>
    <w:tbl>
      <w:tblPr>
        <w:tblStyle w:val="DTFTable"/>
        <w:tblW w:w="7760" w:type="dxa"/>
        <w:tblLayout w:type="fixed"/>
        <w:tblLook w:val="06E0" w:firstRow="1" w:lastRow="1" w:firstColumn="1" w:lastColumn="0" w:noHBand="1" w:noVBand="1"/>
      </w:tblPr>
      <w:tblGrid>
        <w:gridCol w:w="4362"/>
        <w:gridCol w:w="849"/>
        <w:gridCol w:w="849"/>
        <w:gridCol w:w="850"/>
        <w:gridCol w:w="850"/>
      </w:tblGrid>
      <w:tr w:rsidR="00CD76D6" w:rsidRPr="007C6619" w:rsidTr="00CD76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2" w:type="dxa"/>
          </w:tcPr>
          <w:p w:rsidR="00CD76D6" w:rsidRPr="007C6619" w:rsidRDefault="00CD76D6" w:rsidP="00F17BCD">
            <w:pPr>
              <w:autoSpaceDE w:val="0"/>
              <w:autoSpaceDN w:val="0"/>
              <w:adjustRightInd w:val="0"/>
            </w:pPr>
            <w:r w:rsidRPr="007C6619">
              <w:rPr>
                <w:rFonts w:eastAsiaTheme="minorEastAsia" w:cs="Calibri"/>
                <w:iCs/>
                <w:color w:val="FFFFFF"/>
                <w:szCs w:val="17"/>
                <w:lang w:eastAsia="en-AU"/>
              </w:rPr>
              <w:t xml:space="preserve"> </w:t>
            </w:r>
            <w:r>
              <w:rPr>
                <w:i w:val="0"/>
              </w:rPr>
              <w:t xml:space="preserve"> </w:t>
            </w:r>
            <w:r w:rsidRPr="007C6619">
              <w:rPr>
                <w:rFonts w:eastAsiaTheme="minorEastAsia" w:cs="Calibri"/>
                <w:color w:val="FFFFFF"/>
                <w:szCs w:val="17"/>
                <w:lang w:eastAsia="en-AU"/>
              </w:rPr>
              <w:t xml:space="preserve"> </w:t>
            </w:r>
          </w:p>
        </w:tc>
        <w:tc>
          <w:tcPr>
            <w:tcW w:w="849" w:type="dxa"/>
          </w:tcPr>
          <w:p w:rsidR="00CD76D6" w:rsidRPr="007C6619" w:rsidRDefault="00CD76D6"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2018-19</w:t>
            </w:r>
            <w:r>
              <w:rPr>
                <w:rFonts w:eastAsiaTheme="minorEastAsia" w:cs="Calibri"/>
                <w:i w:val="0"/>
                <w:iCs/>
                <w:color w:val="FFFFFF"/>
                <w:szCs w:val="17"/>
                <w:lang w:eastAsia="en-AU"/>
              </w:rPr>
              <w:t xml:space="preserve"> </w:t>
            </w:r>
            <w:r w:rsidRPr="007C6619">
              <w:rPr>
                <w:rFonts w:eastAsiaTheme="minorEastAsia" w:cs="Calibri"/>
                <w:iCs/>
                <w:color w:val="FFFFFF"/>
                <w:szCs w:val="17"/>
                <w:lang w:eastAsia="en-AU"/>
              </w:rPr>
              <w:t>estimate</w:t>
            </w:r>
          </w:p>
        </w:tc>
        <w:tc>
          <w:tcPr>
            <w:tcW w:w="849" w:type="dxa"/>
          </w:tcPr>
          <w:p w:rsidR="00CD76D6" w:rsidRPr="007C6619" w:rsidRDefault="00CD76D6"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2019-20</w:t>
            </w:r>
            <w:r>
              <w:rPr>
                <w:rFonts w:eastAsiaTheme="minorEastAsia" w:cs="Calibri"/>
                <w:i w:val="0"/>
                <w:iCs/>
                <w:color w:val="FFFFFF"/>
                <w:szCs w:val="17"/>
                <w:lang w:eastAsia="en-AU"/>
              </w:rPr>
              <w:t xml:space="preserve"> </w:t>
            </w:r>
            <w:r w:rsidRPr="007C6619">
              <w:rPr>
                <w:rFonts w:eastAsiaTheme="minorEastAsia" w:cs="Calibri"/>
                <w:iCs/>
                <w:color w:val="FFFFFF"/>
                <w:szCs w:val="17"/>
                <w:lang w:eastAsia="en-AU"/>
              </w:rPr>
              <w:t>estimate</w:t>
            </w:r>
          </w:p>
        </w:tc>
        <w:tc>
          <w:tcPr>
            <w:tcW w:w="850" w:type="dxa"/>
          </w:tcPr>
          <w:p w:rsidR="00CD76D6" w:rsidRPr="007C6619" w:rsidRDefault="00CD76D6"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2020-21</w:t>
            </w:r>
            <w:r>
              <w:rPr>
                <w:rFonts w:eastAsiaTheme="minorEastAsia" w:cs="Calibri"/>
                <w:i w:val="0"/>
                <w:iCs/>
                <w:color w:val="FFFFFF"/>
                <w:szCs w:val="17"/>
                <w:lang w:eastAsia="en-AU"/>
              </w:rPr>
              <w:t xml:space="preserve"> </w:t>
            </w:r>
            <w:r w:rsidRPr="007C6619">
              <w:rPr>
                <w:rFonts w:eastAsiaTheme="minorEastAsia" w:cs="Calibri"/>
                <w:iCs/>
                <w:color w:val="FFFFFF"/>
                <w:szCs w:val="17"/>
                <w:lang w:eastAsia="en-AU"/>
              </w:rPr>
              <w:t>estimate</w:t>
            </w:r>
          </w:p>
        </w:tc>
        <w:tc>
          <w:tcPr>
            <w:tcW w:w="850" w:type="dxa"/>
          </w:tcPr>
          <w:p w:rsidR="00CD76D6" w:rsidRPr="007C6619" w:rsidRDefault="00CD76D6" w:rsidP="00F17BC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2021-22</w:t>
            </w:r>
            <w:r>
              <w:rPr>
                <w:rFonts w:eastAsiaTheme="minorEastAsia" w:cs="Calibri"/>
                <w:i w:val="0"/>
                <w:iCs/>
                <w:color w:val="FFFFFF"/>
                <w:szCs w:val="17"/>
                <w:lang w:eastAsia="en-AU"/>
              </w:rPr>
              <w:t xml:space="preserve"> </w:t>
            </w:r>
            <w:r w:rsidRPr="007C6619">
              <w:rPr>
                <w:rFonts w:eastAsiaTheme="minorEastAsia" w:cs="Calibri"/>
                <w:iCs/>
                <w:color w:val="FFFFFF"/>
                <w:szCs w:val="17"/>
                <w:lang w:eastAsia="en-AU"/>
              </w:rPr>
              <w:t>estimate</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GSP</w:t>
            </w:r>
          </w:p>
        </w:tc>
        <w:tc>
          <w:tcPr>
            <w:tcW w:w="849" w:type="dxa"/>
          </w:tcPr>
          <w:p w:rsidR="00B32D50" w:rsidRPr="007C661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7C6619">
              <w:rPr>
                <w:rFonts w:eastAsiaTheme="minorEastAsia" w:cs="Calibri"/>
                <w:color w:val="000000"/>
                <w:szCs w:val="17"/>
                <w:lang w:eastAsia="en-AU"/>
              </w:rPr>
              <w:t xml:space="preserve"> </w:t>
            </w:r>
          </w:p>
        </w:tc>
        <w:tc>
          <w:tcPr>
            <w:tcW w:w="849" w:type="dxa"/>
          </w:tcPr>
          <w:p w:rsidR="00B32D50" w:rsidRPr="007C661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7C6619">
              <w:rPr>
                <w:rFonts w:eastAsiaTheme="minorEastAsia" w:cs="Calibri"/>
                <w:color w:val="000000"/>
                <w:szCs w:val="17"/>
                <w:lang w:eastAsia="en-AU"/>
              </w:rPr>
              <w:t xml:space="preserve"> </w:t>
            </w:r>
          </w:p>
        </w:tc>
        <w:tc>
          <w:tcPr>
            <w:tcW w:w="850" w:type="dxa"/>
          </w:tcPr>
          <w:p w:rsidR="00B32D50" w:rsidRPr="007C661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7C6619">
              <w:rPr>
                <w:rFonts w:eastAsiaTheme="minorEastAsia" w:cs="Calibri"/>
                <w:color w:val="000000"/>
                <w:szCs w:val="17"/>
                <w:lang w:eastAsia="en-AU"/>
              </w:rPr>
              <w:t xml:space="preserve"> </w:t>
            </w:r>
          </w:p>
        </w:tc>
        <w:tc>
          <w:tcPr>
            <w:tcW w:w="850" w:type="dxa"/>
          </w:tcPr>
          <w:p w:rsidR="00B32D50" w:rsidRPr="007C6619" w:rsidRDefault="00B32D50" w:rsidP="00F17BCD">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7"/>
                <w:lang w:eastAsia="en-AU"/>
              </w:rPr>
            </w:pPr>
            <w:r w:rsidRPr="007C6619">
              <w:rPr>
                <w:rFonts w:eastAsiaTheme="minorEastAsia" w:cs="Calibri"/>
                <w:color w:val="000000"/>
                <w:szCs w:val="17"/>
                <w:lang w:eastAsia="en-AU"/>
              </w:rPr>
              <w:t xml:space="preserve"> </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keepLines w:val="0"/>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115</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121</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126</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130</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(4)</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(9)</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(15)</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114</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126</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135</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144</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(114)</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(239)</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(375)</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(519)</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lang w:eastAsia="en-AU"/>
              </w:rPr>
            </w:pPr>
            <w:r w:rsidRPr="007C6619">
              <w:rPr>
                <w:rFonts w:eastAsiaTheme="minorEastAsia" w:cs="Calibri"/>
                <w:b/>
                <w:bCs/>
                <w:color w:val="000000"/>
                <w:szCs w:val="17"/>
                <w:lang w:eastAsia="en-AU"/>
              </w:rPr>
              <w:t>Employment</w:t>
            </w:r>
            <w:r w:rsidRPr="007C6619">
              <w:rPr>
                <w:rFonts w:eastAsiaTheme="minorEastAsia" w:cs="Calibri"/>
                <w:b/>
                <w:bCs/>
                <w:color w:val="000000"/>
                <w:lang w:eastAsia="en-AU"/>
              </w:rPr>
              <w:t xml:space="preserve"> </w:t>
            </w:r>
            <w:r w:rsidRPr="007C6619">
              <w:rPr>
                <w:rFonts w:eastAsiaTheme="minorEastAsia" w:cs="Calibri"/>
                <w:b/>
                <w:bCs/>
                <w:color w:val="000000"/>
                <w:vertAlign w:val="superscript"/>
                <w:lang w:eastAsia="en-AU"/>
              </w:rPr>
              <w:t>(e)</w:t>
            </w:r>
            <w:r w:rsidRPr="007C6619">
              <w:rPr>
                <w:rFonts w:eastAsiaTheme="minorEastAsia" w:cs="Calibri"/>
                <w:b/>
                <w:bCs/>
                <w:color w:val="000000"/>
                <w:lang w:eastAsia="en-AU"/>
              </w:rPr>
              <w:t xml:space="preserve"> </w:t>
            </w: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80</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84</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88</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93</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254</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276</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294</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313</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(174)</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(192)</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(206)</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(220)</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174</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366</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572</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792</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lang w:eastAsia="en-AU"/>
              </w:rPr>
            </w:pPr>
            <w:r w:rsidRPr="007C6619">
              <w:rPr>
                <w:rFonts w:eastAsiaTheme="minorEastAsia" w:cs="Calibri"/>
                <w:b/>
                <w:bCs/>
                <w:color w:val="000000"/>
                <w:szCs w:val="17"/>
                <w:lang w:eastAsia="en-AU"/>
              </w:rPr>
              <w:t xml:space="preserve">Consumer prices </w:t>
            </w:r>
            <w:r w:rsidRPr="007C6619">
              <w:rPr>
                <w:rFonts w:eastAsiaTheme="minorEastAsia" w:cs="Calibri"/>
                <w:b/>
                <w:bCs/>
                <w:color w:val="000000"/>
                <w:vertAlign w:val="superscript"/>
                <w:lang w:eastAsia="en-AU"/>
              </w:rPr>
              <w:t>(f)</w:t>
            </w: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241</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186</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270</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327</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217</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214</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211</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212</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23</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(28)</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59</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115</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(24)</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(4)</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(71)</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(194)</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Average weekly earnings</w:t>
            </w:r>
            <w:r>
              <w:rPr>
                <w:rFonts w:eastAsiaTheme="minorEastAsia" w:cs="Calibri"/>
                <w:b/>
                <w:bCs/>
                <w:color w:val="000000"/>
                <w:szCs w:val="17"/>
                <w:lang w:eastAsia="en-AU"/>
              </w:rPr>
              <w:t xml:space="preserve"> </w:t>
            </w:r>
            <w:r w:rsidRPr="007C6619">
              <w:rPr>
                <w:rFonts w:eastAsiaTheme="minorEastAsia" w:cs="Calibri"/>
                <w:b/>
                <w:bCs/>
                <w:color w:val="000000"/>
                <w:vertAlign w:val="superscript"/>
                <w:lang w:eastAsia="en-AU"/>
              </w:rPr>
              <w:t>(g)</w:t>
            </w:r>
            <w:r w:rsidRPr="007C6619">
              <w:rPr>
                <w:rFonts w:eastAsiaTheme="minorEastAsia" w:cs="Calibri"/>
                <w:b/>
                <w:bCs/>
                <w:color w:val="000000"/>
                <w:szCs w:val="17"/>
                <w:lang w:eastAsia="en-AU"/>
              </w:rPr>
              <w:t xml:space="preserve"> </w:t>
            </w: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50</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(21)</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(26)</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35</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4</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4</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4</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46</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(24)</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(30)</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31</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(46)</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(23)</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8</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(23)</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lang w:eastAsia="en-AU"/>
              </w:rPr>
            </w:pPr>
            <w:r w:rsidRPr="007C6619">
              <w:rPr>
                <w:rFonts w:eastAsiaTheme="minorEastAsia" w:cs="Calibri"/>
                <w:b/>
                <w:bCs/>
                <w:color w:val="000000"/>
                <w:szCs w:val="17"/>
                <w:lang w:eastAsia="en-AU"/>
              </w:rPr>
              <w:t>Total employee expenses</w:t>
            </w:r>
            <w:r>
              <w:rPr>
                <w:rFonts w:eastAsiaTheme="minorEastAsia" w:cs="Calibri"/>
                <w:b/>
                <w:bCs/>
                <w:color w:val="000000"/>
                <w:szCs w:val="17"/>
                <w:lang w:eastAsia="en-AU"/>
              </w:rPr>
              <w:t xml:space="preserve"> </w:t>
            </w:r>
            <w:r w:rsidRPr="007C6619">
              <w:rPr>
                <w:rFonts w:eastAsiaTheme="minorEastAsia" w:cs="Calibri"/>
                <w:b/>
                <w:bCs/>
                <w:color w:val="000000"/>
                <w:vertAlign w:val="superscript"/>
                <w:lang w:eastAsia="en-AU"/>
              </w:rPr>
              <w:t>(</w:t>
            </w:r>
            <w:r>
              <w:rPr>
                <w:rFonts w:eastAsiaTheme="minorEastAsia" w:cs="Calibri"/>
                <w:b/>
                <w:bCs/>
                <w:color w:val="000000"/>
                <w:vertAlign w:val="superscript"/>
                <w:lang w:eastAsia="en-AU"/>
              </w:rPr>
              <w:t>h</w:t>
            </w:r>
            <w:r w:rsidRPr="007C6619">
              <w:rPr>
                <w:rFonts w:eastAsiaTheme="minorEastAsia" w:cs="Calibri"/>
                <w:b/>
                <w:bCs/>
                <w:color w:val="000000"/>
                <w:vertAlign w:val="superscript"/>
                <w:lang w:eastAsia="en-AU"/>
              </w:rPr>
              <w:t>)</w:t>
            </w: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24</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84</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92</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256</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315</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336</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357</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(256)</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(290)</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(252)</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(265)</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256</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530</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765</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1013</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 xml:space="preserve">Domestic share prices </w:t>
            </w: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9</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(0)</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5</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4</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12</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(4)</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(6)</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(16)</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 xml:space="preserve">Overseas share prices </w:t>
            </w: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7</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4</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24</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(0)</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3</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9</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7</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27</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(3)</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(10)</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(15)</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(39)</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Property prices</w:t>
            </w: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92</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93</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98</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101</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(2)</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(7)</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(11)</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(15)</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94</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100</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109</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117</w:t>
            </w:r>
          </w:p>
        </w:tc>
      </w:tr>
      <w:tr w:rsidR="00B32D50" w:rsidRPr="00A36E62"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b w:val="0"/>
                <w:bCs/>
                <w:color w:val="000000"/>
                <w:szCs w:val="17"/>
                <w:lang w:eastAsia="en-AU"/>
              </w:rPr>
            </w:pPr>
            <w:r w:rsidRPr="007C6619">
              <w:rPr>
                <w:rFonts w:eastAsiaTheme="minorEastAsia" w:cs="Calibri"/>
                <w:b w:val="0"/>
                <w:bCs/>
                <w:color w:val="000000"/>
                <w:szCs w:val="17"/>
                <w:lang w:eastAsia="en-AU"/>
              </w:rPr>
              <w:t>Net debt</w:t>
            </w:r>
          </w:p>
        </w:tc>
        <w:tc>
          <w:tcPr>
            <w:tcW w:w="849" w:type="dxa"/>
          </w:tcPr>
          <w:p w:rsidR="00B32D50" w:rsidRPr="00CC6E0A"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CC6E0A">
              <w:rPr>
                <w:rFonts w:ascii="Calibri" w:hAnsi="Calibri" w:cs="Calibri"/>
                <w:b w:val="0"/>
                <w:bCs/>
                <w:szCs w:val="17"/>
              </w:rPr>
              <w:t>(97)</w:t>
            </w:r>
          </w:p>
        </w:tc>
        <w:tc>
          <w:tcPr>
            <w:tcW w:w="849" w:type="dxa"/>
          </w:tcPr>
          <w:p w:rsidR="00B32D50" w:rsidRPr="00CC6E0A"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CC6E0A">
              <w:rPr>
                <w:rFonts w:ascii="Calibri" w:hAnsi="Calibri" w:cs="Calibri"/>
                <w:b w:val="0"/>
                <w:bCs/>
                <w:szCs w:val="17"/>
              </w:rPr>
              <w:t>(199)</w:t>
            </w:r>
          </w:p>
        </w:tc>
        <w:tc>
          <w:tcPr>
            <w:tcW w:w="850" w:type="dxa"/>
          </w:tcPr>
          <w:p w:rsidR="00B32D50" w:rsidRPr="00CC6E0A"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CC6E0A">
              <w:rPr>
                <w:rFonts w:ascii="Calibri" w:hAnsi="Calibri" w:cs="Calibri"/>
                <w:b w:val="0"/>
                <w:bCs/>
                <w:szCs w:val="17"/>
              </w:rPr>
              <w:t>(311)</w:t>
            </w:r>
          </w:p>
        </w:tc>
        <w:tc>
          <w:tcPr>
            <w:tcW w:w="850" w:type="dxa"/>
          </w:tcPr>
          <w:p w:rsidR="00B32D50" w:rsidRPr="00CC6E0A"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CC6E0A">
              <w:rPr>
                <w:rFonts w:ascii="Calibri" w:hAnsi="Calibri" w:cs="Calibri"/>
                <w:b w:val="0"/>
                <w:bCs/>
                <w:szCs w:val="17"/>
              </w:rPr>
              <w:t>(430)</w:t>
            </w:r>
          </w:p>
        </w:tc>
      </w:tr>
    </w:tbl>
    <w:p w:rsidR="00B607B3" w:rsidRDefault="00B607B3"/>
    <w:p w:rsidR="00B607B3" w:rsidRDefault="00B607B3" w:rsidP="00B607B3">
      <w:pPr>
        <w:pStyle w:val="TableHeading"/>
      </w:pPr>
      <w:r w:rsidRPr="00B720EB">
        <w:lastRenderedPageBreak/>
        <w:t xml:space="preserve">Table </w:t>
      </w:r>
      <w:r>
        <w:t>B</w:t>
      </w:r>
      <w:r w:rsidRPr="00B720EB">
        <w:t>.5:</w:t>
      </w:r>
      <w:r w:rsidRPr="00B720EB">
        <w:tab/>
        <w:t xml:space="preserve">Sensitivity of key fiscal aggregates to selected indicators being </w:t>
      </w:r>
      <w:r>
        <w:br/>
      </w:r>
      <w:r w:rsidRPr="00B720EB">
        <w:t>1 per cent higher than expected from 2018-19</w:t>
      </w:r>
      <w:r w:rsidRPr="00B720EB">
        <w:rPr>
          <w:vertAlign w:val="superscript"/>
        </w:rPr>
        <w:t xml:space="preserve"> </w:t>
      </w:r>
      <w:r w:rsidRPr="00B607B3">
        <w:rPr>
          <w:i/>
        </w:rPr>
        <w:t>(continued)</w:t>
      </w:r>
      <w:r>
        <w:rPr>
          <w:vertAlign w:val="superscript"/>
        </w:rPr>
        <w:tab/>
      </w:r>
      <w:r w:rsidRPr="00B720EB">
        <w:t>($</w:t>
      </w:r>
      <w:r>
        <w:t> million)</w:t>
      </w:r>
    </w:p>
    <w:tbl>
      <w:tblPr>
        <w:tblStyle w:val="DTFTable"/>
        <w:tblW w:w="7760" w:type="dxa"/>
        <w:tblLayout w:type="fixed"/>
        <w:tblLook w:val="06E0" w:firstRow="1" w:lastRow="1" w:firstColumn="1" w:lastColumn="0" w:noHBand="1" w:noVBand="1"/>
      </w:tblPr>
      <w:tblGrid>
        <w:gridCol w:w="4362"/>
        <w:gridCol w:w="849"/>
        <w:gridCol w:w="849"/>
        <w:gridCol w:w="850"/>
        <w:gridCol w:w="850"/>
      </w:tblGrid>
      <w:tr w:rsidR="00B607B3" w:rsidRPr="007C6619" w:rsidTr="00274F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2" w:type="dxa"/>
          </w:tcPr>
          <w:p w:rsidR="00B607B3" w:rsidRPr="007C6619" w:rsidRDefault="00B607B3" w:rsidP="00274FFA">
            <w:pPr>
              <w:autoSpaceDE w:val="0"/>
              <w:autoSpaceDN w:val="0"/>
              <w:adjustRightInd w:val="0"/>
            </w:pPr>
            <w:r w:rsidRPr="007C6619">
              <w:rPr>
                <w:rFonts w:eastAsiaTheme="minorEastAsia" w:cs="Calibri"/>
                <w:iCs/>
                <w:color w:val="FFFFFF"/>
                <w:szCs w:val="17"/>
                <w:lang w:eastAsia="en-AU"/>
              </w:rPr>
              <w:t xml:space="preserve"> </w:t>
            </w:r>
            <w:r>
              <w:rPr>
                <w:i w:val="0"/>
              </w:rPr>
              <w:t xml:space="preserve"> </w:t>
            </w:r>
            <w:r w:rsidRPr="007C6619">
              <w:rPr>
                <w:rFonts w:eastAsiaTheme="minorEastAsia" w:cs="Calibri"/>
                <w:color w:val="FFFFFF"/>
                <w:szCs w:val="17"/>
                <w:lang w:eastAsia="en-AU"/>
              </w:rPr>
              <w:t xml:space="preserve"> </w:t>
            </w:r>
          </w:p>
        </w:tc>
        <w:tc>
          <w:tcPr>
            <w:tcW w:w="849" w:type="dxa"/>
          </w:tcPr>
          <w:p w:rsidR="00B607B3" w:rsidRPr="007C6619" w:rsidRDefault="00B607B3" w:rsidP="00274F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2018-19</w:t>
            </w:r>
            <w:r>
              <w:rPr>
                <w:rFonts w:eastAsiaTheme="minorEastAsia" w:cs="Calibri"/>
                <w:i w:val="0"/>
                <w:iCs/>
                <w:color w:val="FFFFFF"/>
                <w:szCs w:val="17"/>
                <w:lang w:eastAsia="en-AU"/>
              </w:rPr>
              <w:t xml:space="preserve"> </w:t>
            </w:r>
            <w:r w:rsidRPr="007C6619">
              <w:rPr>
                <w:rFonts w:eastAsiaTheme="minorEastAsia" w:cs="Calibri"/>
                <w:iCs/>
                <w:color w:val="FFFFFF"/>
                <w:szCs w:val="17"/>
                <w:lang w:eastAsia="en-AU"/>
              </w:rPr>
              <w:t>estimate</w:t>
            </w:r>
          </w:p>
        </w:tc>
        <w:tc>
          <w:tcPr>
            <w:tcW w:w="849" w:type="dxa"/>
          </w:tcPr>
          <w:p w:rsidR="00B607B3" w:rsidRPr="007C6619" w:rsidRDefault="00B607B3" w:rsidP="00274F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2019-20</w:t>
            </w:r>
            <w:r>
              <w:rPr>
                <w:rFonts w:eastAsiaTheme="minorEastAsia" w:cs="Calibri"/>
                <w:i w:val="0"/>
                <w:iCs/>
                <w:color w:val="FFFFFF"/>
                <w:szCs w:val="17"/>
                <w:lang w:eastAsia="en-AU"/>
              </w:rPr>
              <w:t xml:space="preserve"> </w:t>
            </w:r>
            <w:r w:rsidRPr="007C6619">
              <w:rPr>
                <w:rFonts w:eastAsiaTheme="minorEastAsia" w:cs="Calibri"/>
                <w:iCs/>
                <w:color w:val="FFFFFF"/>
                <w:szCs w:val="17"/>
                <w:lang w:eastAsia="en-AU"/>
              </w:rPr>
              <w:t>estimate</w:t>
            </w:r>
          </w:p>
        </w:tc>
        <w:tc>
          <w:tcPr>
            <w:tcW w:w="850" w:type="dxa"/>
          </w:tcPr>
          <w:p w:rsidR="00B607B3" w:rsidRPr="007C6619" w:rsidRDefault="00B607B3" w:rsidP="00274F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2020-21</w:t>
            </w:r>
            <w:r>
              <w:rPr>
                <w:rFonts w:eastAsiaTheme="minorEastAsia" w:cs="Calibri"/>
                <w:i w:val="0"/>
                <w:iCs/>
                <w:color w:val="FFFFFF"/>
                <w:szCs w:val="17"/>
                <w:lang w:eastAsia="en-AU"/>
              </w:rPr>
              <w:t xml:space="preserve"> </w:t>
            </w:r>
            <w:r w:rsidRPr="007C6619">
              <w:rPr>
                <w:rFonts w:eastAsiaTheme="minorEastAsia" w:cs="Calibri"/>
                <w:iCs/>
                <w:color w:val="FFFFFF"/>
                <w:szCs w:val="17"/>
                <w:lang w:eastAsia="en-AU"/>
              </w:rPr>
              <w:t>estimate</w:t>
            </w:r>
          </w:p>
        </w:tc>
        <w:tc>
          <w:tcPr>
            <w:tcW w:w="850" w:type="dxa"/>
          </w:tcPr>
          <w:p w:rsidR="00B607B3" w:rsidRPr="007C6619" w:rsidRDefault="00B607B3" w:rsidP="00274FF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7"/>
                <w:lang w:eastAsia="en-AU"/>
              </w:rPr>
            </w:pPr>
            <w:r w:rsidRPr="007C6619">
              <w:rPr>
                <w:rFonts w:eastAsiaTheme="minorEastAsia" w:cs="Calibri"/>
                <w:iCs/>
                <w:color w:val="FFFFFF"/>
                <w:szCs w:val="17"/>
                <w:lang w:eastAsia="en-AU"/>
              </w:rPr>
              <w:t>2021-22</w:t>
            </w:r>
            <w:r>
              <w:rPr>
                <w:rFonts w:eastAsiaTheme="minorEastAsia" w:cs="Calibri"/>
                <w:i w:val="0"/>
                <w:iCs/>
                <w:color w:val="FFFFFF"/>
                <w:szCs w:val="17"/>
                <w:lang w:eastAsia="en-AU"/>
              </w:rPr>
              <w:t xml:space="preserve"> </w:t>
            </w:r>
            <w:r w:rsidRPr="007C6619">
              <w:rPr>
                <w:rFonts w:eastAsiaTheme="minorEastAsia" w:cs="Calibri"/>
                <w:iCs/>
                <w:color w:val="FFFFFF"/>
                <w:szCs w:val="17"/>
                <w:lang w:eastAsia="en-AU"/>
              </w:rPr>
              <w:t>estimate</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B607B3">
            <w:pPr>
              <w:keepLines w:val="0"/>
              <w:autoSpaceDE w:val="0"/>
              <w:autoSpaceDN w:val="0"/>
              <w:adjustRightInd w:val="0"/>
              <w:ind w:left="176" w:hanging="176"/>
              <w:rPr>
                <w:rFonts w:eastAsiaTheme="minorEastAsia" w:cs="Calibri"/>
                <w:b/>
                <w:bCs/>
                <w:color w:val="000000"/>
                <w:szCs w:val="17"/>
                <w:lang w:eastAsia="en-AU"/>
              </w:rPr>
            </w:pPr>
            <w:r w:rsidRPr="007C6619">
              <w:rPr>
                <w:rFonts w:eastAsiaTheme="minorEastAsia" w:cs="Calibri"/>
                <w:b/>
                <w:bCs/>
                <w:color w:val="000000"/>
                <w:szCs w:val="17"/>
                <w:lang w:eastAsia="en-AU"/>
              </w:rPr>
              <w:t>Property volumes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61</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62</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65</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67</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(4)</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(7)</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(10)</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62</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66</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71</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77</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12"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debt</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(62)</w:t>
            </w:r>
          </w:p>
        </w:tc>
        <w:tc>
          <w:tcPr>
            <w:tcW w:w="849"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(128)</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(199)</w:t>
            </w:r>
          </w:p>
        </w:tc>
        <w:tc>
          <w:tcPr>
            <w:tcW w:w="850" w:type="dxa"/>
            <w:tcBorders>
              <w:top w:val="single" w:sz="6" w:space="0" w:color="000000" w:themeColor="text1"/>
              <w:bottom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(277)</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12" w:space="0" w:color="000000" w:themeColor="text1"/>
            </w:tcBorders>
          </w:tcPr>
          <w:p w:rsidR="00B32D50" w:rsidRPr="007C6619" w:rsidRDefault="00B32D50" w:rsidP="00F17BCD">
            <w:pPr>
              <w:keepLines w:val="0"/>
              <w:autoSpaceDE w:val="0"/>
              <w:autoSpaceDN w:val="0"/>
              <w:adjustRightInd w:val="0"/>
              <w:ind w:left="173" w:hanging="173"/>
              <w:rPr>
                <w:rFonts w:eastAsiaTheme="minorEastAsia" w:cs="Calibri"/>
                <w:b/>
                <w:bCs/>
                <w:color w:val="000000"/>
                <w:lang w:eastAsia="en-AU"/>
              </w:rPr>
            </w:pPr>
            <w:r w:rsidRPr="007C6619">
              <w:rPr>
                <w:rFonts w:eastAsiaTheme="minorEastAsia" w:cs="Calibri"/>
                <w:b/>
                <w:bCs/>
                <w:color w:val="000000"/>
                <w:szCs w:val="17"/>
                <w:lang w:eastAsia="en-AU"/>
              </w:rPr>
              <w:t>Interest rates</w:t>
            </w:r>
            <w:r w:rsidRPr="007C6619">
              <w:rPr>
                <w:rFonts w:eastAsiaTheme="minorEastAsia" w:cs="Calibri"/>
                <w:b/>
                <w:bCs/>
                <w:color w:val="000000"/>
                <w:lang w:eastAsia="en-AU"/>
              </w:rPr>
              <w:t xml:space="preserve"> </w:t>
            </w:r>
            <w:r>
              <w:rPr>
                <w:rFonts w:eastAsiaTheme="minorEastAsia" w:cs="Calibri"/>
                <w:b/>
                <w:bCs/>
                <w:color w:val="000000"/>
                <w:vertAlign w:val="superscript"/>
                <w:lang w:eastAsia="en-AU"/>
              </w:rPr>
              <w:t>(i</w:t>
            </w:r>
            <w:r w:rsidRPr="007C6619">
              <w:rPr>
                <w:rFonts w:eastAsiaTheme="minorEastAsia" w:cs="Calibri"/>
                <w:b/>
                <w:bCs/>
                <w:color w:val="000000"/>
                <w:vertAlign w:val="superscript"/>
                <w:lang w:eastAsia="en-AU"/>
              </w:rPr>
              <w:t>)</w:t>
            </w: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p>
        </w:tc>
        <w:tc>
          <w:tcPr>
            <w:tcW w:w="849"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c>
          <w:tcPr>
            <w:tcW w:w="850" w:type="dxa"/>
            <w:tcBorders>
              <w:top w:val="single" w:sz="12"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szCs w:val="17"/>
              </w:rPr>
            </w:pP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Income from transactions</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607</w:t>
            </w:r>
          </w:p>
        </w:tc>
        <w:tc>
          <w:tcPr>
            <w:tcW w:w="849"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113</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163</w:t>
            </w:r>
          </w:p>
        </w:tc>
        <w:tc>
          <w:tcPr>
            <w:tcW w:w="850" w:type="dxa"/>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309</w:t>
            </w:r>
          </w:p>
        </w:tc>
      </w:tr>
      <w:tr w:rsidR="00B32D50" w:rsidRPr="007C6619" w:rsidTr="00F17BCD">
        <w:tc>
          <w:tcPr>
            <w:cnfStyle w:val="001000000000" w:firstRow="0" w:lastRow="0" w:firstColumn="1" w:lastColumn="0" w:oddVBand="0" w:evenVBand="0" w:oddHBand="0" w:evenHBand="0" w:firstRowFirstColumn="0" w:firstRowLastColumn="0" w:lastRowFirstColumn="0" w:lastRowLastColumn="0"/>
            <w:tcW w:w="4362" w:type="dxa"/>
            <w:tcBorders>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color w:val="000000"/>
                <w:szCs w:val="17"/>
                <w:lang w:eastAsia="en-AU"/>
              </w:rPr>
            </w:pPr>
            <w:r w:rsidRPr="007C6619">
              <w:rPr>
                <w:rFonts w:eastAsiaTheme="minorEastAsia" w:cs="Calibri"/>
                <w:color w:val="000000"/>
                <w:szCs w:val="17"/>
                <w:lang w:eastAsia="en-AU"/>
              </w:rPr>
              <w:t>Expenses from transactions</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(3)</w:t>
            </w:r>
          </w:p>
        </w:tc>
        <w:tc>
          <w:tcPr>
            <w:tcW w:w="849"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149</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143</w:t>
            </w:r>
          </w:p>
        </w:tc>
        <w:tc>
          <w:tcPr>
            <w:tcW w:w="850" w:type="dxa"/>
            <w:tcBorders>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CC6E0A">
              <w:rPr>
                <w:rFonts w:ascii="Calibri" w:hAnsi="Calibri" w:cs="Calibri"/>
                <w:szCs w:val="17"/>
              </w:rPr>
              <w:t>120</w:t>
            </w:r>
          </w:p>
        </w:tc>
      </w:tr>
      <w:tr w:rsidR="00B32D50" w:rsidRPr="00A36E62" w:rsidTr="00F17BCD">
        <w:tc>
          <w:tcPr>
            <w:cnfStyle w:val="001000000000" w:firstRow="0" w:lastRow="0" w:firstColumn="1" w:lastColumn="0" w:oddVBand="0" w:evenVBand="0" w:oddHBand="0" w:evenHBand="0" w:firstRowFirstColumn="0" w:firstRowLastColumn="0" w:lastRowFirstColumn="0" w:lastRowLastColumn="0"/>
            <w:tcW w:w="4362" w:type="dxa"/>
            <w:tcBorders>
              <w:top w:val="single" w:sz="6" w:space="0" w:color="000000" w:themeColor="text1"/>
              <w:bottom w:val="single" w:sz="6" w:space="0" w:color="000000" w:themeColor="text1"/>
            </w:tcBorders>
          </w:tcPr>
          <w:p w:rsidR="00B32D50" w:rsidRPr="007C6619" w:rsidRDefault="00B32D50" w:rsidP="00F17BCD">
            <w:pPr>
              <w:keepLines w:val="0"/>
              <w:autoSpaceDE w:val="0"/>
              <w:autoSpaceDN w:val="0"/>
              <w:adjustRightInd w:val="0"/>
              <w:rPr>
                <w:rFonts w:eastAsiaTheme="minorEastAsia" w:cs="Calibri"/>
                <w:b/>
                <w:bCs/>
                <w:color w:val="000000"/>
                <w:szCs w:val="17"/>
                <w:lang w:eastAsia="en-AU"/>
              </w:rPr>
            </w:pPr>
            <w:r w:rsidRPr="007C6619">
              <w:rPr>
                <w:rFonts w:eastAsiaTheme="minorEastAsia" w:cs="Calibri"/>
                <w:b/>
                <w:bCs/>
                <w:color w:val="000000"/>
                <w:szCs w:val="17"/>
                <w:lang w:eastAsia="en-AU"/>
              </w:rPr>
              <w:t>Net result from transactions</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610</w:t>
            </w:r>
          </w:p>
        </w:tc>
        <w:tc>
          <w:tcPr>
            <w:tcW w:w="849"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(36)</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20</w:t>
            </w:r>
          </w:p>
        </w:tc>
        <w:tc>
          <w:tcPr>
            <w:tcW w:w="850" w:type="dxa"/>
            <w:tcBorders>
              <w:top w:val="single" w:sz="6" w:space="0" w:color="000000" w:themeColor="text1"/>
              <w:bottom w:val="single" w:sz="6" w:space="0" w:color="000000" w:themeColor="text1"/>
            </w:tcBorders>
          </w:tcPr>
          <w:p w:rsidR="00B32D50" w:rsidRPr="00CC6E0A" w:rsidRDefault="00B32D50" w:rsidP="00F17BCD">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17"/>
              </w:rPr>
            </w:pPr>
            <w:r w:rsidRPr="00CC6E0A">
              <w:rPr>
                <w:rFonts w:ascii="Calibri" w:hAnsi="Calibri" w:cs="Calibri"/>
                <w:b/>
                <w:bCs/>
                <w:szCs w:val="17"/>
              </w:rPr>
              <w:t>190</w:t>
            </w:r>
          </w:p>
        </w:tc>
      </w:tr>
      <w:tr w:rsidR="00B32D50" w:rsidRPr="00A36E62" w:rsidTr="00F17BC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2" w:type="dxa"/>
          </w:tcPr>
          <w:p w:rsidR="00B32D50" w:rsidRPr="007C6619" w:rsidRDefault="00B32D50" w:rsidP="00F17BCD">
            <w:pPr>
              <w:keepLines w:val="0"/>
              <w:autoSpaceDE w:val="0"/>
              <w:autoSpaceDN w:val="0"/>
              <w:adjustRightInd w:val="0"/>
              <w:rPr>
                <w:rFonts w:eastAsiaTheme="minorEastAsia" w:cs="Calibri"/>
                <w:bCs/>
                <w:color w:val="000000"/>
                <w:szCs w:val="17"/>
                <w:lang w:eastAsia="en-AU"/>
              </w:rPr>
            </w:pPr>
            <w:r w:rsidRPr="007C6619">
              <w:rPr>
                <w:rFonts w:eastAsiaTheme="minorEastAsia" w:cs="Calibri"/>
                <w:bCs/>
                <w:color w:val="000000"/>
                <w:szCs w:val="17"/>
                <w:lang w:eastAsia="en-AU"/>
              </w:rPr>
              <w:t>Net debt</w:t>
            </w:r>
          </w:p>
        </w:tc>
        <w:tc>
          <w:tcPr>
            <w:tcW w:w="849" w:type="dxa"/>
          </w:tcPr>
          <w:p w:rsidR="00B32D50" w:rsidRPr="00CC6E0A"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CC6E0A">
              <w:rPr>
                <w:rFonts w:ascii="Calibri" w:hAnsi="Calibri" w:cs="Calibri"/>
                <w:b w:val="0"/>
                <w:bCs/>
                <w:szCs w:val="17"/>
              </w:rPr>
              <w:t>(610)</w:t>
            </w:r>
          </w:p>
        </w:tc>
        <w:tc>
          <w:tcPr>
            <w:tcW w:w="849" w:type="dxa"/>
          </w:tcPr>
          <w:p w:rsidR="00B32D50" w:rsidRPr="00CC6E0A"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CC6E0A">
              <w:rPr>
                <w:rFonts w:ascii="Calibri" w:hAnsi="Calibri" w:cs="Calibri"/>
                <w:b w:val="0"/>
                <w:bCs/>
                <w:szCs w:val="17"/>
              </w:rPr>
              <w:t>(739)</w:t>
            </w:r>
          </w:p>
        </w:tc>
        <w:tc>
          <w:tcPr>
            <w:tcW w:w="850" w:type="dxa"/>
          </w:tcPr>
          <w:p w:rsidR="00B32D50" w:rsidRPr="00CC6E0A"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CC6E0A">
              <w:rPr>
                <w:rFonts w:ascii="Calibri" w:hAnsi="Calibri" w:cs="Calibri"/>
                <w:b w:val="0"/>
                <w:bCs/>
                <w:szCs w:val="17"/>
              </w:rPr>
              <w:t>(924)</w:t>
            </w:r>
          </w:p>
        </w:tc>
        <w:tc>
          <w:tcPr>
            <w:tcW w:w="850" w:type="dxa"/>
          </w:tcPr>
          <w:p w:rsidR="00B32D50" w:rsidRPr="00CC6E0A" w:rsidRDefault="00B32D50" w:rsidP="00F17BCD">
            <w:pPr>
              <w:cnfStyle w:val="010000000000" w:firstRow="0" w:lastRow="1" w:firstColumn="0" w:lastColumn="0" w:oddVBand="0" w:evenVBand="0" w:oddHBand="0" w:evenHBand="0" w:firstRowFirstColumn="0" w:firstRowLastColumn="0" w:lastRowFirstColumn="0" w:lastRowLastColumn="0"/>
              <w:rPr>
                <w:rFonts w:ascii="Calibri" w:hAnsi="Calibri" w:cs="Calibri"/>
                <w:b w:val="0"/>
                <w:bCs/>
                <w:szCs w:val="17"/>
              </w:rPr>
            </w:pPr>
            <w:r w:rsidRPr="00CC6E0A">
              <w:rPr>
                <w:rFonts w:ascii="Calibri" w:hAnsi="Calibri" w:cs="Calibri"/>
                <w:b w:val="0"/>
                <w:bCs/>
                <w:szCs w:val="17"/>
              </w:rPr>
              <w:t>(1264)</w:t>
            </w:r>
          </w:p>
        </w:tc>
      </w:tr>
    </w:tbl>
    <w:p w:rsidR="00B32D50" w:rsidRPr="00B720EB" w:rsidRDefault="00B32D50" w:rsidP="00F17BCD">
      <w:pPr>
        <w:pStyle w:val="Source"/>
      </w:pPr>
      <w:r w:rsidRPr="00B720EB">
        <w:t>Source: Department of Treasury and Finance</w:t>
      </w:r>
    </w:p>
    <w:p w:rsidR="00B32D50" w:rsidRDefault="00B32D50" w:rsidP="00F17BCD">
      <w:pPr>
        <w:pStyle w:val="Note"/>
      </w:pPr>
      <w:r w:rsidRPr="00B720EB">
        <w:t>Notes:</w:t>
      </w:r>
    </w:p>
    <w:p w:rsidR="00B32D50" w:rsidRDefault="00B32D50" w:rsidP="00F17BCD">
      <w:pPr>
        <w:pStyle w:val="Note"/>
      </w:pPr>
      <w:r>
        <w:t>(a)</w:t>
      </w:r>
      <w:r>
        <w:tab/>
        <w:t>Variations are applied to the economic variables effective from the first day in the budget year (1 July 2018). It is assumed that each variable’s growth rate matches that under a no</w:t>
      </w:r>
      <w:r>
        <w:noBreakHyphen/>
        <w:t>variation scenario for the forward estimates period. This implies economic variables, other than interest rates, are 1 per cent higher across the four years compared with a no</w:t>
      </w:r>
      <w:r>
        <w:noBreakHyphen/>
        <w:t>variation scenario; i</w:t>
      </w:r>
      <w:r w:rsidRPr="00CC126D">
        <w:t>nterest rates are assumed to be 1 percentage point higher in each year of t</w:t>
      </w:r>
      <w:r>
        <w:t xml:space="preserve">he budget and forward estimates. </w:t>
      </w:r>
    </w:p>
    <w:p w:rsidR="00B32D50" w:rsidRDefault="00B32D50" w:rsidP="00F17BCD">
      <w:pPr>
        <w:pStyle w:val="Note"/>
      </w:pPr>
      <w:r>
        <w:t>(b)</w:t>
      </w:r>
      <w:r>
        <w:tab/>
        <w:t>A positive number for income from transactions denotes an increase in revenue. A positive number for expenses from transactions denotes an increase in expenses (and hence a reduction in the net result from transactions). A positive number for the net result from transactions denotes a higher surplus or smaller deficit. A positive number for net debt denotes a higher level of net debt in the relevant year compared with a no</w:t>
      </w:r>
      <w:r>
        <w:noBreakHyphen/>
        <w:t>variation scenario. Numbers may not balance due to rounding.</w:t>
      </w:r>
    </w:p>
    <w:p w:rsidR="00B32D50" w:rsidRDefault="00B32D50" w:rsidP="00F17BCD">
      <w:pPr>
        <w:pStyle w:val="Note"/>
      </w:pPr>
      <w:r>
        <w:t>(c)</w:t>
      </w:r>
      <w:r>
        <w:tab/>
        <w:t>Only reasonably quantifiable impacts have been included in the analysis.</w:t>
      </w:r>
    </w:p>
    <w:p w:rsidR="00B32D50" w:rsidRPr="007008E0" w:rsidRDefault="00B32D50" w:rsidP="00F17BCD">
      <w:pPr>
        <w:pStyle w:val="Note"/>
      </w:pPr>
      <w:r w:rsidRPr="007008E0">
        <w:t>(d)</w:t>
      </w:r>
      <w:r w:rsidRPr="007008E0">
        <w:tab/>
        <w:t>Estimates of net debt are approximately equal to the cumulative impact of the net result from transactions. The difference between the cumulative net result from transactions and net debt is due to non</w:t>
      </w:r>
      <w:r w:rsidRPr="007008E0">
        <w:noBreakHyphen/>
        <w:t>cash expenses and gross sale proceeds (where applicable).</w:t>
      </w:r>
    </w:p>
    <w:p w:rsidR="00B32D50" w:rsidRPr="007008E0" w:rsidRDefault="00B32D50" w:rsidP="00F17BCD">
      <w:pPr>
        <w:pStyle w:val="Note"/>
      </w:pPr>
      <w:r w:rsidRPr="007008E0">
        <w:t>(e)</w:t>
      </w:r>
      <w:r w:rsidRPr="007008E0">
        <w:tab/>
        <w:t>A shock to employment is assumed to impact payroll tax</w:t>
      </w:r>
      <w:r>
        <w:t xml:space="preserve"> </w:t>
      </w:r>
      <w:r w:rsidRPr="007008E0">
        <w:t>revenue to an extent consistent with no change to historical relationships between total employment, part</w:t>
      </w:r>
      <w:r w:rsidRPr="007008E0">
        <w:noBreakHyphen/>
        <w:t>time/full</w:t>
      </w:r>
      <w:r w:rsidRPr="007008E0">
        <w:noBreakHyphen/>
        <w:t>time employment shares, and payroll tax revenue. Both public and private sector employment are assumed to be 1 per cent higher across the four years; the rise in public sector employment boosts general government sector employee expenses.</w:t>
      </w:r>
    </w:p>
    <w:p w:rsidR="00B32D50" w:rsidRPr="007008E0" w:rsidRDefault="00B32D50" w:rsidP="00F17BCD">
      <w:pPr>
        <w:pStyle w:val="Note"/>
      </w:pPr>
      <w:r w:rsidRPr="007008E0">
        <w:t>(f)</w:t>
      </w:r>
      <w:r w:rsidRPr="007008E0">
        <w:tab/>
        <w:t>Incorporates the impact of departmental funding model arrangements. It is assumed that an increase in consumer prices within the budget year does not affect employee entitlements.</w:t>
      </w:r>
    </w:p>
    <w:p w:rsidR="00B32D50" w:rsidRPr="007008E0" w:rsidRDefault="00B32D50" w:rsidP="00F17BCD">
      <w:pPr>
        <w:pStyle w:val="Note"/>
      </w:pPr>
      <w:r w:rsidRPr="007008E0">
        <w:t>(g)</w:t>
      </w:r>
      <w:r w:rsidRPr="007008E0">
        <w:tab/>
        <w:t>A positive shock to average weekly earnings increases the expenses of public financial and non</w:t>
      </w:r>
      <w:r w:rsidRPr="007008E0">
        <w:noBreakHyphen/>
        <w:t xml:space="preserve">financial corporations and reduces the general government sector’s income from dividends and ITEs. </w:t>
      </w:r>
    </w:p>
    <w:p w:rsidR="00B32D50" w:rsidRDefault="00B32D50" w:rsidP="00F17BCD">
      <w:pPr>
        <w:pStyle w:val="Note"/>
      </w:pPr>
      <w:r w:rsidRPr="007008E0">
        <w:t xml:space="preserve">(h) </w:t>
      </w:r>
      <w:r w:rsidRPr="007008E0">
        <w:tab/>
        <w:t>Represents a one</w:t>
      </w:r>
      <w:r w:rsidRPr="007008E0">
        <w:noBreakHyphen/>
        <w:t>off 1 per cent increase in total employee expenses relative to a no</w:t>
      </w:r>
      <w:r w:rsidRPr="007008E0">
        <w:noBreakHyphen/>
        <w:t>variation scenario. This could be generated through a change in the size of the workforce, the price of the workforce (salaries, overtime, allowances and bonuses, long service leave expenses, fringe benefits tax and WorkCover premiums), through other management decisions regarding the composition and profile of the workforce or any combination of these.</w:t>
      </w:r>
      <w:r w:rsidRPr="00B06916">
        <w:t xml:space="preserve"> </w:t>
      </w:r>
    </w:p>
    <w:p w:rsidR="00B32D50" w:rsidRDefault="00B32D50" w:rsidP="00F17BCD">
      <w:pPr>
        <w:pStyle w:val="Note"/>
      </w:pPr>
      <w:r>
        <w:t>(i)</w:t>
      </w:r>
      <w:r>
        <w:tab/>
        <w:t>Interest rates are assumed to be 1 percentage point higher in each year of the budget and forward estimates.</w:t>
      </w:r>
    </w:p>
    <w:p w:rsidR="00CD76D6" w:rsidRDefault="00CD76D6">
      <w:pPr>
        <w:keepLines w:val="0"/>
      </w:pPr>
      <w:r>
        <w:br w:type="page"/>
      </w:r>
    </w:p>
    <w:p w:rsidR="00B32D50" w:rsidRDefault="00B32D50" w:rsidP="00B32D50"/>
    <w:p w:rsidR="00CD76D6" w:rsidRDefault="00CD76D6" w:rsidP="00B32D50"/>
    <w:p w:rsidR="00CD76D6" w:rsidRDefault="00CD76D6" w:rsidP="00B32D50">
      <w:pPr>
        <w:sectPr w:rsidR="00CD76D6" w:rsidSect="006D735A">
          <w:footerReference w:type="even" r:id="rId77"/>
          <w:footerReference w:type="default" r:id="rId78"/>
          <w:footerReference w:type="first" r:id="rId79"/>
          <w:type w:val="continuous"/>
          <w:pgSz w:w="9979" w:h="14175" w:code="9"/>
          <w:pgMar w:top="851" w:right="1134" w:bottom="851" w:left="1134" w:header="624" w:footer="567" w:gutter="0"/>
          <w:cols w:sep="1" w:space="567"/>
          <w:docGrid w:linePitch="360"/>
        </w:sectPr>
      </w:pPr>
    </w:p>
    <w:p w:rsidR="00B32D50" w:rsidRDefault="00B32D50" w:rsidP="000C43CD">
      <w:pPr>
        <w:pStyle w:val="Chapterheading"/>
      </w:pPr>
      <w:bookmarkStart w:id="148" w:name="_Toc528864786"/>
      <w:r>
        <w:lastRenderedPageBreak/>
        <w:t xml:space="preserve">Appendix C – Requirements of the </w:t>
      </w:r>
      <w:r w:rsidRPr="004D60C4">
        <w:rPr>
          <w:i/>
        </w:rPr>
        <w:t>Financial Management Act 1994</w:t>
      </w:r>
      <w:bookmarkEnd w:id="148"/>
    </w:p>
    <w:p w:rsidR="00B32D50" w:rsidRPr="001F0290" w:rsidRDefault="00B32D50" w:rsidP="00F17BCD">
      <w:r w:rsidRPr="001F0290">
        <w:t xml:space="preserve">The </w:t>
      </w:r>
      <w:r w:rsidRPr="001F0290">
        <w:rPr>
          <w:i/>
        </w:rPr>
        <w:t>Financial Management Act 1994</w:t>
      </w:r>
      <w:r w:rsidRPr="001F0290">
        <w:t xml:space="preserve"> (the Act) requires the Secretary of the Department of Treasury and Finance to prepare a pre</w:t>
      </w:r>
      <w:r>
        <w:noBreakHyphen/>
      </w:r>
      <w:r w:rsidRPr="001F0290">
        <w:t xml:space="preserve">election budget update when a writ is issued for a general election. The provisions of the Act have been complied with in the </w:t>
      </w:r>
      <w:r>
        <w:rPr>
          <w:i/>
        </w:rPr>
        <w:t xml:space="preserve">2018 </w:t>
      </w:r>
      <w:r w:rsidRPr="00320955">
        <w:rPr>
          <w:i/>
        </w:rPr>
        <w:t>Victorian</w:t>
      </w:r>
      <w:r>
        <w:t xml:space="preserve"> </w:t>
      </w:r>
      <w:r w:rsidRPr="001F0290">
        <w:rPr>
          <w:i/>
        </w:rPr>
        <w:t>Pre</w:t>
      </w:r>
      <w:r>
        <w:rPr>
          <w:i/>
        </w:rPr>
        <w:noBreakHyphen/>
      </w:r>
      <w:r w:rsidRPr="001F0290">
        <w:rPr>
          <w:i/>
        </w:rPr>
        <w:t>Election Budget Update</w:t>
      </w:r>
      <w:r w:rsidRPr="001F0290">
        <w:t xml:space="preserve">. </w:t>
      </w:r>
    </w:p>
    <w:p w:rsidR="00B32D50" w:rsidRPr="001F0290" w:rsidRDefault="00B32D50" w:rsidP="00F17BCD">
      <w:r w:rsidRPr="001F0290">
        <w:t>Table C.1 provides details of these requirements together with appropriate references in this document.</w:t>
      </w:r>
    </w:p>
    <w:p w:rsidR="00B32D50" w:rsidRPr="001F0290" w:rsidRDefault="00B32D50" w:rsidP="00F17BCD">
      <w:pPr>
        <w:pStyle w:val="TableHeading"/>
      </w:pPr>
      <w:r w:rsidRPr="001F0290">
        <w:t>Table C.1:</w:t>
      </w:r>
      <w:r w:rsidRPr="001F0290">
        <w:tab/>
        <w:t xml:space="preserve">Statements required by the </w:t>
      </w:r>
      <w:r w:rsidRPr="000A2184">
        <w:rPr>
          <w:i/>
        </w:rPr>
        <w:t>Financial Management Act 1994</w:t>
      </w:r>
      <w:r w:rsidRPr="001F0290">
        <w:t xml:space="preserve"> and their location in the </w:t>
      </w:r>
      <w:r w:rsidRPr="000A2184">
        <w:rPr>
          <w:i/>
        </w:rPr>
        <w:t>2018 Victorian Pre</w:t>
      </w:r>
      <w:r w:rsidRPr="000A2184">
        <w:rPr>
          <w:i/>
        </w:rPr>
        <w:noBreakHyphen/>
        <w:t>Election Budget Update</w:t>
      </w:r>
    </w:p>
    <w:tbl>
      <w:tblPr>
        <w:tblW w:w="0" w:type="auto"/>
        <w:tblCellMar>
          <w:left w:w="43" w:type="dxa"/>
          <w:right w:w="43" w:type="dxa"/>
        </w:tblCellMar>
        <w:tblLook w:val="01E0" w:firstRow="1" w:lastRow="1" w:firstColumn="1" w:lastColumn="1" w:noHBand="0" w:noVBand="0"/>
      </w:tblPr>
      <w:tblGrid>
        <w:gridCol w:w="3904"/>
        <w:gridCol w:w="3885"/>
      </w:tblGrid>
      <w:tr w:rsidR="00B32D50" w:rsidRPr="004C0868" w:rsidTr="00F17BCD">
        <w:trPr>
          <w:cantSplit/>
          <w:tblHeader/>
        </w:trPr>
        <w:tc>
          <w:tcPr>
            <w:tcW w:w="3904" w:type="dxa"/>
            <w:tcBorders>
              <w:top w:val="single" w:sz="6" w:space="0" w:color="auto"/>
              <w:left w:val="single" w:sz="6" w:space="0" w:color="auto"/>
              <w:bottom w:val="single" w:sz="6" w:space="0" w:color="auto"/>
            </w:tcBorders>
            <w:shd w:val="clear" w:color="auto" w:fill="000000"/>
          </w:tcPr>
          <w:p w:rsidR="00B32D50" w:rsidRPr="00F06D8A" w:rsidRDefault="00B32D50" w:rsidP="00F17BCD">
            <w:pPr>
              <w:rPr>
                <w:rFonts w:ascii="Calibri" w:hAnsi="Calibri" w:cs="Calibri"/>
                <w:i/>
                <w:sz w:val="20"/>
                <w:szCs w:val="20"/>
              </w:rPr>
            </w:pPr>
            <w:bookmarkStart w:id="149" w:name="_Hlk528164924"/>
            <w:r w:rsidRPr="00F06D8A">
              <w:rPr>
                <w:rFonts w:ascii="Calibri" w:hAnsi="Calibri" w:cs="Calibri"/>
                <w:i/>
                <w:sz w:val="20"/>
                <w:szCs w:val="20"/>
              </w:rPr>
              <w:t xml:space="preserve">Relevant section of the Act and </w:t>
            </w:r>
            <w:r w:rsidRPr="00F06D8A">
              <w:rPr>
                <w:rFonts w:ascii="Calibri" w:hAnsi="Calibri" w:cs="Calibri"/>
                <w:i/>
                <w:sz w:val="20"/>
                <w:szCs w:val="20"/>
              </w:rPr>
              <w:br/>
              <w:t>corresponding requirement</w:t>
            </w:r>
          </w:p>
        </w:tc>
        <w:tc>
          <w:tcPr>
            <w:tcW w:w="3885" w:type="dxa"/>
            <w:tcBorders>
              <w:top w:val="single" w:sz="6" w:space="0" w:color="auto"/>
              <w:bottom w:val="single" w:sz="6" w:space="0" w:color="auto"/>
              <w:right w:val="single" w:sz="6" w:space="0" w:color="auto"/>
            </w:tcBorders>
            <w:shd w:val="clear" w:color="auto" w:fill="000000"/>
            <w:vAlign w:val="bottom"/>
          </w:tcPr>
          <w:p w:rsidR="00B32D50" w:rsidRPr="00F06D8A" w:rsidRDefault="00B32D50" w:rsidP="00F17BCD">
            <w:pPr>
              <w:rPr>
                <w:rFonts w:ascii="Calibri" w:hAnsi="Calibri" w:cs="Calibri"/>
                <w:i/>
                <w:sz w:val="20"/>
                <w:szCs w:val="20"/>
              </w:rPr>
            </w:pPr>
            <w:r w:rsidRPr="00F06D8A">
              <w:rPr>
                <w:rFonts w:ascii="Calibri" w:hAnsi="Calibri" w:cs="Calibri"/>
                <w:i/>
                <w:sz w:val="20"/>
                <w:szCs w:val="20"/>
              </w:rPr>
              <w:t>Location</w:t>
            </w:r>
          </w:p>
        </w:tc>
      </w:tr>
      <w:tr w:rsidR="00B32D50" w:rsidRPr="004C0868" w:rsidTr="00F17BCD">
        <w:trPr>
          <w:cantSplit/>
        </w:trPr>
        <w:tc>
          <w:tcPr>
            <w:tcW w:w="3904" w:type="dxa"/>
            <w:tcBorders>
              <w:top w:val="single" w:sz="6" w:space="0" w:color="auto"/>
            </w:tcBorders>
          </w:tcPr>
          <w:p w:rsidR="00B32D50" w:rsidRPr="000A2184" w:rsidRDefault="00B32D50" w:rsidP="00F17BCD">
            <w:pPr>
              <w:rPr>
                <w:rFonts w:ascii="Calibri" w:hAnsi="Calibri" w:cs="Calibri"/>
                <w:b/>
                <w:sz w:val="20"/>
                <w:szCs w:val="20"/>
              </w:rPr>
            </w:pPr>
            <w:r w:rsidRPr="000A2184">
              <w:rPr>
                <w:rFonts w:ascii="Calibri" w:hAnsi="Calibri" w:cs="Calibri"/>
                <w:b/>
                <w:sz w:val="20"/>
                <w:szCs w:val="20"/>
              </w:rPr>
              <w:t>Section 27B(1)</w:t>
            </w:r>
          </w:p>
          <w:p w:rsidR="00B32D50" w:rsidRPr="004C0868" w:rsidRDefault="00B32D50" w:rsidP="00F17BCD">
            <w:pPr>
              <w:rPr>
                <w:rFonts w:ascii="Calibri" w:hAnsi="Calibri" w:cs="Calibri"/>
                <w:sz w:val="20"/>
                <w:szCs w:val="20"/>
              </w:rPr>
            </w:pPr>
            <w:r w:rsidRPr="004C0868">
              <w:rPr>
                <w:rFonts w:ascii="Calibri" w:hAnsi="Calibri" w:cs="Calibri"/>
                <w:sz w:val="20"/>
                <w:szCs w:val="20"/>
              </w:rPr>
              <w:t>A pre</w:t>
            </w:r>
            <w:r w:rsidRPr="004C0868">
              <w:rPr>
                <w:rFonts w:ascii="Calibri" w:hAnsi="Calibri" w:cs="Calibri"/>
                <w:sz w:val="20"/>
                <w:szCs w:val="20"/>
              </w:rPr>
              <w:noBreakHyphen/>
              <w:t>election budget update comprises –</w:t>
            </w:r>
          </w:p>
        </w:tc>
        <w:tc>
          <w:tcPr>
            <w:tcW w:w="3885" w:type="dxa"/>
            <w:tcBorders>
              <w:top w:val="single" w:sz="6" w:space="0" w:color="auto"/>
            </w:tcBorders>
          </w:tcPr>
          <w:p w:rsidR="00B32D50" w:rsidRPr="004C0868" w:rsidRDefault="00B32D50" w:rsidP="00F17BCD">
            <w:pPr>
              <w:rPr>
                <w:rFonts w:ascii="Calibri" w:hAnsi="Calibri" w:cs="Calibri"/>
                <w:sz w:val="20"/>
                <w:szCs w:val="20"/>
              </w:rPr>
            </w:pPr>
          </w:p>
        </w:tc>
      </w:tr>
      <w:tr w:rsidR="00B32D50" w:rsidRPr="004C0868" w:rsidTr="00F17BCD">
        <w:trPr>
          <w:cantSplit/>
        </w:trPr>
        <w:tc>
          <w:tcPr>
            <w:tcW w:w="3904" w:type="dxa"/>
            <w:tcBorders>
              <w:bottom w:val="single" w:sz="6" w:space="0" w:color="BFBFBF" w:themeColor="background1" w:themeShade="BF"/>
            </w:tcBorders>
          </w:tcPr>
          <w:p w:rsidR="00B32D50" w:rsidRPr="004C0868" w:rsidRDefault="00B32D50" w:rsidP="00F17BCD">
            <w:pPr>
              <w:tabs>
                <w:tab w:val="left" w:pos="284"/>
              </w:tabs>
              <w:ind w:left="284" w:hanging="284"/>
              <w:rPr>
                <w:rFonts w:ascii="Calibri" w:hAnsi="Calibri" w:cs="Calibri"/>
                <w:sz w:val="20"/>
                <w:szCs w:val="20"/>
              </w:rPr>
            </w:pPr>
            <w:r>
              <w:rPr>
                <w:rFonts w:ascii="Calibri" w:hAnsi="Calibri" w:cs="Calibri"/>
                <w:sz w:val="20"/>
                <w:szCs w:val="20"/>
              </w:rPr>
              <w:t>(a)</w:t>
            </w:r>
            <w:r>
              <w:rPr>
                <w:rFonts w:ascii="Calibri" w:hAnsi="Calibri" w:cs="Calibri"/>
                <w:sz w:val="20"/>
                <w:szCs w:val="20"/>
              </w:rPr>
              <w:tab/>
            </w:r>
            <w:r w:rsidRPr="004C0868">
              <w:rPr>
                <w:rFonts w:ascii="Calibri" w:hAnsi="Calibri" w:cs="Calibri"/>
                <w:sz w:val="20"/>
                <w:szCs w:val="20"/>
              </w:rPr>
              <w:t>updated estimated financial statements for the Victorian general government sector for the financial year in respect of which they are prepared and the following 3 financial years;</w:t>
            </w:r>
          </w:p>
        </w:tc>
        <w:tc>
          <w:tcPr>
            <w:tcW w:w="3885" w:type="dxa"/>
            <w:tcBorders>
              <w:bottom w:val="single" w:sz="6" w:space="0" w:color="BFBFBF" w:themeColor="background1" w:themeShade="BF"/>
            </w:tcBorders>
          </w:tcPr>
          <w:p w:rsidR="00B32D50" w:rsidRPr="004C0868" w:rsidRDefault="00B32D50" w:rsidP="00F17BCD">
            <w:pPr>
              <w:rPr>
                <w:rFonts w:ascii="Calibri" w:hAnsi="Calibri" w:cs="Calibri"/>
                <w:sz w:val="20"/>
                <w:szCs w:val="20"/>
              </w:rPr>
            </w:pPr>
            <w:r w:rsidRPr="004C0868">
              <w:rPr>
                <w:rFonts w:ascii="Calibri" w:hAnsi="Calibri" w:cs="Calibri"/>
                <w:sz w:val="20"/>
                <w:szCs w:val="20"/>
              </w:rPr>
              <w:t xml:space="preserve">Chapter 3, </w:t>
            </w:r>
            <w:r w:rsidRPr="004C0868">
              <w:rPr>
                <w:rFonts w:ascii="Calibri" w:hAnsi="Calibri" w:cs="Calibri"/>
                <w:i/>
                <w:sz w:val="20"/>
                <w:szCs w:val="20"/>
              </w:rPr>
              <w:t>Estimated Financial Statements and Notes</w:t>
            </w:r>
          </w:p>
        </w:tc>
      </w:tr>
      <w:tr w:rsidR="00B32D50" w:rsidRPr="004C0868" w:rsidTr="00F17BCD">
        <w:trPr>
          <w:cantSplit/>
        </w:trPr>
        <w:tc>
          <w:tcPr>
            <w:tcW w:w="3904" w:type="dxa"/>
            <w:tcBorders>
              <w:top w:val="single" w:sz="6" w:space="0" w:color="BFBFBF" w:themeColor="background1" w:themeShade="BF"/>
              <w:bottom w:val="single" w:sz="6" w:space="0" w:color="BFBFBF" w:themeColor="background1" w:themeShade="BF"/>
            </w:tcBorders>
          </w:tcPr>
          <w:p w:rsidR="00B32D50" w:rsidRPr="004C0868" w:rsidRDefault="00B32D50" w:rsidP="00F17BCD">
            <w:pPr>
              <w:tabs>
                <w:tab w:val="left" w:pos="284"/>
              </w:tabs>
              <w:ind w:left="284" w:hanging="284"/>
              <w:rPr>
                <w:rFonts w:ascii="Calibri" w:hAnsi="Calibri" w:cs="Calibri"/>
                <w:sz w:val="20"/>
                <w:szCs w:val="20"/>
              </w:rPr>
            </w:pPr>
            <w:r>
              <w:rPr>
                <w:rFonts w:ascii="Calibri" w:hAnsi="Calibri" w:cs="Calibri"/>
                <w:sz w:val="20"/>
                <w:szCs w:val="20"/>
              </w:rPr>
              <w:t>(b)</w:t>
            </w:r>
            <w:r>
              <w:rPr>
                <w:rFonts w:ascii="Calibri" w:hAnsi="Calibri" w:cs="Calibri"/>
                <w:sz w:val="20"/>
                <w:szCs w:val="20"/>
              </w:rPr>
              <w:tab/>
            </w:r>
            <w:r w:rsidRPr="004C0868">
              <w:rPr>
                <w:rFonts w:ascii="Calibri" w:hAnsi="Calibri" w:cs="Calibri"/>
                <w:sz w:val="20"/>
                <w:szCs w:val="20"/>
              </w:rPr>
              <w:t>a statement of the material economic and other assumptions that have been used in preparing the updated statements;</w:t>
            </w:r>
          </w:p>
        </w:tc>
        <w:tc>
          <w:tcPr>
            <w:tcW w:w="3885" w:type="dxa"/>
            <w:tcBorders>
              <w:top w:val="single" w:sz="6" w:space="0" w:color="BFBFBF" w:themeColor="background1" w:themeShade="BF"/>
              <w:bottom w:val="single" w:sz="6" w:space="0" w:color="BFBFBF" w:themeColor="background1" w:themeShade="BF"/>
            </w:tcBorders>
          </w:tcPr>
          <w:p w:rsidR="00B32D50" w:rsidRPr="004C0868" w:rsidRDefault="00B32D50" w:rsidP="00F17BCD">
            <w:pPr>
              <w:rPr>
                <w:rFonts w:ascii="Calibri" w:hAnsi="Calibri" w:cs="Calibri"/>
                <w:sz w:val="20"/>
                <w:szCs w:val="20"/>
              </w:rPr>
            </w:pPr>
            <w:r w:rsidRPr="004C0868">
              <w:rPr>
                <w:rFonts w:ascii="Calibri" w:hAnsi="Calibri" w:cs="Calibri"/>
                <w:sz w:val="20"/>
                <w:szCs w:val="20"/>
              </w:rPr>
              <w:t xml:space="preserve">Chapter 1, </w:t>
            </w:r>
            <w:r w:rsidRPr="004C0868">
              <w:rPr>
                <w:rFonts w:ascii="Calibri" w:hAnsi="Calibri" w:cs="Calibri"/>
                <w:i/>
                <w:sz w:val="20"/>
                <w:szCs w:val="20"/>
              </w:rPr>
              <w:t>Economic conditions and outlook</w:t>
            </w:r>
            <w:r w:rsidRPr="004C0868">
              <w:rPr>
                <w:rFonts w:ascii="Calibri" w:hAnsi="Calibri" w:cs="Calibri"/>
                <w:sz w:val="20"/>
                <w:szCs w:val="20"/>
              </w:rPr>
              <w:t xml:space="preserve"> Chapter 2, </w:t>
            </w:r>
            <w:r w:rsidRPr="004C0868">
              <w:rPr>
                <w:rFonts w:ascii="Calibri" w:hAnsi="Calibri" w:cs="Calibri"/>
                <w:i/>
                <w:sz w:val="20"/>
                <w:szCs w:val="20"/>
              </w:rPr>
              <w:t>Budget position and outlook</w:t>
            </w:r>
            <w:r w:rsidRPr="004C0868">
              <w:rPr>
                <w:rFonts w:ascii="Calibri" w:hAnsi="Calibri" w:cs="Calibri"/>
                <w:sz w:val="20"/>
                <w:szCs w:val="20"/>
              </w:rPr>
              <w:t xml:space="preserve"> and Chapter 3, </w:t>
            </w:r>
            <w:r w:rsidRPr="004C0868">
              <w:rPr>
                <w:rFonts w:ascii="Calibri" w:hAnsi="Calibri" w:cs="Calibri"/>
                <w:i/>
                <w:sz w:val="20"/>
                <w:szCs w:val="20"/>
              </w:rPr>
              <w:t>Estimated Financial Statements and Notes</w:t>
            </w:r>
          </w:p>
        </w:tc>
      </w:tr>
      <w:tr w:rsidR="00B32D50" w:rsidRPr="004C0868" w:rsidTr="00F17BCD">
        <w:trPr>
          <w:cantSplit/>
        </w:trPr>
        <w:tc>
          <w:tcPr>
            <w:tcW w:w="3904" w:type="dxa"/>
            <w:tcBorders>
              <w:top w:val="single" w:sz="6" w:space="0" w:color="BFBFBF" w:themeColor="background1" w:themeShade="BF"/>
              <w:bottom w:val="single" w:sz="6" w:space="0" w:color="BFBFBF" w:themeColor="background1" w:themeShade="BF"/>
            </w:tcBorders>
          </w:tcPr>
          <w:p w:rsidR="00B32D50" w:rsidRPr="004C0868" w:rsidRDefault="00B32D50" w:rsidP="00F17BCD">
            <w:pPr>
              <w:tabs>
                <w:tab w:val="left" w:pos="284"/>
              </w:tabs>
              <w:ind w:left="284" w:hanging="284"/>
              <w:rPr>
                <w:rFonts w:ascii="Calibri" w:hAnsi="Calibri" w:cs="Calibri"/>
                <w:sz w:val="20"/>
                <w:szCs w:val="20"/>
              </w:rPr>
            </w:pPr>
            <w:r>
              <w:rPr>
                <w:rFonts w:ascii="Calibri" w:hAnsi="Calibri" w:cs="Calibri"/>
                <w:sz w:val="20"/>
                <w:szCs w:val="20"/>
              </w:rPr>
              <w:t>(c)</w:t>
            </w:r>
            <w:r>
              <w:rPr>
                <w:rFonts w:ascii="Calibri" w:hAnsi="Calibri" w:cs="Calibri"/>
                <w:sz w:val="20"/>
                <w:szCs w:val="20"/>
              </w:rPr>
              <w:tab/>
            </w:r>
            <w:r w:rsidRPr="004C0868">
              <w:rPr>
                <w:rFonts w:ascii="Calibri" w:hAnsi="Calibri" w:cs="Calibri"/>
                <w:sz w:val="20"/>
                <w:szCs w:val="20"/>
              </w:rPr>
              <w:t>discussion of the sensitivity of the updated statements to changes in those economic and other assumptions;</w:t>
            </w:r>
          </w:p>
        </w:tc>
        <w:tc>
          <w:tcPr>
            <w:tcW w:w="3885" w:type="dxa"/>
            <w:tcBorders>
              <w:top w:val="single" w:sz="6" w:space="0" w:color="BFBFBF" w:themeColor="background1" w:themeShade="BF"/>
              <w:bottom w:val="single" w:sz="6" w:space="0" w:color="BFBFBF" w:themeColor="background1" w:themeShade="BF"/>
            </w:tcBorders>
          </w:tcPr>
          <w:p w:rsidR="00B32D50" w:rsidRPr="004C0868" w:rsidRDefault="00B32D50" w:rsidP="00F17BCD">
            <w:pPr>
              <w:rPr>
                <w:rFonts w:ascii="Calibri" w:hAnsi="Calibri" w:cs="Calibri"/>
                <w:sz w:val="20"/>
                <w:szCs w:val="20"/>
              </w:rPr>
            </w:pPr>
            <w:r w:rsidRPr="004C0868">
              <w:rPr>
                <w:rFonts w:ascii="Calibri" w:hAnsi="Calibri" w:cs="Calibri"/>
                <w:sz w:val="20"/>
                <w:szCs w:val="20"/>
              </w:rPr>
              <w:t xml:space="preserve">Appendix B, </w:t>
            </w:r>
            <w:r>
              <w:rPr>
                <w:rFonts w:ascii="Calibri" w:hAnsi="Calibri" w:cs="Calibri"/>
                <w:i/>
                <w:sz w:val="20"/>
                <w:szCs w:val="20"/>
              </w:rPr>
              <w:t>Sensitivity analysis</w:t>
            </w:r>
          </w:p>
        </w:tc>
      </w:tr>
      <w:tr w:rsidR="00B32D50" w:rsidRPr="004C0868" w:rsidTr="00F17BCD">
        <w:trPr>
          <w:cantSplit/>
        </w:trPr>
        <w:tc>
          <w:tcPr>
            <w:tcW w:w="3904" w:type="dxa"/>
            <w:tcBorders>
              <w:top w:val="single" w:sz="6" w:space="0" w:color="BFBFBF" w:themeColor="background1" w:themeShade="BF"/>
              <w:bottom w:val="single" w:sz="6" w:space="0" w:color="BFBFBF" w:themeColor="background1" w:themeShade="BF"/>
            </w:tcBorders>
          </w:tcPr>
          <w:p w:rsidR="00B32D50" w:rsidRPr="004C0868" w:rsidRDefault="00B32D50" w:rsidP="00F17BCD">
            <w:pPr>
              <w:tabs>
                <w:tab w:val="left" w:pos="284"/>
              </w:tabs>
              <w:ind w:left="284" w:hanging="284"/>
              <w:rPr>
                <w:rFonts w:ascii="Calibri" w:hAnsi="Calibri" w:cs="Calibri"/>
                <w:sz w:val="20"/>
                <w:szCs w:val="20"/>
              </w:rPr>
            </w:pPr>
            <w:r>
              <w:rPr>
                <w:rFonts w:ascii="Calibri" w:hAnsi="Calibri" w:cs="Calibri"/>
                <w:sz w:val="20"/>
                <w:szCs w:val="20"/>
              </w:rPr>
              <w:t>(d)</w:t>
            </w:r>
            <w:r>
              <w:rPr>
                <w:rFonts w:ascii="Calibri" w:hAnsi="Calibri" w:cs="Calibri"/>
                <w:sz w:val="20"/>
                <w:szCs w:val="20"/>
              </w:rPr>
              <w:tab/>
            </w:r>
            <w:r w:rsidRPr="004C0868">
              <w:rPr>
                <w:rFonts w:ascii="Calibri" w:hAnsi="Calibri" w:cs="Calibri"/>
                <w:sz w:val="20"/>
                <w:szCs w:val="20"/>
              </w:rPr>
              <w:t>a statement of the risks, quantified where feasible, that may have a material effect on the updated statements, including:</w:t>
            </w:r>
          </w:p>
          <w:p w:rsidR="00B32D50" w:rsidRPr="004C0868" w:rsidRDefault="00B32D50" w:rsidP="00F17BCD">
            <w:pPr>
              <w:tabs>
                <w:tab w:val="left" w:pos="284"/>
              </w:tabs>
              <w:ind w:left="568" w:hanging="284"/>
              <w:rPr>
                <w:rFonts w:ascii="Calibri" w:hAnsi="Calibri" w:cs="Calibri"/>
                <w:sz w:val="20"/>
                <w:szCs w:val="20"/>
              </w:rPr>
            </w:pPr>
            <w:r>
              <w:rPr>
                <w:rFonts w:ascii="Calibri" w:hAnsi="Calibri" w:cs="Calibri"/>
                <w:sz w:val="20"/>
                <w:szCs w:val="20"/>
              </w:rPr>
              <w:t>(i)</w:t>
            </w:r>
            <w:r>
              <w:rPr>
                <w:rFonts w:ascii="Calibri" w:hAnsi="Calibri" w:cs="Calibri"/>
                <w:sz w:val="20"/>
                <w:szCs w:val="20"/>
              </w:rPr>
              <w:tab/>
            </w:r>
            <w:r w:rsidRPr="004C0868">
              <w:rPr>
                <w:rFonts w:ascii="Calibri" w:hAnsi="Calibri" w:cs="Calibri"/>
                <w:sz w:val="20"/>
                <w:szCs w:val="20"/>
              </w:rPr>
              <w:t>contingent liabilities; and</w:t>
            </w:r>
          </w:p>
          <w:p w:rsidR="00B32D50" w:rsidRPr="004C0868" w:rsidRDefault="00B32D50" w:rsidP="00F17BCD">
            <w:pPr>
              <w:tabs>
                <w:tab w:val="left" w:pos="284"/>
              </w:tabs>
              <w:ind w:left="568" w:hanging="284"/>
              <w:rPr>
                <w:rFonts w:ascii="Calibri" w:hAnsi="Calibri" w:cs="Calibri"/>
                <w:sz w:val="20"/>
                <w:szCs w:val="20"/>
              </w:rPr>
            </w:pPr>
            <w:r>
              <w:rPr>
                <w:rFonts w:ascii="Calibri" w:hAnsi="Calibri" w:cs="Calibri"/>
                <w:sz w:val="20"/>
                <w:szCs w:val="20"/>
              </w:rPr>
              <w:t>(ii)</w:t>
            </w:r>
            <w:r>
              <w:rPr>
                <w:rFonts w:ascii="Calibri" w:hAnsi="Calibri" w:cs="Calibri"/>
                <w:sz w:val="20"/>
                <w:szCs w:val="20"/>
              </w:rPr>
              <w:tab/>
            </w:r>
            <w:r w:rsidRPr="004C0868">
              <w:rPr>
                <w:rFonts w:ascii="Calibri" w:hAnsi="Calibri" w:cs="Calibri"/>
                <w:sz w:val="20"/>
                <w:szCs w:val="20"/>
              </w:rPr>
              <w:t>publicly announced Government commitments that are not yet included in the updated statements.</w:t>
            </w:r>
          </w:p>
        </w:tc>
        <w:tc>
          <w:tcPr>
            <w:tcW w:w="3885" w:type="dxa"/>
            <w:tcBorders>
              <w:top w:val="single" w:sz="6" w:space="0" w:color="BFBFBF" w:themeColor="background1" w:themeShade="BF"/>
              <w:bottom w:val="single" w:sz="6" w:space="0" w:color="BFBFBF" w:themeColor="background1" w:themeShade="BF"/>
            </w:tcBorders>
          </w:tcPr>
          <w:p w:rsidR="00B32D50" w:rsidRPr="004C0868" w:rsidRDefault="00B32D50" w:rsidP="00F17BCD">
            <w:pPr>
              <w:rPr>
                <w:rFonts w:ascii="Calibri" w:hAnsi="Calibri" w:cs="Calibri"/>
                <w:sz w:val="20"/>
                <w:szCs w:val="20"/>
              </w:rPr>
            </w:pPr>
            <w:r w:rsidRPr="004C0868">
              <w:rPr>
                <w:rFonts w:ascii="Calibri" w:hAnsi="Calibri" w:cs="Calibri"/>
                <w:sz w:val="20"/>
                <w:szCs w:val="20"/>
              </w:rPr>
              <w:t xml:space="preserve">Foreword, Chapter 1, </w:t>
            </w:r>
            <w:r w:rsidRPr="004C0868">
              <w:rPr>
                <w:rFonts w:ascii="Calibri" w:hAnsi="Calibri" w:cs="Calibri"/>
                <w:i/>
                <w:sz w:val="20"/>
                <w:szCs w:val="20"/>
              </w:rPr>
              <w:t>Economic conditions and outlook</w:t>
            </w:r>
            <w:r w:rsidRPr="004C0868">
              <w:rPr>
                <w:rFonts w:ascii="Calibri" w:hAnsi="Calibri" w:cs="Calibri"/>
                <w:sz w:val="20"/>
                <w:szCs w:val="20"/>
              </w:rPr>
              <w:t xml:space="preserve">, Chapter 2, </w:t>
            </w:r>
            <w:r w:rsidRPr="004C0868">
              <w:rPr>
                <w:rFonts w:ascii="Calibri" w:hAnsi="Calibri" w:cs="Calibri"/>
                <w:i/>
                <w:sz w:val="20"/>
                <w:szCs w:val="20"/>
              </w:rPr>
              <w:t>Budget position and outlook</w:t>
            </w:r>
            <w:r w:rsidRPr="004C0868">
              <w:rPr>
                <w:rFonts w:ascii="Calibri" w:hAnsi="Calibri" w:cs="Calibri"/>
                <w:sz w:val="20"/>
                <w:szCs w:val="20"/>
              </w:rPr>
              <w:t xml:space="preserve">, Chapter 3, </w:t>
            </w:r>
            <w:r w:rsidRPr="004C0868">
              <w:rPr>
                <w:rFonts w:ascii="Calibri" w:hAnsi="Calibri" w:cs="Calibri"/>
                <w:i/>
                <w:sz w:val="20"/>
                <w:szCs w:val="20"/>
              </w:rPr>
              <w:t>Estimated Financial Statements and Notes</w:t>
            </w:r>
            <w:r w:rsidRPr="004C0868">
              <w:rPr>
                <w:rFonts w:ascii="Calibri" w:hAnsi="Calibri" w:cs="Calibri"/>
                <w:sz w:val="20"/>
                <w:szCs w:val="20"/>
              </w:rPr>
              <w:t xml:space="preserve">, Chapter 4, </w:t>
            </w:r>
            <w:r w:rsidRPr="004C0868">
              <w:rPr>
                <w:rFonts w:ascii="Calibri" w:hAnsi="Calibri" w:cs="Calibri"/>
                <w:i/>
                <w:sz w:val="20"/>
                <w:szCs w:val="20"/>
              </w:rPr>
              <w:t>Contingent assets and contingent liabilities</w:t>
            </w:r>
          </w:p>
        </w:tc>
      </w:tr>
    </w:tbl>
    <w:bookmarkEnd w:id="149"/>
    <w:p w:rsidR="00B32D50" w:rsidRDefault="00B32D50" w:rsidP="00F17BCD">
      <w:pPr>
        <w:pStyle w:val="TableHeading"/>
      </w:pPr>
      <w:r w:rsidRPr="001F0290">
        <w:lastRenderedPageBreak/>
        <w:t>Table C.1:</w:t>
      </w:r>
      <w:r w:rsidRPr="001F0290">
        <w:tab/>
        <w:t xml:space="preserve">Statements required by the </w:t>
      </w:r>
      <w:r w:rsidRPr="000A2184">
        <w:rPr>
          <w:i/>
        </w:rPr>
        <w:t>Financial Management Act 1994</w:t>
      </w:r>
      <w:r w:rsidRPr="001F0290">
        <w:t xml:space="preserve"> and their location in the </w:t>
      </w:r>
      <w:r w:rsidRPr="000A2184">
        <w:rPr>
          <w:i/>
        </w:rPr>
        <w:t>2018 Victorian Pre</w:t>
      </w:r>
      <w:r w:rsidRPr="000A2184">
        <w:rPr>
          <w:i/>
        </w:rPr>
        <w:noBreakHyphen/>
        <w:t>Election Budget Update</w:t>
      </w:r>
      <w:r>
        <w:t xml:space="preserve"> </w:t>
      </w:r>
      <w:r w:rsidRPr="000A2184">
        <w:rPr>
          <w:i/>
        </w:rPr>
        <w:t>(continued)</w:t>
      </w:r>
    </w:p>
    <w:tbl>
      <w:tblPr>
        <w:tblW w:w="0" w:type="auto"/>
        <w:tblCellMar>
          <w:left w:w="43" w:type="dxa"/>
          <w:right w:w="43" w:type="dxa"/>
        </w:tblCellMar>
        <w:tblLook w:val="01E0" w:firstRow="1" w:lastRow="1" w:firstColumn="1" w:lastColumn="1" w:noHBand="0" w:noVBand="0"/>
      </w:tblPr>
      <w:tblGrid>
        <w:gridCol w:w="3904"/>
        <w:gridCol w:w="3885"/>
      </w:tblGrid>
      <w:tr w:rsidR="00B32D50" w:rsidRPr="004C0868" w:rsidTr="00F17BCD">
        <w:trPr>
          <w:cantSplit/>
          <w:tblHeader/>
        </w:trPr>
        <w:tc>
          <w:tcPr>
            <w:tcW w:w="3904" w:type="dxa"/>
            <w:tcBorders>
              <w:top w:val="single" w:sz="6" w:space="0" w:color="auto"/>
              <w:left w:val="single" w:sz="6" w:space="0" w:color="auto"/>
              <w:bottom w:val="single" w:sz="6" w:space="0" w:color="auto"/>
            </w:tcBorders>
            <w:shd w:val="clear" w:color="auto" w:fill="000000"/>
          </w:tcPr>
          <w:p w:rsidR="00B32D50" w:rsidRPr="00F06D8A" w:rsidRDefault="00B32D50" w:rsidP="00F17BCD">
            <w:pPr>
              <w:rPr>
                <w:rFonts w:ascii="Calibri" w:hAnsi="Calibri" w:cs="Calibri"/>
                <w:i/>
                <w:sz w:val="20"/>
                <w:szCs w:val="20"/>
              </w:rPr>
            </w:pPr>
            <w:bookmarkStart w:id="150" w:name="_Hlk528164988"/>
            <w:r w:rsidRPr="00F06D8A">
              <w:rPr>
                <w:rFonts w:ascii="Calibri" w:hAnsi="Calibri" w:cs="Calibri"/>
                <w:i/>
                <w:sz w:val="20"/>
                <w:szCs w:val="20"/>
              </w:rPr>
              <w:t xml:space="preserve">Relevant section of the Act and </w:t>
            </w:r>
            <w:r w:rsidRPr="00F06D8A">
              <w:rPr>
                <w:rFonts w:ascii="Calibri" w:hAnsi="Calibri" w:cs="Calibri"/>
                <w:i/>
                <w:sz w:val="20"/>
                <w:szCs w:val="20"/>
              </w:rPr>
              <w:br/>
              <w:t>corresponding requirement</w:t>
            </w:r>
          </w:p>
        </w:tc>
        <w:tc>
          <w:tcPr>
            <w:tcW w:w="3885" w:type="dxa"/>
            <w:tcBorders>
              <w:top w:val="single" w:sz="6" w:space="0" w:color="auto"/>
              <w:bottom w:val="single" w:sz="6" w:space="0" w:color="auto"/>
              <w:right w:val="single" w:sz="6" w:space="0" w:color="auto"/>
            </w:tcBorders>
            <w:shd w:val="clear" w:color="auto" w:fill="000000"/>
            <w:vAlign w:val="bottom"/>
          </w:tcPr>
          <w:p w:rsidR="00B32D50" w:rsidRPr="00F06D8A" w:rsidRDefault="00B32D50" w:rsidP="00F17BCD">
            <w:pPr>
              <w:rPr>
                <w:rFonts w:ascii="Calibri" w:hAnsi="Calibri" w:cs="Calibri"/>
                <w:i/>
                <w:sz w:val="20"/>
                <w:szCs w:val="20"/>
              </w:rPr>
            </w:pPr>
            <w:r w:rsidRPr="00F06D8A">
              <w:rPr>
                <w:rFonts w:ascii="Calibri" w:hAnsi="Calibri" w:cs="Calibri"/>
                <w:i/>
                <w:sz w:val="20"/>
                <w:szCs w:val="20"/>
              </w:rPr>
              <w:t>Location</w:t>
            </w:r>
          </w:p>
        </w:tc>
      </w:tr>
      <w:tr w:rsidR="00B32D50" w:rsidRPr="004C0868" w:rsidTr="00F17BCD">
        <w:trPr>
          <w:cantSplit/>
        </w:trPr>
        <w:tc>
          <w:tcPr>
            <w:tcW w:w="3904" w:type="dxa"/>
            <w:tcBorders>
              <w:top w:val="single" w:sz="6" w:space="0" w:color="BFBFBF" w:themeColor="background1" w:themeShade="BF"/>
              <w:bottom w:val="single" w:sz="6" w:space="0" w:color="BFBFBF" w:themeColor="background1" w:themeShade="BF"/>
            </w:tcBorders>
          </w:tcPr>
          <w:p w:rsidR="00B32D50" w:rsidRPr="000A2184" w:rsidRDefault="00B32D50" w:rsidP="00F17BCD">
            <w:pPr>
              <w:tabs>
                <w:tab w:val="left" w:pos="284"/>
              </w:tabs>
              <w:ind w:left="284" w:hanging="284"/>
              <w:rPr>
                <w:rFonts w:ascii="Calibri" w:hAnsi="Calibri" w:cs="Calibri"/>
                <w:b/>
                <w:sz w:val="20"/>
                <w:szCs w:val="20"/>
              </w:rPr>
            </w:pPr>
            <w:r w:rsidRPr="000A2184">
              <w:rPr>
                <w:rFonts w:ascii="Calibri" w:hAnsi="Calibri" w:cs="Calibri"/>
                <w:b/>
                <w:sz w:val="20"/>
                <w:szCs w:val="20"/>
              </w:rPr>
              <w:t>Section 27B(2)</w:t>
            </w:r>
          </w:p>
          <w:p w:rsidR="00B32D50" w:rsidRPr="004C0868" w:rsidRDefault="00B32D50" w:rsidP="00F17BCD">
            <w:pPr>
              <w:tabs>
                <w:tab w:val="left" w:pos="284"/>
              </w:tabs>
              <w:rPr>
                <w:rFonts w:ascii="Calibri" w:hAnsi="Calibri" w:cs="Calibri"/>
                <w:sz w:val="20"/>
                <w:szCs w:val="20"/>
              </w:rPr>
            </w:pPr>
            <w:r w:rsidRPr="004C0868">
              <w:rPr>
                <w:rFonts w:ascii="Calibri" w:hAnsi="Calibri" w:cs="Calibri"/>
                <w:sz w:val="20"/>
                <w:szCs w:val="20"/>
              </w:rPr>
              <w:t>The information in a pre</w:t>
            </w:r>
            <w:r w:rsidRPr="004C0868">
              <w:rPr>
                <w:rFonts w:ascii="Calibri" w:hAnsi="Calibri" w:cs="Calibri"/>
                <w:sz w:val="20"/>
                <w:szCs w:val="20"/>
              </w:rPr>
              <w:noBreakHyphen/>
              <w:t>election budget update must take into account, to the fullest extent possible, all Government decisions and all other circumstances that may have a material effect on the estimated financial statements.</w:t>
            </w:r>
          </w:p>
        </w:tc>
        <w:tc>
          <w:tcPr>
            <w:tcW w:w="3885" w:type="dxa"/>
            <w:tcBorders>
              <w:top w:val="single" w:sz="6" w:space="0" w:color="BFBFBF" w:themeColor="background1" w:themeShade="BF"/>
              <w:bottom w:val="single" w:sz="6" w:space="0" w:color="BFBFBF" w:themeColor="background1" w:themeShade="BF"/>
            </w:tcBorders>
          </w:tcPr>
          <w:p w:rsidR="00B32D50" w:rsidRPr="004C0868" w:rsidRDefault="00B32D50" w:rsidP="00F17BCD">
            <w:pPr>
              <w:rPr>
                <w:rFonts w:ascii="Calibri" w:hAnsi="Calibri" w:cs="Calibri"/>
                <w:sz w:val="20"/>
                <w:szCs w:val="20"/>
              </w:rPr>
            </w:pPr>
            <w:r w:rsidRPr="004C0868">
              <w:rPr>
                <w:rFonts w:ascii="Calibri" w:hAnsi="Calibri" w:cs="Calibri"/>
                <w:sz w:val="20"/>
                <w:szCs w:val="20"/>
              </w:rPr>
              <w:t xml:space="preserve">Appendix A, </w:t>
            </w:r>
            <w:r w:rsidRPr="004C0868">
              <w:rPr>
                <w:rFonts w:ascii="Calibri" w:hAnsi="Calibri" w:cs="Calibri"/>
                <w:i/>
                <w:sz w:val="20"/>
                <w:szCs w:val="20"/>
              </w:rPr>
              <w:t>Specific policy initiatives affecting the budget position</w:t>
            </w:r>
          </w:p>
        </w:tc>
      </w:tr>
      <w:tr w:rsidR="00B32D50" w:rsidRPr="004C0868" w:rsidTr="00F17BCD">
        <w:trPr>
          <w:cantSplit/>
        </w:trPr>
        <w:tc>
          <w:tcPr>
            <w:tcW w:w="3904" w:type="dxa"/>
            <w:tcBorders>
              <w:top w:val="single" w:sz="6" w:space="0" w:color="BFBFBF" w:themeColor="background1" w:themeShade="BF"/>
              <w:bottom w:val="single" w:sz="12" w:space="0" w:color="auto"/>
            </w:tcBorders>
          </w:tcPr>
          <w:p w:rsidR="00B32D50" w:rsidRPr="000A2184" w:rsidRDefault="00B32D50" w:rsidP="00F17BCD">
            <w:pPr>
              <w:tabs>
                <w:tab w:val="left" w:pos="284"/>
              </w:tabs>
              <w:ind w:left="284" w:hanging="284"/>
              <w:rPr>
                <w:rFonts w:ascii="Calibri" w:hAnsi="Calibri" w:cs="Calibri"/>
                <w:b/>
                <w:sz w:val="20"/>
                <w:szCs w:val="20"/>
              </w:rPr>
            </w:pPr>
            <w:r w:rsidRPr="000A2184">
              <w:rPr>
                <w:rFonts w:ascii="Calibri" w:hAnsi="Calibri" w:cs="Calibri"/>
                <w:b/>
                <w:sz w:val="20"/>
                <w:szCs w:val="20"/>
              </w:rPr>
              <w:t>Section 27B(3)</w:t>
            </w:r>
          </w:p>
          <w:p w:rsidR="00B32D50" w:rsidRPr="004C0868" w:rsidRDefault="00B32D50" w:rsidP="00F17BCD">
            <w:pPr>
              <w:tabs>
                <w:tab w:val="left" w:pos="284"/>
              </w:tabs>
              <w:rPr>
                <w:rFonts w:ascii="Calibri" w:hAnsi="Calibri" w:cs="Calibri"/>
                <w:sz w:val="20"/>
                <w:szCs w:val="20"/>
              </w:rPr>
            </w:pPr>
            <w:r w:rsidRPr="004C0868">
              <w:rPr>
                <w:rFonts w:ascii="Calibri" w:hAnsi="Calibri" w:cs="Calibri"/>
                <w:sz w:val="20"/>
                <w:szCs w:val="20"/>
              </w:rPr>
              <w:t>A pre</w:t>
            </w:r>
            <w:r w:rsidRPr="004C0868">
              <w:rPr>
                <w:rFonts w:ascii="Calibri" w:hAnsi="Calibri" w:cs="Calibri"/>
                <w:sz w:val="20"/>
                <w:szCs w:val="20"/>
              </w:rPr>
              <w:noBreakHyphen/>
              <w:t>election budget update must be prepared on a basis consistent with:</w:t>
            </w:r>
          </w:p>
          <w:p w:rsidR="00B32D50" w:rsidRPr="004C0868" w:rsidRDefault="00B32D50" w:rsidP="00F17BCD">
            <w:pPr>
              <w:tabs>
                <w:tab w:val="left" w:pos="284"/>
              </w:tabs>
              <w:ind w:left="284" w:hanging="284"/>
              <w:rPr>
                <w:rFonts w:ascii="Calibri" w:hAnsi="Calibri" w:cs="Calibri"/>
                <w:sz w:val="20"/>
                <w:szCs w:val="20"/>
              </w:rPr>
            </w:pPr>
            <w:r>
              <w:rPr>
                <w:rFonts w:ascii="Calibri" w:hAnsi="Calibri" w:cs="Calibri"/>
                <w:sz w:val="20"/>
                <w:szCs w:val="20"/>
              </w:rPr>
              <w:t>(a)</w:t>
            </w:r>
            <w:r>
              <w:rPr>
                <w:rFonts w:ascii="Calibri" w:hAnsi="Calibri" w:cs="Calibri"/>
                <w:sz w:val="20"/>
                <w:szCs w:val="20"/>
              </w:rPr>
              <w:tab/>
            </w:r>
            <w:r w:rsidRPr="004C0868">
              <w:rPr>
                <w:rFonts w:ascii="Calibri" w:hAnsi="Calibri" w:cs="Calibri"/>
                <w:sz w:val="20"/>
                <w:szCs w:val="20"/>
              </w:rPr>
              <w:t>the current financial policy objectives and strategies statement; and</w:t>
            </w:r>
          </w:p>
          <w:p w:rsidR="00B32D50" w:rsidRPr="004C0868" w:rsidRDefault="00B32D50" w:rsidP="00F17BCD">
            <w:pPr>
              <w:tabs>
                <w:tab w:val="left" w:pos="284"/>
              </w:tabs>
              <w:ind w:left="284" w:hanging="284"/>
              <w:rPr>
                <w:rFonts w:ascii="Calibri" w:hAnsi="Calibri" w:cs="Calibri"/>
                <w:sz w:val="20"/>
                <w:szCs w:val="20"/>
              </w:rPr>
            </w:pPr>
            <w:r>
              <w:rPr>
                <w:rFonts w:ascii="Calibri" w:hAnsi="Calibri" w:cs="Calibri"/>
                <w:sz w:val="20"/>
                <w:szCs w:val="20"/>
              </w:rPr>
              <w:t>(b)</w:t>
            </w:r>
            <w:r>
              <w:rPr>
                <w:rFonts w:ascii="Calibri" w:hAnsi="Calibri" w:cs="Calibri"/>
                <w:sz w:val="20"/>
                <w:szCs w:val="20"/>
              </w:rPr>
              <w:tab/>
            </w:r>
            <w:r w:rsidRPr="004C0868">
              <w:rPr>
                <w:rFonts w:ascii="Calibri" w:hAnsi="Calibri" w:cs="Calibri"/>
                <w:sz w:val="20"/>
                <w:szCs w:val="20"/>
              </w:rPr>
              <w:t>the most recent estimated financial statements or budget update, as applicable.</w:t>
            </w:r>
          </w:p>
        </w:tc>
        <w:tc>
          <w:tcPr>
            <w:tcW w:w="3885" w:type="dxa"/>
            <w:tcBorders>
              <w:top w:val="single" w:sz="6" w:space="0" w:color="BFBFBF" w:themeColor="background1" w:themeShade="BF"/>
              <w:bottom w:val="single" w:sz="12" w:space="0" w:color="auto"/>
            </w:tcBorders>
          </w:tcPr>
          <w:p w:rsidR="00B32D50" w:rsidRPr="004C0868" w:rsidRDefault="00B32D50" w:rsidP="00F17BCD">
            <w:pPr>
              <w:rPr>
                <w:rFonts w:ascii="Calibri" w:hAnsi="Calibri" w:cs="Calibri"/>
                <w:sz w:val="20"/>
                <w:szCs w:val="20"/>
              </w:rPr>
            </w:pPr>
            <w:r w:rsidRPr="004C0868">
              <w:rPr>
                <w:rFonts w:ascii="Calibri" w:hAnsi="Calibri" w:cs="Calibri"/>
                <w:sz w:val="20"/>
                <w:szCs w:val="20"/>
              </w:rPr>
              <w:t xml:space="preserve">Chapter 1, </w:t>
            </w:r>
            <w:r w:rsidRPr="004C0868">
              <w:rPr>
                <w:rFonts w:ascii="Calibri" w:hAnsi="Calibri" w:cs="Calibri"/>
                <w:i/>
                <w:sz w:val="20"/>
                <w:szCs w:val="20"/>
              </w:rPr>
              <w:t>Economic conditions and outlook</w:t>
            </w:r>
            <w:r w:rsidRPr="004C0868">
              <w:rPr>
                <w:rFonts w:ascii="Calibri" w:hAnsi="Calibri" w:cs="Calibri"/>
                <w:sz w:val="20"/>
                <w:szCs w:val="20"/>
              </w:rPr>
              <w:t xml:space="preserve"> Chapter 2, </w:t>
            </w:r>
            <w:r w:rsidRPr="004C0868">
              <w:rPr>
                <w:rFonts w:ascii="Calibri" w:hAnsi="Calibri" w:cs="Calibri"/>
                <w:i/>
                <w:sz w:val="20"/>
                <w:szCs w:val="20"/>
              </w:rPr>
              <w:t>Budget position and outlook</w:t>
            </w:r>
            <w:r w:rsidRPr="004C0868">
              <w:rPr>
                <w:rFonts w:ascii="Calibri" w:hAnsi="Calibri" w:cs="Calibri"/>
                <w:sz w:val="20"/>
                <w:szCs w:val="20"/>
              </w:rPr>
              <w:t xml:space="preserve"> and Chapter 3, </w:t>
            </w:r>
            <w:r w:rsidRPr="004C0868">
              <w:rPr>
                <w:rFonts w:ascii="Calibri" w:hAnsi="Calibri" w:cs="Calibri"/>
                <w:i/>
                <w:sz w:val="20"/>
                <w:szCs w:val="20"/>
              </w:rPr>
              <w:t>Estimated Financial Statements and Notes</w:t>
            </w:r>
          </w:p>
        </w:tc>
      </w:tr>
    </w:tbl>
    <w:p w:rsidR="00B32D50" w:rsidRPr="004C0868" w:rsidRDefault="00B32D50" w:rsidP="00F17BCD"/>
    <w:bookmarkEnd w:id="150"/>
    <w:p w:rsidR="00B32D50" w:rsidRDefault="00B32D50" w:rsidP="00F17BCD">
      <w:pPr>
        <w:sectPr w:rsidR="00B32D50" w:rsidSect="00F17BCD">
          <w:headerReference w:type="even" r:id="rId80"/>
          <w:headerReference w:type="default" r:id="rId81"/>
          <w:footerReference w:type="even" r:id="rId82"/>
          <w:footerReference w:type="default" r:id="rId83"/>
          <w:headerReference w:type="first" r:id="rId84"/>
          <w:footerReference w:type="first" r:id="rId85"/>
          <w:type w:val="continuous"/>
          <w:pgSz w:w="9979" w:h="14175" w:code="9"/>
          <w:pgMar w:top="850" w:right="1134" w:bottom="850" w:left="1134" w:header="624" w:footer="567" w:gutter="0"/>
          <w:cols w:sep="1" w:space="567"/>
          <w:docGrid w:linePitch="360"/>
        </w:sectPr>
      </w:pPr>
    </w:p>
    <w:p w:rsidR="00B32D50" w:rsidRDefault="00B32D50" w:rsidP="000C43CD">
      <w:pPr>
        <w:pStyle w:val="Chapterheading"/>
      </w:pPr>
      <w:bookmarkStart w:id="151" w:name="_Toc528864787"/>
      <w:r>
        <w:lastRenderedPageBreak/>
        <w:t>Style conventions</w:t>
      </w:r>
      <w:bookmarkEnd w:id="151"/>
    </w:p>
    <w:p w:rsidR="00735AAB" w:rsidRPr="0009665B" w:rsidRDefault="00735AAB" w:rsidP="00735AAB">
      <w:r w:rsidRPr="0009665B">
        <w:t>Figures in the tables and in the text have been rounded. Discrepancies in tables between totals and sums of components reflect rounding. Percentage changes in all tables are based on the underlying unrounded amounts.</w:t>
      </w:r>
    </w:p>
    <w:p w:rsidR="00735AAB" w:rsidRPr="0009665B" w:rsidRDefault="00735AAB" w:rsidP="00735AAB">
      <w:r w:rsidRPr="0009665B">
        <w:t>The notation used in the tables and charts is as follows:</w:t>
      </w:r>
    </w:p>
    <w:p w:rsidR="00735AAB" w:rsidRPr="0009665B" w:rsidRDefault="00735AAB" w:rsidP="00735AAB">
      <w:pPr>
        <w:ind w:left="2520" w:hanging="1800"/>
      </w:pPr>
      <w:r w:rsidRPr="0009665B">
        <w:t>n.a. or na</w:t>
      </w:r>
      <w:r w:rsidRPr="0009665B">
        <w:tab/>
        <w:t>not available or not applicable</w:t>
      </w:r>
    </w:p>
    <w:p w:rsidR="00735AAB" w:rsidRPr="0009665B" w:rsidRDefault="00735AAB" w:rsidP="00735AAB">
      <w:pPr>
        <w:ind w:left="2520" w:hanging="1800"/>
      </w:pPr>
      <w:r w:rsidRPr="0009665B">
        <w:t>1</w:t>
      </w:r>
      <w:r>
        <w:t> billion</w:t>
      </w:r>
      <w:r w:rsidRPr="0009665B">
        <w:tab/>
        <w:t>1 000</w:t>
      </w:r>
      <w:r>
        <w:t> million</w:t>
      </w:r>
    </w:p>
    <w:p w:rsidR="00735AAB" w:rsidRPr="0009665B" w:rsidRDefault="00735AAB" w:rsidP="00735AAB">
      <w:pPr>
        <w:ind w:left="2520" w:hanging="1800"/>
      </w:pPr>
      <w:r w:rsidRPr="0009665B">
        <w:t>1 basis point</w:t>
      </w:r>
      <w:r w:rsidRPr="0009665B">
        <w:tab/>
        <w:t>0.01</w:t>
      </w:r>
      <w:r>
        <w:t> per cent</w:t>
      </w:r>
    </w:p>
    <w:p w:rsidR="00735AAB" w:rsidRPr="0009665B" w:rsidRDefault="00735AAB" w:rsidP="00735AAB">
      <w:pPr>
        <w:ind w:left="2520" w:hanging="1800"/>
      </w:pPr>
      <w:r w:rsidRPr="0009665B">
        <w:t>..</w:t>
      </w:r>
      <w:r w:rsidRPr="0009665B">
        <w:tab/>
        <w:t>zero, or rounded to zero</w:t>
      </w:r>
    </w:p>
    <w:p w:rsidR="00735AAB" w:rsidRPr="0009665B" w:rsidRDefault="00735AAB" w:rsidP="00735AAB">
      <w:pPr>
        <w:ind w:left="2520" w:hanging="1800"/>
      </w:pPr>
      <w:r w:rsidRPr="0009665B">
        <w:t>tb</w:t>
      </w:r>
      <w:r>
        <w:t>c</w:t>
      </w:r>
      <w:r w:rsidRPr="0009665B">
        <w:tab/>
        <w:t xml:space="preserve">to be </w:t>
      </w:r>
      <w:r>
        <w:t>confirmed</w:t>
      </w:r>
    </w:p>
    <w:p w:rsidR="00735AAB" w:rsidRPr="0009665B" w:rsidRDefault="00735AAB" w:rsidP="00735AAB">
      <w:pPr>
        <w:ind w:left="2520" w:hanging="1800"/>
      </w:pPr>
      <w:r w:rsidRPr="0009665B">
        <w:t>ongoing</w:t>
      </w:r>
      <w:r w:rsidRPr="0009665B">
        <w:tab/>
        <w:t>continuing output, program, project etc.</w:t>
      </w:r>
    </w:p>
    <w:p w:rsidR="00735AAB" w:rsidRDefault="00735AAB" w:rsidP="00735AAB">
      <w:pPr>
        <w:ind w:left="2520" w:hanging="1800"/>
      </w:pPr>
      <w:r w:rsidRPr="0009665B">
        <w:t>(</w:t>
      </w:r>
      <w:r>
        <w:t xml:space="preserve">x </w:t>
      </w:r>
      <w:r w:rsidRPr="0009665B">
        <w:t>xxx.x)</w:t>
      </w:r>
      <w:r w:rsidRPr="0009665B">
        <w:tab/>
        <w:t xml:space="preserve">negative </w:t>
      </w:r>
      <w:r>
        <w:t>amount</w:t>
      </w:r>
    </w:p>
    <w:p w:rsidR="00735AAB" w:rsidRDefault="00735AAB" w:rsidP="00735AAB">
      <w:pPr>
        <w:ind w:left="2520" w:hanging="1800"/>
      </w:pPr>
      <w:r>
        <w:t>x xxx.0</w:t>
      </w:r>
      <w:r>
        <w:tab/>
        <w:t>rounded amount</w:t>
      </w:r>
    </w:p>
    <w:p w:rsidR="00735AAB" w:rsidRPr="0009665B" w:rsidRDefault="00735AAB" w:rsidP="00735AAB">
      <w:pPr>
        <w:ind w:left="2520" w:hanging="1800"/>
      </w:pPr>
    </w:p>
    <w:p w:rsidR="00735AAB" w:rsidRDefault="00735AAB" w:rsidP="00735AAB"/>
    <w:p w:rsidR="00735AAB" w:rsidRPr="00C47FE8" w:rsidRDefault="00735AAB" w:rsidP="00735AAB">
      <w:pPr>
        <w:rPr>
          <w:color w:val="000000" w:themeColor="text1"/>
        </w:rPr>
      </w:pPr>
      <w:r w:rsidRPr="00C47FE8">
        <w:rPr>
          <w:color w:val="000000" w:themeColor="text1"/>
        </w:rPr>
        <w:t xml:space="preserve">Please refer to the </w:t>
      </w:r>
      <w:r w:rsidRPr="00C47FE8">
        <w:rPr>
          <w:b/>
          <w:color w:val="000000" w:themeColor="text1"/>
        </w:rPr>
        <w:t xml:space="preserve">Treasury and Finance glossary for budget and financial reports </w:t>
      </w:r>
      <w:r w:rsidRPr="00C47FE8">
        <w:rPr>
          <w:b/>
          <w:color w:val="000000" w:themeColor="text1"/>
        </w:rPr>
        <w:br/>
      </w:r>
      <w:r w:rsidRPr="00C47FE8">
        <w:rPr>
          <w:color w:val="000000" w:themeColor="text1"/>
        </w:rPr>
        <w:t xml:space="preserve">at </w:t>
      </w:r>
      <w:r w:rsidRPr="008F606B">
        <w:t>dtf.vic.gov.au</w:t>
      </w:r>
      <w:r w:rsidRPr="00C47FE8">
        <w:rPr>
          <w:color w:val="000000" w:themeColor="text1"/>
        </w:rPr>
        <w:t xml:space="preserve"> for additional terms and references.</w:t>
      </w:r>
    </w:p>
    <w:p w:rsidR="00735AAB" w:rsidRDefault="00735AAB" w:rsidP="00735AAB"/>
    <w:p w:rsidR="00B32D50" w:rsidRDefault="00B32D50">
      <w:pPr>
        <w:keepLines w:val="0"/>
      </w:pPr>
    </w:p>
    <w:p w:rsidR="00B32D50" w:rsidRDefault="00B32D50" w:rsidP="004419CD">
      <w:pPr>
        <w:sectPr w:rsidR="00B32D50" w:rsidSect="00F17BCD">
          <w:headerReference w:type="even" r:id="rId86"/>
          <w:headerReference w:type="default" r:id="rId87"/>
          <w:footerReference w:type="even" r:id="rId88"/>
          <w:footerReference w:type="default" r:id="rId89"/>
          <w:headerReference w:type="first" r:id="rId90"/>
          <w:footerReference w:type="first" r:id="rId91"/>
          <w:type w:val="continuous"/>
          <w:pgSz w:w="9979" w:h="14175" w:code="9"/>
          <w:pgMar w:top="850" w:right="1134" w:bottom="850" w:left="1134" w:header="624" w:footer="567" w:gutter="0"/>
          <w:cols w:sep="1" w:space="567"/>
          <w:docGrid w:linePitch="360"/>
        </w:sectPr>
      </w:pPr>
    </w:p>
    <w:p w:rsidR="006D735A" w:rsidRDefault="00F8108F" w:rsidP="00B32D50">
      <w:r>
        <w:rPr>
          <w:noProof/>
        </w:rPr>
        <w:lastRenderedPageBreak/>
        <w:drawing>
          <wp:anchor distT="0" distB="0" distL="114300" distR="114300" simplePos="0" relativeHeight="251660288" behindDoc="0" locked="0" layoutInCell="1" allowOverlap="1">
            <wp:simplePos x="0" y="0"/>
            <wp:positionH relativeFrom="column">
              <wp:posOffset>-722630</wp:posOffset>
            </wp:positionH>
            <wp:positionV relativeFrom="paragraph">
              <wp:posOffset>-754380</wp:posOffset>
            </wp:positionV>
            <wp:extent cx="6355715" cy="9029700"/>
            <wp:effectExtent l="0" t="0" r="6985" b="0"/>
            <wp:wrapTopAndBottom/>
            <wp:docPr id="9" name="Picture 9" descr="If you would like to receive this publication in an accessible format please telephone 03 9651 1600 or email information@dtf.vic.gov.au &#10;&#10;This document is also available in Word and pdf format at dtf.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BU cover6.png"/>
                    <pic:cNvPicPr/>
                  </pic:nvPicPr>
                  <pic:blipFill>
                    <a:blip r:embed="rId92">
                      <a:extLst>
                        <a:ext uri="{28A0092B-C50C-407E-A947-70E740481C1C}">
                          <a14:useLocalDpi xmlns:a14="http://schemas.microsoft.com/office/drawing/2010/main" val="0"/>
                        </a:ext>
                      </a:extLst>
                    </a:blip>
                    <a:stretch>
                      <a:fillRect/>
                    </a:stretch>
                  </pic:blipFill>
                  <pic:spPr>
                    <a:xfrm>
                      <a:off x="0" y="0"/>
                      <a:ext cx="6355715" cy="9029700"/>
                    </a:xfrm>
                    <a:prstGeom prst="rect">
                      <a:avLst/>
                    </a:prstGeom>
                  </pic:spPr>
                </pic:pic>
              </a:graphicData>
            </a:graphic>
            <wp14:sizeRelH relativeFrom="page">
              <wp14:pctWidth>0</wp14:pctWidth>
            </wp14:sizeRelH>
            <wp14:sizeRelV relativeFrom="page">
              <wp14:pctHeight>0</wp14:pctHeight>
            </wp14:sizeRelV>
          </wp:anchor>
        </w:drawing>
      </w:r>
    </w:p>
    <w:p w:rsidR="00F8108F" w:rsidRPr="008416B3" w:rsidRDefault="00F8108F" w:rsidP="00B32D50">
      <w:r>
        <w:rPr>
          <w:noProof/>
        </w:rPr>
        <w:lastRenderedPageBreak/>
        <w:drawing>
          <wp:anchor distT="0" distB="0" distL="114300" distR="114300" simplePos="0" relativeHeight="251661312" behindDoc="0" locked="0" layoutInCell="1" allowOverlap="1">
            <wp:simplePos x="0" y="0"/>
            <wp:positionH relativeFrom="column">
              <wp:posOffset>-722630</wp:posOffset>
            </wp:positionH>
            <wp:positionV relativeFrom="paragraph">
              <wp:posOffset>-754380</wp:posOffset>
            </wp:positionV>
            <wp:extent cx="6355715" cy="9029700"/>
            <wp:effectExtent l="0" t="0" r="6985" b="0"/>
            <wp:wrapTopAndBottom/>
            <wp:docPr id="11" name="Picture 11" descr="Back cover image. 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BU cover.png"/>
                    <pic:cNvPicPr/>
                  </pic:nvPicPr>
                  <pic:blipFill>
                    <a:blip r:embed="rId93">
                      <a:extLst>
                        <a:ext uri="{28A0092B-C50C-407E-A947-70E740481C1C}">
                          <a14:useLocalDpi xmlns:a14="http://schemas.microsoft.com/office/drawing/2010/main" val="0"/>
                        </a:ext>
                      </a:extLst>
                    </a:blip>
                    <a:stretch>
                      <a:fillRect/>
                    </a:stretch>
                  </pic:blipFill>
                  <pic:spPr>
                    <a:xfrm>
                      <a:off x="0" y="0"/>
                      <a:ext cx="6355715" cy="9029700"/>
                    </a:xfrm>
                    <a:prstGeom prst="rect">
                      <a:avLst/>
                    </a:prstGeom>
                  </pic:spPr>
                </pic:pic>
              </a:graphicData>
            </a:graphic>
            <wp14:sizeRelH relativeFrom="page">
              <wp14:pctWidth>0</wp14:pctWidth>
            </wp14:sizeRelH>
            <wp14:sizeRelV relativeFrom="page">
              <wp14:pctHeight>0</wp14:pctHeight>
            </wp14:sizeRelV>
          </wp:anchor>
        </w:drawing>
      </w:r>
    </w:p>
    <w:sectPr w:rsidR="00F8108F" w:rsidRPr="008416B3" w:rsidSect="00F8108F">
      <w:headerReference w:type="even" r:id="rId94"/>
      <w:headerReference w:type="default" r:id="rId95"/>
      <w:footerReference w:type="even" r:id="rId96"/>
      <w:footerReference w:type="default" r:id="rId97"/>
      <w:type w:val="oddPage"/>
      <w:pgSz w:w="9979" w:h="14175" w:code="34"/>
      <w:pgMar w:top="850" w:right="1138" w:bottom="850" w:left="1138" w:header="619" w:footer="562"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D1D" w:rsidRDefault="00834D1D" w:rsidP="006D735A">
      <w:pPr>
        <w:spacing w:before="0"/>
      </w:pPr>
      <w:r>
        <w:separator/>
      </w:r>
    </w:p>
  </w:endnote>
  <w:endnote w:type="continuationSeparator" w:id="0">
    <w:p w:rsidR="00834D1D" w:rsidRDefault="00834D1D" w:rsidP="006D73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287535">
    <w:pPr>
      <w:pStyle w:val="Footereven"/>
      <w:tabs>
        <w:tab w:val="clear" w:pos="9639"/>
        <w:tab w:val="center" w:pos="2976"/>
      </w:tabs>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Chapter 1</w:t>
    </w:r>
    <w:r w:rsidRPr="00D90086">
      <w:tab/>
    </w:r>
    <w:r>
      <w:rPr>
        <w:rStyle w:val="PageNumber"/>
        <w:rFonts w:asciiTheme="majorHAnsi" w:hAnsiTheme="majorHAnsi"/>
      </w:rPr>
      <w:t>2017-18 Budget Update</w:t>
    </w:r>
    <w:r w:rsidRPr="00D90086">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 Victorian Pre-Election Budget Update</w:t>
    </w:r>
    <w:r w:rsidRPr="00BA26F2">
      <w:tab/>
    </w:r>
    <w:r>
      <w:t>Chapter 1</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Chapter 2</w:t>
    </w:r>
    <w:r w:rsidRPr="00D90086">
      <w:tab/>
    </w:r>
    <w:r w:rsidRPr="00FA62A0">
      <w:rPr>
        <w:rStyle w:val="PageNumber"/>
        <w:rFonts w:asciiTheme="majorHAnsi" w:hAnsiTheme="majorHAnsi"/>
      </w:rPr>
      <w:t>2018 Victorian Pre-Election Budget Update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sidRPr="009A4EC7">
      <w:rPr>
        <w:rStyle w:val="PageNumber"/>
        <w:rFonts w:asciiTheme="majorHAnsi" w:hAnsiTheme="majorHAnsi"/>
      </w:rPr>
      <w:t>2018 Victorian Pre-Election Budget Update</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 Victorian Pre-Election Budget Update</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12</w:t>
    </w:r>
    <w:r w:rsidRPr="00D90086">
      <w:rPr>
        <w:rStyle w:val="PageNumber"/>
        <w:rFonts w:asciiTheme="majorHAnsi" w:hAnsiTheme="majorHAnsi"/>
      </w:rPr>
      <w:fldChar w:fldCharType="end"/>
    </w:r>
    <w:r w:rsidRPr="00D90086">
      <w:tab/>
    </w:r>
    <w:r>
      <w:t>Chapter 3</w:t>
    </w:r>
    <w:r w:rsidRPr="00D90086">
      <w:tab/>
    </w:r>
    <w:r w:rsidRPr="00823119">
      <w:rPr>
        <w:rStyle w:val="PageNumber"/>
        <w:rFonts w:asciiTheme="majorHAnsi" w:hAnsiTheme="majorHAnsi"/>
      </w:rPr>
      <w:t>2018 Victorian Pre-Election Budget Update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sidRPr="00823119">
      <w:rPr>
        <w:rStyle w:val="PageNumber"/>
        <w:rFonts w:asciiTheme="majorHAnsi" w:hAnsiTheme="majorHAnsi"/>
      </w:rPr>
      <w:t>2018 Victorian Pre-Election Budget Update</w:t>
    </w:r>
    <w:r w:rsidRPr="00BA26F2">
      <w:tab/>
    </w:r>
    <w:r>
      <w:t>Chapter 3</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13</w:t>
    </w:r>
    <w:r w:rsidRPr="00BA26F2">
      <w:rPr>
        <w:rStyle w:val="PageNumber"/>
        <w:rFonts w:asciiTheme="majorHAnsi" w:hAnsiTheme="majorHAnsi"/>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sidRPr="00823119">
      <w:rPr>
        <w:rStyle w:val="PageNumber"/>
        <w:rFonts w:asciiTheme="majorHAnsi" w:hAnsiTheme="majorHAnsi"/>
      </w:rPr>
      <w:t>2018 Victorian Pre-Election Budget Update</w:t>
    </w:r>
    <w:r w:rsidRPr="00BA26F2">
      <w:tab/>
    </w:r>
    <w:r>
      <w:t>Chapter 3</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rsidP="00F17BCD">
    <w:pPr>
      <w:pStyle w:val="Footereven"/>
      <w:rPr>
        <w:rStyle w:val="PageNumber"/>
        <w:rFonts w:asciiTheme="majorHAnsi" w:hAnsiTheme="majorHAnsi"/>
      </w:rPr>
    </w:pPr>
    <w:bookmarkStart w:id="31" w:name="PandNP2FooterEvenPages"/>
  </w:p>
  <w:bookmarkEnd w:id="31"/>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Chapter 4</w:t>
    </w:r>
    <w:r w:rsidRPr="00D90086">
      <w:tab/>
    </w:r>
    <w:r>
      <w:rPr>
        <w:rStyle w:val="PageNumber"/>
        <w:rFonts w:asciiTheme="majorHAnsi" w:hAnsiTheme="majorHAnsi"/>
      </w:rPr>
      <w:t>2018-19 Victorian Economic Statement</w:t>
    </w:r>
    <w:r w:rsidRPr="00D90086">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sidRPr="00341919">
      <w:rPr>
        <w:rStyle w:val="PageNumber"/>
        <w:rFonts w:asciiTheme="majorHAnsi" w:hAnsiTheme="majorHAnsi"/>
      </w:rPr>
      <w:t>2018 Victorian Pre-Election Budget Update</w:t>
    </w:r>
    <w:r w:rsidRPr="00BA26F2">
      <w:tab/>
    </w:r>
    <w:r>
      <w:t>Chapter 3</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15</w:t>
    </w:r>
    <w:r w:rsidRPr="00BA26F2">
      <w:rPr>
        <w:rStyle w:val="PageNumbe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8F" w:rsidRDefault="00F8108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rsidP="00F17BCD">
    <w:pPr>
      <w:pStyle w:val="Footerodd"/>
      <w:rPr>
        <w:rStyle w:val="PageNumber"/>
        <w:rFonts w:asciiTheme="majorHAnsi" w:hAnsiTheme="majorHAnsi"/>
      </w:rPr>
    </w:pPr>
    <w:bookmarkStart w:id="32" w:name="PandNP2FooterFirstPage"/>
  </w:p>
  <w:bookmarkEnd w:id="32"/>
  <w:p w:rsidR="00834D1D" w:rsidRPr="00BA26F2" w:rsidRDefault="00834D1D"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16</w:t>
    </w:r>
    <w:r w:rsidRPr="00D90086">
      <w:rPr>
        <w:rStyle w:val="PageNumber"/>
        <w:rFonts w:asciiTheme="majorHAnsi" w:hAnsiTheme="majorHAnsi"/>
      </w:rPr>
      <w:fldChar w:fldCharType="end"/>
    </w:r>
    <w:r w:rsidRPr="00D90086">
      <w:tab/>
    </w:r>
    <w:r>
      <w:t>Chapter 3</w:t>
    </w:r>
    <w:r w:rsidRPr="00D90086">
      <w:tab/>
    </w:r>
    <w:r w:rsidRPr="00823119">
      <w:rPr>
        <w:rStyle w:val="PageNumber"/>
        <w:rFonts w:asciiTheme="majorHAnsi" w:hAnsiTheme="majorHAnsi"/>
      </w:rPr>
      <w:t>2018 Victorian Pre-Election Budget Update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rsidP="00F17BCD">
    <w:pPr>
      <w:pStyle w:val="Footerodd"/>
      <w:rPr>
        <w:rStyle w:val="PageNumber"/>
        <w:rFonts w:asciiTheme="majorHAnsi" w:hAnsiTheme="majorHAnsi"/>
      </w:rPr>
    </w:pPr>
    <w:bookmarkStart w:id="39" w:name="PandNP3FooterFirstPage"/>
  </w:p>
  <w:bookmarkEnd w:id="39"/>
  <w:p w:rsidR="00834D1D" w:rsidRPr="00BA26F2" w:rsidRDefault="00834D1D"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32</w:t>
    </w:r>
    <w:r w:rsidRPr="00D90086">
      <w:rPr>
        <w:rStyle w:val="PageNumber"/>
        <w:rFonts w:asciiTheme="majorHAnsi" w:hAnsiTheme="majorHAnsi"/>
      </w:rPr>
      <w:fldChar w:fldCharType="end"/>
    </w:r>
    <w:r w:rsidRPr="00D90086">
      <w:tab/>
    </w:r>
    <w:r>
      <w:t>Chapter 3</w:t>
    </w:r>
    <w:r w:rsidRPr="00D90086">
      <w:tab/>
    </w:r>
    <w:r w:rsidRPr="00823119">
      <w:rPr>
        <w:rStyle w:val="PageNumber"/>
        <w:rFonts w:asciiTheme="majorHAnsi" w:hAnsiTheme="majorHAnsi"/>
      </w:rPr>
      <w:t>2018 Victorian Pre-Election Budget Update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sidRPr="00823119">
      <w:rPr>
        <w:rStyle w:val="PageNumber"/>
        <w:rFonts w:asciiTheme="majorHAnsi" w:hAnsiTheme="majorHAnsi"/>
      </w:rPr>
      <w:t>2018 Victorian Pre-Election Budget Update</w:t>
    </w:r>
    <w:r w:rsidRPr="00BA26F2">
      <w:tab/>
    </w:r>
    <w:r>
      <w:t>Chapter 3</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33</w:t>
    </w:r>
    <w:r w:rsidRPr="00BA26F2">
      <w:rPr>
        <w:rStyle w:val="PageNumber"/>
        <w:rFonts w:asciiTheme="majorHAnsi" w:hAnsiTheme="majorHAnsi"/>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rsidP="00F17BCD">
    <w:pPr>
      <w:pStyle w:val="Footerodd"/>
      <w:rPr>
        <w:rStyle w:val="PageNumber"/>
        <w:rFonts w:asciiTheme="majorHAnsi" w:hAnsiTheme="majorHAnsi"/>
      </w:rPr>
    </w:pPr>
    <w:bookmarkStart w:id="40" w:name="PandNP4FooterFirstPage"/>
  </w:p>
  <w:bookmarkEnd w:id="40"/>
  <w:p w:rsidR="00834D1D" w:rsidRPr="00BA26F2" w:rsidRDefault="00834D1D"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rsidP="00F17BCD">
    <w:pPr>
      <w:pStyle w:val="Footerodd"/>
      <w:rPr>
        <w:rStyle w:val="PageNumber"/>
        <w:rFonts w:asciiTheme="majorHAnsi" w:hAnsiTheme="majorHAnsi"/>
      </w:rPr>
    </w:pPr>
    <w:bookmarkStart w:id="55" w:name="PandNP5FooterFirstPage"/>
  </w:p>
  <w:bookmarkEnd w:id="55"/>
  <w:p w:rsidR="00834D1D" w:rsidRPr="00BA26F2" w:rsidRDefault="00834D1D" w:rsidP="008155D0">
    <w:pPr>
      <w:pStyle w:val="Footerodd"/>
    </w:pPr>
    <w:r>
      <w:rPr>
        <w:rStyle w:val="PageNumber"/>
        <w:rFonts w:asciiTheme="majorHAnsi" w:hAnsiTheme="majorHAnsi"/>
      </w:rPr>
      <w:t>2018-19 Victorian Economic Statement</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850DC4" w:rsidRDefault="00834D1D" w:rsidP="00F17BCD">
    <w:pPr>
      <w:pStyle w:val="Footereven"/>
      <w:pBdr>
        <w:top w:val="single" w:sz="6" w:space="0" w:color="auto"/>
      </w:pBdr>
    </w:pPr>
    <w:r w:rsidRPr="008D3FDA">
      <w:rPr>
        <w:rStyle w:val="PageNumber"/>
        <w:rFonts w:asciiTheme="majorHAnsi" w:hAnsiTheme="majorHAnsi"/>
      </w:rPr>
      <w:fldChar w:fldCharType="begin"/>
    </w:r>
    <w:r w:rsidRPr="008D3FDA">
      <w:rPr>
        <w:rStyle w:val="PageNumber"/>
        <w:rFonts w:asciiTheme="majorHAnsi" w:hAnsiTheme="majorHAnsi"/>
      </w:rPr>
      <w:instrText xml:space="preserve"> PAGE </w:instrText>
    </w:r>
    <w:r w:rsidRPr="008D3FDA">
      <w:rPr>
        <w:rStyle w:val="PageNumber"/>
        <w:rFonts w:asciiTheme="majorHAnsi" w:hAnsiTheme="majorHAnsi"/>
      </w:rPr>
      <w:fldChar w:fldCharType="separate"/>
    </w:r>
    <w:r>
      <w:rPr>
        <w:rStyle w:val="PageNumber"/>
        <w:rFonts w:asciiTheme="majorHAnsi" w:hAnsiTheme="majorHAnsi"/>
        <w:noProof/>
      </w:rPr>
      <w:t>2</w:t>
    </w:r>
    <w:r w:rsidRPr="008D3FDA">
      <w:rPr>
        <w:rStyle w:val="PageNumber"/>
        <w:rFonts w:asciiTheme="majorHAnsi" w:hAnsiTheme="majorHAnsi"/>
      </w:rPr>
      <w:fldChar w:fldCharType="end"/>
    </w:r>
    <w:r w:rsidRPr="008D3FDA">
      <w:tab/>
      <w:t xml:space="preserve">Chapter </w:t>
    </w:r>
    <w:r>
      <w:t>4</w:t>
    </w:r>
    <w:r w:rsidRPr="008D3FDA">
      <w:tab/>
    </w:r>
    <w:r w:rsidRPr="00AB5807">
      <w:t>2018 Victorian Pre-Election Budget Update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F17BCD">
    <w:pPr>
      <w:pStyle w:val="Footerodd"/>
    </w:pPr>
    <w:r w:rsidRPr="00AB5807">
      <w:t>2018 Victorian Pre-Election Budget Update</w:t>
    </w:r>
    <w:r w:rsidRPr="00BA26F2">
      <w:tab/>
    </w:r>
    <w:r>
      <w:t>Chapter 4</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64222D">
    <w:pPr>
      <w:pStyle w:val="Footereven"/>
      <w:pBdr>
        <w:top w:val="none" w:sz="0" w:space="0" w:color="auto"/>
      </w:pBd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Appendix A</w:t>
    </w:r>
    <w:r w:rsidRPr="00D90086">
      <w:tab/>
    </w:r>
    <w:r>
      <w:rPr>
        <w:rStyle w:val="PageNumber"/>
        <w:rFonts w:asciiTheme="majorHAnsi" w:hAnsiTheme="majorHAnsi"/>
      </w:rPr>
      <w:t>2018 Victorian Pre-Election Budget Update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 Victorian Pre-Election Budget Update</w:t>
    </w:r>
    <w:r w:rsidRPr="00BA26F2">
      <w:tab/>
    </w:r>
    <w:r>
      <w:t>Appendix A</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rsidP="00F17BCD">
    <w:pPr>
      <w:pStyle w:val="Footerodd"/>
      <w:rPr>
        <w:rStyle w:val="PageNumber"/>
        <w:rFonts w:asciiTheme="majorHAnsi" w:hAnsiTheme="majorHAnsi"/>
      </w:rPr>
    </w:pPr>
    <w:bookmarkStart w:id="142" w:name="PandNP1FooterFirstPage"/>
  </w:p>
  <w:bookmarkEnd w:id="142"/>
  <w:p w:rsidR="00834D1D" w:rsidRPr="00BA26F2" w:rsidRDefault="00834D1D" w:rsidP="008155D0">
    <w:pPr>
      <w:pStyle w:val="Footerodd"/>
    </w:pPr>
    <w:r>
      <w:rPr>
        <w:rStyle w:val="PageNumber"/>
        <w:rFonts w:asciiTheme="majorHAnsi" w:hAnsiTheme="majorHAnsi"/>
      </w:rPr>
      <w:t>2018-19 Victorian Economic Statement</w:t>
    </w:r>
    <w:r w:rsidRPr="00BA26F2">
      <w:tab/>
    </w:r>
    <w:r>
      <w:t>Appendix A</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F17BCD">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Appendix B</w:t>
    </w:r>
    <w:r w:rsidRPr="00D90086">
      <w:tab/>
    </w:r>
    <w:r w:rsidRPr="002D528C">
      <w:rPr>
        <w:rStyle w:val="PageNumber"/>
        <w:rFonts w:asciiTheme="majorHAnsi" w:hAnsiTheme="majorHAnsi"/>
      </w:rPr>
      <w:t>2018 Victorian Pre-Election Budget Update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 Victorian Pre-Election Budget Update</w:t>
    </w:r>
    <w:r w:rsidRPr="00BA26F2">
      <w:tab/>
    </w:r>
    <w:r>
      <w:t>Appendix B</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Appendix C</w:t>
    </w:r>
    <w:r w:rsidRPr="00D90086">
      <w:tab/>
    </w:r>
    <w:r w:rsidRPr="002D528C">
      <w:rPr>
        <w:rStyle w:val="PageNumber"/>
        <w:rFonts w:asciiTheme="majorHAnsi" w:hAnsiTheme="majorHAnsi"/>
      </w:rPr>
      <w:t>2018 Victorian Pre-Election Budget Update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 Victorian Pre-Election Budget Update</w:t>
    </w:r>
    <w:r w:rsidRPr="00BA26F2">
      <w:tab/>
    </w:r>
    <w:r>
      <w:t>Appendix C</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2</w:t>
    </w:r>
    <w:r w:rsidRPr="00D90086">
      <w:rPr>
        <w:rStyle w:val="PageNumber"/>
        <w:rFonts w:asciiTheme="majorHAnsi" w:hAnsiTheme="majorHAnsi"/>
      </w:rPr>
      <w:fldChar w:fldCharType="end"/>
    </w:r>
    <w:r w:rsidRPr="00D90086">
      <w:tab/>
    </w:r>
    <w:r>
      <w:t>Style conventions</w:t>
    </w:r>
    <w:r w:rsidRPr="00D90086">
      <w:tab/>
    </w:r>
    <w:r>
      <w:rPr>
        <w:rStyle w:val="PageNumber"/>
        <w:rFonts w:asciiTheme="majorHAnsi" w:hAnsiTheme="majorHAnsi"/>
      </w:rPr>
      <w:t>Pre-Election Budget Update</w:t>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64222D">
    <w:pPr>
      <w:pStyle w:val="Footerodd"/>
      <w:pBdr>
        <w:top w:val="none" w:sz="0" w:space="0" w:color="auto"/>
      </w:pBdr>
      <w:jc w:val="right"/>
    </w:pP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F85942" w:rsidP="008155D0">
    <w:pPr>
      <w:pStyle w:val="Footerodd"/>
    </w:pPr>
    <w:r w:rsidRPr="00F85942">
      <w:rPr>
        <w:rStyle w:val="PageNumber"/>
        <w:rFonts w:asciiTheme="majorHAnsi" w:hAnsiTheme="majorHAnsi"/>
      </w:rPr>
      <w:t>2018 Victorian Pre-Election Budget Update</w:t>
    </w:r>
    <w:r w:rsidR="00834D1D" w:rsidRPr="00BA26F2">
      <w:tab/>
    </w:r>
    <w:r w:rsidR="00834D1D">
      <w:t>Style conventions</w:t>
    </w:r>
    <w:r w:rsidR="00834D1D" w:rsidRPr="00BA26F2">
      <w:tab/>
    </w:r>
    <w:r w:rsidR="00834D1D" w:rsidRPr="00BA26F2">
      <w:rPr>
        <w:rStyle w:val="PageNumber"/>
        <w:rFonts w:asciiTheme="majorHAnsi" w:hAnsiTheme="majorHAnsi"/>
      </w:rPr>
      <w:fldChar w:fldCharType="begin"/>
    </w:r>
    <w:r w:rsidR="00834D1D" w:rsidRPr="00BA26F2">
      <w:rPr>
        <w:rStyle w:val="PageNumber"/>
        <w:rFonts w:asciiTheme="majorHAnsi" w:hAnsiTheme="majorHAnsi"/>
      </w:rPr>
      <w:instrText xml:space="preserve"> PAGE </w:instrText>
    </w:r>
    <w:r w:rsidR="00834D1D" w:rsidRPr="00BA26F2">
      <w:rPr>
        <w:rStyle w:val="PageNumber"/>
        <w:rFonts w:asciiTheme="majorHAnsi" w:hAnsiTheme="majorHAnsi"/>
      </w:rPr>
      <w:fldChar w:fldCharType="separate"/>
    </w:r>
    <w:r w:rsidR="00834D1D">
      <w:rPr>
        <w:rStyle w:val="PageNumber"/>
        <w:rFonts w:asciiTheme="majorHAnsi" w:hAnsiTheme="majorHAnsi"/>
        <w:noProof/>
      </w:rPr>
      <w:t>1</w:t>
    </w:r>
    <w:r w:rsidR="00834D1D" w:rsidRPr="00BA26F2">
      <w:rPr>
        <w:rStyle w:val="PageNumber"/>
        <w:rFonts w:asciiTheme="majorHAnsi" w:hAnsiTheme="majorHAnsi"/>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8F" w:rsidRPr="00F8108F" w:rsidRDefault="00F8108F" w:rsidP="00F8108F">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8F" w:rsidRPr="00F8108F" w:rsidRDefault="00F8108F" w:rsidP="00F810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Foreword</w:t>
    </w:r>
    <w:r w:rsidRPr="00D90086">
      <w:tab/>
    </w:r>
    <w:r w:rsidRPr="002D528C">
      <w:rPr>
        <w:rStyle w:val="PageNumber"/>
        <w:rFonts w:asciiTheme="majorHAnsi" w:hAnsiTheme="majorHAnsi"/>
      </w:rPr>
      <w:t>2018 Victorian Pre-Election Budget Update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 Victorian Pre-Election Budget Update</w:t>
    </w:r>
    <w:r w:rsidRPr="00BA26F2">
      <w:tab/>
    </w:r>
    <w:r>
      <w:t>Foreword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3</w:t>
    </w:r>
    <w:r w:rsidRPr="00BA26F2">
      <w:rPr>
        <w:rStyle w:val="PageNumber"/>
        <w:rFonts w:asciiTheme="majorHAnsi" w:hAnsiTheme="majorHAns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BA26F2" w:rsidRDefault="00834D1D" w:rsidP="008155D0">
    <w:pPr>
      <w:pStyle w:val="Footerodd"/>
    </w:pPr>
    <w:r>
      <w:rPr>
        <w:rStyle w:val="PageNumber"/>
        <w:rFonts w:asciiTheme="majorHAnsi" w:hAnsiTheme="majorHAnsi"/>
      </w:rPr>
      <w:t>2018-19 Victorian Economic Statement</w:t>
    </w:r>
    <w:r w:rsidRPr="00BA26F2">
      <w:tab/>
    </w:r>
    <w:r>
      <w:t>Chapter 2</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w:t>
    </w:r>
    <w:r w:rsidRPr="00BA26F2">
      <w:rPr>
        <w:rStyle w:val="PageNumber"/>
        <w:rFonts w:asciiTheme="majorHAnsi" w:hAnsiTheme="maj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Pr="00D90086" w:rsidRDefault="00834D1D"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4</w:t>
    </w:r>
    <w:r w:rsidRPr="00D90086">
      <w:rPr>
        <w:rStyle w:val="PageNumber"/>
        <w:rFonts w:asciiTheme="majorHAnsi" w:hAnsiTheme="majorHAnsi"/>
      </w:rPr>
      <w:fldChar w:fldCharType="end"/>
    </w:r>
    <w:r w:rsidRPr="00D90086">
      <w:tab/>
    </w:r>
    <w:r>
      <w:t>Chapter 1</w:t>
    </w:r>
    <w:r w:rsidRPr="00D90086">
      <w:tab/>
    </w:r>
    <w:r w:rsidRPr="002D528C">
      <w:rPr>
        <w:rStyle w:val="PageNumber"/>
        <w:rFonts w:asciiTheme="majorHAnsi" w:hAnsiTheme="majorHAnsi"/>
      </w:rPr>
      <w:t>2018 Victorian Pre-Election Budget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D1D" w:rsidRDefault="00834D1D" w:rsidP="006D735A">
      <w:pPr>
        <w:spacing w:before="0"/>
      </w:pPr>
      <w:r>
        <w:separator/>
      </w:r>
    </w:p>
  </w:footnote>
  <w:footnote w:type="continuationSeparator" w:id="0">
    <w:p w:rsidR="00834D1D" w:rsidRDefault="00834D1D" w:rsidP="006D735A">
      <w:pPr>
        <w:spacing w:before="0"/>
      </w:pPr>
      <w:r>
        <w:continuationSeparator/>
      </w:r>
    </w:p>
  </w:footnote>
  <w:footnote w:id="1">
    <w:p w:rsidR="00834D1D" w:rsidRPr="007F6536" w:rsidRDefault="00834D1D" w:rsidP="00F17BCD">
      <w:pPr>
        <w:pStyle w:val="FootnoteText"/>
        <w:rPr>
          <w:lang w:val="en-AU"/>
        </w:rPr>
      </w:pPr>
      <w:r>
        <w:rPr>
          <w:rStyle w:val="FootnoteReference"/>
        </w:rPr>
        <w:footnoteRef/>
      </w:r>
      <w:r>
        <w:t xml:space="preserve"> </w:t>
      </w:r>
      <w:r w:rsidRPr="007F6536">
        <w:t>The results generated in each scenario are mutually exclusive and non-additive.</w:t>
      </w:r>
    </w:p>
  </w:footnote>
  <w:footnote w:id="2">
    <w:p w:rsidR="00834D1D" w:rsidRPr="000D4F23" w:rsidRDefault="00834D1D" w:rsidP="00F17BCD">
      <w:pPr>
        <w:pStyle w:val="FootnoteText"/>
        <w:rPr>
          <w:lang w:val="en-AU"/>
        </w:rPr>
      </w:pPr>
      <w:r>
        <w:rPr>
          <w:rStyle w:val="FootnoteReference"/>
        </w:rPr>
        <w:footnoteRef/>
      </w:r>
      <w:r>
        <w:t xml:space="preserve"> </w:t>
      </w:r>
      <w:r w:rsidRPr="000D4F23">
        <w:t xml:space="preserve">VURM is a dynamic </w:t>
      </w:r>
      <w:r>
        <w:t>computable general equilibrium</w:t>
      </w:r>
      <w:r w:rsidRPr="000D4F23">
        <w:t xml:space="preserve"> model of Australia</w:t>
      </w:r>
      <w:r>
        <w:t>’</w:t>
      </w:r>
      <w:r w:rsidRPr="000D4F23">
        <w:t>s six states and two territories</w:t>
      </w:r>
      <w:r>
        <w:t>, with e</w:t>
      </w:r>
      <w:r w:rsidRPr="000D4F23">
        <w:t xml:space="preserve">ach region </w:t>
      </w:r>
      <w:r>
        <w:t xml:space="preserve">modelled </w:t>
      </w:r>
      <w:r w:rsidRPr="000D4F23">
        <w:t>as an economy in its own right</w:t>
      </w:r>
      <w:r>
        <w:t xml:space="preserve">. See Adams, </w:t>
      </w:r>
      <w:r w:rsidRPr="007E6637">
        <w:t>Philip,</w:t>
      </w:r>
      <w:r>
        <w:t xml:space="preserve"> Dixon, Janine and Horridge, Mark (2015), ‘</w:t>
      </w:r>
      <w:r w:rsidRPr="00933C01">
        <w:t>The Victoria University Regional Model (VURM): Technical Documentation, Version 1.0</w:t>
      </w:r>
      <w:r>
        <w:t>’, CoPS/IMPACT Working Paper Number G</w:t>
      </w:r>
      <w:r>
        <w:noBreakHyphen/>
        <w:t xml:space="preserve">254 for a more detailed description of the model’s structure and data sources (available from </w:t>
      </w:r>
      <w:r w:rsidRPr="00933C01">
        <w:t>www.</w:t>
      </w:r>
      <w:r w:rsidRPr="002F5BD6">
        <w:t>copsmodels.com/ftp/workpapr/g-254.pdf</w:t>
      </w:r>
      <w:r>
        <w:t>).</w:t>
      </w:r>
    </w:p>
  </w:footnote>
  <w:footnote w:id="3">
    <w:p w:rsidR="00834D1D" w:rsidRPr="007B7A26" w:rsidRDefault="00834D1D" w:rsidP="00F17BCD">
      <w:pPr>
        <w:pStyle w:val="FootnoteText"/>
        <w:rPr>
          <w:lang w:val="en-AU"/>
        </w:rPr>
      </w:pPr>
      <w:r w:rsidRPr="007008E0">
        <w:rPr>
          <w:rStyle w:val="FootnoteReference"/>
        </w:rPr>
        <w:footnoteRef/>
      </w:r>
      <w:r w:rsidRPr="007008E0">
        <w:t xml:space="preserve"> The Department of Treasury and Finance maintains a comprehensive set of elasticities covering the relationship between major economic parameters and all revenue and expenditure lines, including superannuation, and dividends and income tax equivalents</w:t>
      </w:r>
      <w:r>
        <w:t xml:space="preserve"> </w:t>
      </w:r>
      <w:r w:rsidRPr="007008E0">
        <w:t>from the public financial</w:t>
      </w:r>
      <w:r>
        <w:t xml:space="preserve"> </w:t>
      </w:r>
      <w:r w:rsidRPr="007008E0">
        <w:t>and non-financial corporations</w:t>
      </w:r>
      <w:r>
        <w:t>.</w:t>
      </w:r>
    </w:p>
  </w:footnote>
  <w:footnote w:id="4">
    <w:p w:rsidR="00834D1D" w:rsidRPr="007400FD" w:rsidRDefault="00834D1D" w:rsidP="00F17BCD">
      <w:pPr>
        <w:pStyle w:val="FootnoteText"/>
        <w:rPr>
          <w:lang w:val="en-AU"/>
        </w:rPr>
      </w:pPr>
      <w:r>
        <w:rPr>
          <w:rStyle w:val="FootnoteReference"/>
        </w:rPr>
        <w:footnoteRef/>
      </w:r>
      <w:r>
        <w:t xml:space="preserve"> The magnitude of the shock to dwelling investment aligns with the difference between the annual growth rate in national dwelling investment in 2007</w:t>
      </w:r>
      <w:r>
        <w:noBreakHyphen/>
        <w:t>08 (1.5 per cent) and 2008</w:t>
      </w:r>
      <w:r>
        <w:noBreakHyphen/>
        <w:t>09 (-3.1 per cent). It is worth noting that the decline in dwelling investment in 2008</w:t>
      </w:r>
      <w:r>
        <w:noBreakHyphen/>
        <w:t>09 was ameliorated by successive reductions to the official cash rate and policy measures introduced by Commonwealth, state and territory governments aimed at stimulating first home buyer activity.</w:t>
      </w:r>
    </w:p>
  </w:footnote>
  <w:footnote w:id="5">
    <w:p w:rsidR="00834D1D" w:rsidRPr="00E175D4" w:rsidRDefault="00834D1D" w:rsidP="00F17BCD">
      <w:pPr>
        <w:pStyle w:val="FootnoteText"/>
        <w:rPr>
          <w:lang w:val="en-AU"/>
        </w:rPr>
      </w:pPr>
      <w:r>
        <w:rPr>
          <w:rStyle w:val="FootnoteReference"/>
        </w:rPr>
        <w:footnoteRef/>
      </w:r>
      <w:r>
        <w:t xml:space="preserve"> In the aftermath of the global financial crisis, Australia’s actual consumption was a little more than one per cent below its equilibrium consumption;</w:t>
      </w:r>
      <w:r w:rsidRPr="009867F0">
        <w:t xml:space="preserve"> see KPMG Economics (2017), </w:t>
      </w:r>
      <w:r>
        <w:t>‘The Global Financial Crisis: 10 </w:t>
      </w:r>
      <w:r w:rsidRPr="009867F0">
        <w:t>Years On</w:t>
      </w:r>
      <w:r>
        <w:t>’</w:t>
      </w:r>
      <w:r w:rsidRPr="009867F0">
        <w:t>, August (available from https:</w:t>
      </w:r>
      <w:r w:rsidRPr="001062A3">
        <w:rPr>
          <w:spacing w:val="-20"/>
        </w:rPr>
        <w:t>//</w:t>
      </w:r>
      <w:r w:rsidRPr="009867F0">
        <w:t>assets.kpmg.com/content/dam/kpmg/au/pdf/2017/global-financial-crisis-10-years-on.pdf).</w:t>
      </w:r>
    </w:p>
  </w:footnote>
  <w:footnote w:id="6">
    <w:p w:rsidR="00834D1D" w:rsidRPr="00442D47" w:rsidRDefault="00834D1D" w:rsidP="00F17BCD">
      <w:pPr>
        <w:pStyle w:val="FootnoteText"/>
        <w:rPr>
          <w:lang w:val="en-AU"/>
        </w:rPr>
      </w:pPr>
      <w:r w:rsidRPr="00DB1080">
        <w:rPr>
          <w:rStyle w:val="FootnoteReference"/>
        </w:rPr>
        <w:footnoteRef/>
      </w:r>
      <w:r w:rsidRPr="00DB1080">
        <w:t xml:space="preserve"> </w:t>
      </w:r>
      <w:r w:rsidRPr="00DB1080">
        <w:rPr>
          <w:lang w:val="en-AU"/>
        </w:rPr>
        <w:t xml:space="preserve">This model does not consider the second-round effect associated with the change in GST relativity that could occur in response to </w:t>
      </w:r>
      <w:r>
        <w:rPr>
          <w:lang w:val="en-AU"/>
        </w:rPr>
        <w:t>changes in states’ fiscal capacities</w:t>
      </w:r>
      <w:r w:rsidRPr="00DB1080">
        <w:rPr>
          <w:lang w:val="en-AU"/>
        </w:rPr>
        <w:t>.</w:t>
      </w:r>
    </w:p>
  </w:footnote>
  <w:footnote w:id="7">
    <w:p w:rsidR="00834D1D" w:rsidRPr="00DE5C56" w:rsidRDefault="00834D1D" w:rsidP="00F17BCD">
      <w:pPr>
        <w:pStyle w:val="FootnoteText"/>
        <w:rPr>
          <w:lang w:val="en-AU"/>
        </w:rPr>
      </w:pPr>
      <w:r>
        <w:rPr>
          <w:rStyle w:val="FootnoteReference"/>
        </w:rPr>
        <w:footnoteRef/>
      </w:r>
      <w:r>
        <w:t xml:space="preserve"> </w:t>
      </w:r>
      <w:r>
        <w:rPr>
          <w:lang w:val="en-AU"/>
        </w:rPr>
        <w:t>The increase in GST revenue reflects the impact of the Victoria</w:t>
      </w:r>
      <w:r>
        <w:rPr>
          <w:lang w:val="en-AU"/>
        </w:rPr>
        <w:noBreakHyphen/>
        <w:t>specific consumption shock on the national GST pool. The model used does not consider second-round effects that could alter Victoria’s GST relativity over the forward estimates.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8F" w:rsidRDefault="00F810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8F" w:rsidRDefault="00F8108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8F" w:rsidRDefault="00F810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D1D" w:rsidRDefault="0083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17E6C5D"/>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5" w15:restartNumberingAfterBreak="0">
    <w:nsid w:val="06EE77F9"/>
    <w:multiLevelType w:val="multilevel"/>
    <w:tmpl w:val="F104AB12"/>
    <w:numStyleLink w:val="NumberedHeadings"/>
  </w:abstractNum>
  <w:abstractNum w:abstractNumId="6"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670007"/>
    <w:multiLevelType w:val="hybridMultilevel"/>
    <w:tmpl w:val="6D86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31070"/>
    <w:multiLevelType w:val="multilevel"/>
    <w:tmpl w:val="F104AB12"/>
    <w:lvl w:ilvl="0">
      <w:start w:val="3"/>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CFC52E9"/>
    <w:multiLevelType w:val="hybridMultilevel"/>
    <w:tmpl w:val="D174DAAA"/>
    <w:lvl w:ilvl="0" w:tplc="40B48826">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B695180"/>
    <w:multiLevelType w:val="multilevel"/>
    <w:tmpl w:val="5E22C0F8"/>
    <w:numStyleLink w:val="Bullet"/>
  </w:abstractNum>
  <w:abstractNum w:abstractNumId="18" w15:restartNumberingAfterBreak="0">
    <w:nsid w:val="608B11F2"/>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CFF3731"/>
    <w:multiLevelType w:val="multilevel"/>
    <w:tmpl w:val="7500EB92"/>
    <w:numStyleLink w:val="Number"/>
  </w:abstractNum>
  <w:abstractNum w:abstractNumId="21" w15:restartNumberingAfterBreak="0">
    <w:nsid w:val="6EE34E10"/>
    <w:multiLevelType w:val="multilevel"/>
    <w:tmpl w:val="D9F407CA"/>
    <w:lvl w:ilvl="0">
      <w:start w:val="1"/>
      <w:numFmt w:val="upperLetter"/>
      <w:pStyle w:val="Heading3NumberingBP4"/>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7E71996"/>
    <w:multiLevelType w:val="multilevel"/>
    <w:tmpl w:val="5CF81E6C"/>
    <w:styleLink w:val="Headingstyles"/>
    <w:lvl w:ilvl="0">
      <w:start w:val="1"/>
      <w:numFmt w:val="decimal"/>
      <w:lvlText w:val="%1."/>
      <w:lvlJc w:val="left"/>
      <w:pPr>
        <w:ind w:left="432" w:hanging="432"/>
      </w:pPr>
      <w:rPr>
        <w:rFonts w:hint="default"/>
        <w:b/>
        <w:i w:val="0"/>
        <w:color w:val="0063A6"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2"/>
  </w:num>
  <w:num w:numId="3">
    <w:abstractNumId w:val="15"/>
  </w:num>
  <w:num w:numId="4">
    <w:abstractNumId w:val="11"/>
  </w:num>
  <w:num w:numId="5">
    <w:abstractNumId w:val="14"/>
  </w:num>
  <w:num w:numId="6">
    <w:abstractNumId w:val="16"/>
  </w:num>
  <w:num w:numId="7">
    <w:abstractNumId w:val="17"/>
  </w:num>
  <w:num w:numId="8">
    <w:abstractNumId w:val="20"/>
  </w:num>
  <w:num w:numId="9">
    <w:abstractNumId w:val="1"/>
  </w:num>
  <w:num w:numId="10">
    <w:abstractNumId w:val="0"/>
  </w:num>
  <w:num w:numId="11">
    <w:abstractNumId w:val="10"/>
  </w:num>
  <w:num w:numId="12">
    <w:abstractNumId w:val="6"/>
  </w:num>
  <w:num w:numId="13">
    <w:abstractNumId w:val="19"/>
  </w:num>
  <w:num w:numId="14">
    <w:abstractNumId w:val="5"/>
  </w:num>
  <w:num w:numId="15">
    <w:abstractNumId w:val="22"/>
  </w:num>
  <w:num w:numId="16">
    <w:abstractNumId w:val="4"/>
  </w:num>
  <w:num w:numId="17">
    <w:abstractNumId w:val="21"/>
  </w:num>
  <w:num w:numId="18">
    <w:abstractNumId w:val="13"/>
  </w:num>
  <w:num w:numId="19">
    <w:abstractNumId w:val="9"/>
  </w:num>
  <w:num w:numId="20">
    <w:abstractNumId w:val="17"/>
    <w:lvlOverride w:ilvl="0">
      <w:lvl w:ilvl="0">
        <w:start w:val="1"/>
        <w:numFmt w:val="bullet"/>
        <w:pStyle w:val="ListBullet"/>
        <w:lvlText w:val=""/>
        <w:lvlJc w:val="left"/>
        <w:pPr>
          <w:ind w:left="284" w:hanging="284"/>
        </w:pPr>
        <w:rPr>
          <w:rFonts w:ascii="Symbol" w:hAnsi="Symbol" w:hint="default"/>
          <w:sz w:val="20"/>
          <w:szCs w:val="20"/>
        </w:rPr>
      </w:lvl>
    </w:lvlOverride>
  </w:num>
  <w:num w:numId="21">
    <w:abstractNumId w:val="8"/>
  </w:num>
  <w:num w:numId="22">
    <w:abstractNumId w:val="18"/>
  </w:num>
  <w:num w:numId="23">
    <w:abstractNumId w:val="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535"/>
    <w:rsid w:val="00001A3C"/>
    <w:rsid w:val="000021FB"/>
    <w:rsid w:val="000068BC"/>
    <w:rsid w:val="00017EF2"/>
    <w:rsid w:val="000256AE"/>
    <w:rsid w:val="0003281B"/>
    <w:rsid w:val="00032A2A"/>
    <w:rsid w:val="00033EBD"/>
    <w:rsid w:val="000351A8"/>
    <w:rsid w:val="00036280"/>
    <w:rsid w:val="000375B2"/>
    <w:rsid w:val="00042ABE"/>
    <w:rsid w:val="00044421"/>
    <w:rsid w:val="00047DE2"/>
    <w:rsid w:val="000549C1"/>
    <w:rsid w:val="00054BE9"/>
    <w:rsid w:val="00055A63"/>
    <w:rsid w:val="00056736"/>
    <w:rsid w:val="00057EFB"/>
    <w:rsid w:val="00061A50"/>
    <w:rsid w:val="00062AD5"/>
    <w:rsid w:val="00064266"/>
    <w:rsid w:val="00064F49"/>
    <w:rsid w:val="00073219"/>
    <w:rsid w:val="00073EFA"/>
    <w:rsid w:val="00076D50"/>
    <w:rsid w:val="00077C52"/>
    <w:rsid w:val="00082872"/>
    <w:rsid w:val="00082D1F"/>
    <w:rsid w:val="0009147C"/>
    <w:rsid w:val="000915C9"/>
    <w:rsid w:val="000A03F9"/>
    <w:rsid w:val="000A07AD"/>
    <w:rsid w:val="000A2CDF"/>
    <w:rsid w:val="000A67D6"/>
    <w:rsid w:val="000B0D19"/>
    <w:rsid w:val="000B4962"/>
    <w:rsid w:val="000C04C7"/>
    <w:rsid w:val="000C1B0B"/>
    <w:rsid w:val="000C43CD"/>
    <w:rsid w:val="000C68FD"/>
    <w:rsid w:val="000C6A23"/>
    <w:rsid w:val="000D0ECF"/>
    <w:rsid w:val="000D226D"/>
    <w:rsid w:val="000D5220"/>
    <w:rsid w:val="000D53D5"/>
    <w:rsid w:val="000D5949"/>
    <w:rsid w:val="000D656A"/>
    <w:rsid w:val="000E037E"/>
    <w:rsid w:val="000E04E7"/>
    <w:rsid w:val="000E1A6C"/>
    <w:rsid w:val="000E2126"/>
    <w:rsid w:val="000E28B3"/>
    <w:rsid w:val="000F140B"/>
    <w:rsid w:val="000F34B0"/>
    <w:rsid w:val="000F57CF"/>
    <w:rsid w:val="000F5BCA"/>
    <w:rsid w:val="00103DE5"/>
    <w:rsid w:val="00104F1A"/>
    <w:rsid w:val="00113667"/>
    <w:rsid w:val="00117051"/>
    <w:rsid w:val="00120B97"/>
    <w:rsid w:val="001212DB"/>
    <w:rsid w:val="001213D6"/>
    <w:rsid w:val="00124F13"/>
    <w:rsid w:val="00130832"/>
    <w:rsid w:val="00132069"/>
    <w:rsid w:val="00132FE0"/>
    <w:rsid w:val="0014537A"/>
    <w:rsid w:val="00150302"/>
    <w:rsid w:val="001506B1"/>
    <w:rsid w:val="00150835"/>
    <w:rsid w:val="00157D89"/>
    <w:rsid w:val="00160DB5"/>
    <w:rsid w:val="00166699"/>
    <w:rsid w:val="001675E6"/>
    <w:rsid w:val="001808F7"/>
    <w:rsid w:val="001845E1"/>
    <w:rsid w:val="00184890"/>
    <w:rsid w:val="00185B60"/>
    <w:rsid w:val="001A0E4E"/>
    <w:rsid w:val="001A24FA"/>
    <w:rsid w:val="001B04ED"/>
    <w:rsid w:val="001B3B72"/>
    <w:rsid w:val="001D7A51"/>
    <w:rsid w:val="001E6E6F"/>
    <w:rsid w:val="001F449C"/>
    <w:rsid w:val="001F4F51"/>
    <w:rsid w:val="001F6582"/>
    <w:rsid w:val="00202EFF"/>
    <w:rsid w:val="002065D0"/>
    <w:rsid w:val="00210496"/>
    <w:rsid w:val="00211C6F"/>
    <w:rsid w:val="00212222"/>
    <w:rsid w:val="0021262A"/>
    <w:rsid w:val="00214AB1"/>
    <w:rsid w:val="00217849"/>
    <w:rsid w:val="00220042"/>
    <w:rsid w:val="00220E35"/>
    <w:rsid w:val="00222883"/>
    <w:rsid w:val="00231B66"/>
    <w:rsid w:val="00232BC7"/>
    <w:rsid w:val="00234470"/>
    <w:rsid w:val="00236E12"/>
    <w:rsid w:val="00237563"/>
    <w:rsid w:val="00241BC9"/>
    <w:rsid w:val="00247670"/>
    <w:rsid w:val="00253619"/>
    <w:rsid w:val="00254F58"/>
    <w:rsid w:val="00255A9A"/>
    <w:rsid w:val="0025669F"/>
    <w:rsid w:val="00257E89"/>
    <w:rsid w:val="0026061D"/>
    <w:rsid w:val="00260DE7"/>
    <w:rsid w:val="002650F6"/>
    <w:rsid w:val="00271E79"/>
    <w:rsid w:val="00273B39"/>
    <w:rsid w:val="002741FF"/>
    <w:rsid w:val="00277792"/>
    <w:rsid w:val="0028097E"/>
    <w:rsid w:val="0028209C"/>
    <w:rsid w:val="00287535"/>
    <w:rsid w:val="00294556"/>
    <w:rsid w:val="00295E0F"/>
    <w:rsid w:val="00296762"/>
    <w:rsid w:val="00296CF7"/>
    <w:rsid w:val="002A0391"/>
    <w:rsid w:val="002A57BB"/>
    <w:rsid w:val="002A7D7C"/>
    <w:rsid w:val="002B279D"/>
    <w:rsid w:val="002B3B71"/>
    <w:rsid w:val="002B3E8C"/>
    <w:rsid w:val="002B526C"/>
    <w:rsid w:val="002B7DE4"/>
    <w:rsid w:val="002C1008"/>
    <w:rsid w:val="002C138E"/>
    <w:rsid w:val="002C3386"/>
    <w:rsid w:val="002C3B94"/>
    <w:rsid w:val="002C3F78"/>
    <w:rsid w:val="002C5BE1"/>
    <w:rsid w:val="002C6EA8"/>
    <w:rsid w:val="002D040C"/>
    <w:rsid w:val="002D1E12"/>
    <w:rsid w:val="002D3FE4"/>
    <w:rsid w:val="002D47C9"/>
    <w:rsid w:val="002E2498"/>
    <w:rsid w:val="002E628D"/>
    <w:rsid w:val="002F7B7A"/>
    <w:rsid w:val="002F7BBC"/>
    <w:rsid w:val="00301106"/>
    <w:rsid w:val="00306EAE"/>
    <w:rsid w:val="00314649"/>
    <w:rsid w:val="0033621D"/>
    <w:rsid w:val="003371B4"/>
    <w:rsid w:val="00337317"/>
    <w:rsid w:val="0034185B"/>
    <w:rsid w:val="00341866"/>
    <w:rsid w:val="003429FA"/>
    <w:rsid w:val="00343667"/>
    <w:rsid w:val="0034697B"/>
    <w:rsid w:val="00347922"/>
    <w:rsid w:val="00351239"/>
    <w:rsid w:val="00357C4E"/>
    <w:rsid w:val="00360393"/>
    <w:rsid w:val="0036119F"/>
    <w:rsid w:val="00362609"/>
    <w:rsid w:val="00362845"/>
    <w:rsid w:val="00363B60"/>
    <w:rsid w:val="00367AF4"/>
    <w:rsid w:val="003703D1"/>
    <w:rsid w:val="00372A16"/>
    <w:rsid w:val="003741F4"/>
    <w:rsid w:val="0037430B"/>
    <w:rsid w:val="00377B81"/>
    <w:rsid w:val="003805EF"/>
    <w:rsid w:val="003825F8"/>
    <w:rsid w:val="00390A50"/>
    <w:rsid w:val="0039234B"/>
    <w:rsid w:val="00395FF7"/>
    <w:rsid w:val="00397E96"/>
    <w:rsid w:val="003A0816"/>
    <w:rsid w:val="003A1578"/>
    <w:rsid w:val="003A1BBB"/>
    <w:rsid w:val="003A5819"/>
    <w:rsid w:val="003B1177"/>
    <w:rsid w:val="003B669A"/>
    <w:rsid w:val="003C5DBD"/>
    <w:rsid w:val="003C75BF"/>
    <w:rsid w:val="003D279B"/>
    <w:rsid w:val="003D3E15"/>
    <w:rsid w:val="003D49A1"/>
    <w:rsid w:val="003D7FD7"/>
    <w:rsid w:val="003E2DAD"/>
    <w:rsid w:val="003E58E4"/>
    <w:rsid w:val="003E68E6"/>
    <w:rsid w:val="003E7CD9"/>
    <w:rsid w:val="003F7EE7"/>
    <w:rsid w:val="00400B44"/>
    <w:rsid w:val="00402563"/>
    <w:rsid w:val="00402880"/>
    <w:rsid w:val="00402E2E"/>
    <w:rsid w:val="00403881"/>
    <w:rsid w:val="00407B77"/>
    <w:rsid w:val="00407F41"/>
    <w:rsid w:val="0042008E"/>
    <w:rsid w:val="00420943"/>
    <w:rsid w:val="00423170"/>
    <w:rsid w:val="00424473"/>
    <w:rsid w:val="00424959"/>
    <w:rsid w:val="004251AD"/>
    <w:rsid w:val="0042784F"/>
    <w:rsid w:val="00432BD8"/>
    <w:rsid w:val="004341BD"/>
    <w:rsid w:val="004419CD"/>
    <w:rsid w:val="00441FC3"/>
    <w:rsid w:val="00446992"/>
    <w:rsid w:val="00446AD6"/>
    <w:rsid w:val="00450141"/>
    <w:rsid w:val="00454513"/>
    <w:rsid w:val="004617D9"/>
    <w:rsid w:val="00474C53"/>
    <w:rsid w:val="00475D53"/>
    <w:rsid w:val="00480C94"/>
    <w:rsid w:val="004847B9"/>
    <w:rsid w:val="00484F8E"/>
    <w:rsid w:val="00486B8C"/>
    <w:rsid w:val="0048771F"/>
    <w:rsid w:val="00491B86"/>
    <w:rsid w:val="00493C2E"/>
    <w:rsid w:val="00496047"/>
    <w:rsid w:val="004964EC"/>
    <w:rsid w:val="00496B0F"/>
    <w:rsid w:val="00497D2E"/>
    <w:rsid w:val="004A4B25"/>
    <w:rsid w:val="004A59F9"/>
    <w:rsid w:val="004B1258"/>
    <w:rsid w:val="004B189C"/>
    <w:rsid w:val="004B1F1F"/>
    <w:rsid w:val="004B4705"/>
    <w:rsid w:val="004C1F0B"/>
    <w:rsid w:val="004C345B"/>
    <w:rsid w:val="004C59E7"/>
    <w:rsid w:val="004D37DA"/>
    <w:rsid w:val="004D7453"/>
    <w:rsid w:val="004E1427"/>
    <w:rsid w:val="004E5C31"/>
    <w:rsid w:val="004F03F6"/>
    <w:rsid w:val="004F2F5C"/>
    <w:rsid w:val="004F3EFD"/>
    <w:rsid w:val="004F5AD4"/>
    <w:rsid w:val="004F5D50"/>
    <w:rsid w:val="004F6DBA"/>
    <w:rsid w:val="004F738A"/>
    <w:rsid w:val="00500769"/>
    <w:rsid w:val="00500DAE"/>
    <w:rsid w:val="005025DE"/>
    <w:rsid w:val="0051006C"/>
    <w:rsid w:val="005243EA"/>
    <w:rsid w:val="00525CA4"/>
    <w:rsid w:val="00525E82"/>
    <w:rsid w:val="00526B73"/>
    <w:rsid w:val="005271FE"/>
    <w:rsid w:val="005307AA"/>
    <w:rsid w:val="0053103E"/>
    <w:rsid w:val="005310BA"/>
    <w:rsid w:val="00531EF1"/>
    <w:rsid w:val="00535247"/>
    <w:rsid w:val="005369A5"/>
    <w:rsid w:val="00536ACD"/>
    <w:rsid w:val="00541C6D"/>
    <w:rsid w:val="00542B89"/>
    <w:rsid w:val="00545735"/>
    <w:rsid w:val="00545C39"/>
    <w:rsid w:val="005563E9"/>
    <w:rsid w:val="00556B3E"/>
    <w:rsid w:val="00560E01"/>
    <w:rsid w:val="005657B2"/>
    <w:rsid w:val="00566049"/>
    <w:rsid w:val="00566692"/>
    <w:rsid w:val="00572C52"/>
    <w:rsid w:val="00573F75"/>
    <w:rsid w:val="00574728"/>
    <w:rsid w:val="00575CCF"/>
    <w:rsid w:val="00576C73"/>
    <w:rsid w:val="00580399"/>
    <w:rsid w:val="005852CA"/>
    <w:rsid w:val="0058536D"/>
    <w:rsid w:val="005862E6"/>
    <w:rsid w:val="005903BA"/>
    <w:rsid w:val="00590E43"/>
    <w:rsid w:val="005A0BEB"/>
    <w:rsid w:val="005A3B07"/>
    <w:rsid w:val="005B0170"/>
    <w:rsid w:val="005C0288"/>
    <w:rsid w:val="005C09D4"/>
    <w:rsid w:val="005C62C6"/>
    <w:rsid w:val="005D108E"/>
    <w:rsid w:val="005D60A6"/>
    <w:rsid w:val="005E4781"/>
    <w:rsid w:val="005E73A1"/>
    <w:rsid w:val="005E7DC6"/>
    <w:rsid w:val="005F4685"/>
    <w:rsid w:val="00600C46"/>
    <w:rsid w:val="006055D5"/>
    <w:rsid w:val="00605A27"/>
    <w:rsid w:val="00606611"/>
    <w:rsid w:val="006103FB"/>
    <w:rsid w:val="006108E6"/>
    <w:rsid w:val="00612683"/>
    <w:rsid w:val="006135D1"/>
    <w:rsid w:val="0061407E"/>
    <w:rsid w:val="00615D12"/>
    <w:rsid w:val="00617210"/>
    <w:rsid w:val="00617936"/>
    <w:rsid w:val="00617AFE"/>
    <w:rsid w:val="0062070B"/>
    <w:rsid w:val="006243FE"/>
    <w:rsid w:val="0062545A"/>
    <w:rsid w:val="0062613A"/>
    <w:rsid w:val="00627C2B"/>
    <w:rsid w:val="00635722"/>
    <w:rsid w:val="0064222D"/>
    <w:rsid w:val="00644B4A"/>
    <w:rsid w:val="006479D1"/>
    <w:rsid w:val="006517D1"/>
    <w:rsid w:val="00651946"/>
    <w:rsid w:val="0065280D"/>
    <w:rsid w:val="00664667"/>
    <w:rsid w:val="0066512E"/>
    <w:rsid w:val="006757AB"/>
    <w:rsid w:val="00676AAC"/>
    <w:rsid w:val="006773B4"/>
    <w:rsid w:val="00677990"/>
    <w:rsid w:val="00682180"/>
    <w:rsid w:val="00684CD1"/>
    <w:rsid w:val="006862B0"/>
    <w:rsid w:val="00694A8D"/>
    <w:rsid w:val="00696DC4"/>
    <w:rsid w:val="006A1F6F"/>
    <w:rsid w:val="006A1FD5"/>
    <w:rsid w:val="006A35C1"/>
    <w:rsid w:val="006A748B"/>
    <w:rsid w:val="006B134B"/>
    <w:rsid w:val="006B2CE2"/>
    <w:rsid w:val="006B468A"/>
    <w:rsid w:val="006B6BB9"/>
    <w:rsid w:val="006C00EB"/>
    <w:rsid w:val="006C030C"/>
    <w:rsid w:val="006C4EB8"/>
    <w:rsid w:val="006C505F"/>
    <w:rsid w:val="006D4F41"/>
    <w:rsid w:val="006D6EFB"/>
    <w:rsid w:val="006D735A"/>
    <w:rsid w:val="006E1EEA"/>
    <w:rsid w:val="006E2ADF"/>
    <w:rsid w:val="006E2BC5"/>
    <w:rsid w:val="006E400E"/>
    <w:rsid w:val="006E6F37"/>
    <w:rsid w:val="006E768C"/>
    <w:rsid w:val="006F1D47"/>
    <w:rsid w:val="006F1F28"/>
    <w:rsid w:val="006F23B1"/>
    <w:rsid w:val="007021B4"/>
    <w:rsid w:val="007051F4"/>
    <w:rsid w:val="00705B7B"/>
    <w:rsid w:val="00710924"/>
    <w:rsid w:val="007116A2"/>
    <w:rsid w:val="00720B4C"/>
    <w:rsid w:val="00722C32"/>
    <w:rsid w:val="00722E77"/>
    <w:rsid w:val="007237D4"/>
    <w:rsid w:val="00725696"/>
    <w:rsid w:val="00725906"/>
    <w:rsid w:val="00726975"/>
    <w:rsid w:val="00726F1F"/>
    <w:rsid w:val="0072776C"/>
    <w:rsid w:val="00727E4F"/>
    <w:rsid w:val="00731598"/>
    <w:rsid w:val="007346C0"/>
    <w:rsid w:val="007346CE"/>
    <w:rsid w:val="007349CB"/>
    <w:rsid w:val="007352B3"/>
    <w:rsid w:val="00735AAB"/>
    <w:rsid w:val="00736B94"/>
    <w:rsid w:val="00737FCE"/>
    <w:rsid w:val="00741825"/>
    <w:rsid w:val="00743CE4"/>
    <w:rsid w:val="00745231"/>
    <w:rsid w:val="00747514"/>
    <w:rsid w:val="00751550"/>
    <w:rsid w:val="00753E64"/>
    <w:rsid w:val="007575FF"/>
    <w:rsid w:val="0076376B"/>
    <w:rsid w:val="00764EAA"/>
    <w:rsid w:val="007676F1"/>
    <w:rsid w:val="00771708"/>
    <w:rsid w:val="00771A05"/>
    <w:rsid w:val="00773F07"/>
    <w:rsid w:val="007820EF"/>
    <w:rsid w:val="007873A5"/>
    <w:rsid w:val="00790E40"/>
    <w:rsid w:val="00790FB8"/>
    <w:rsid w:val="007919BA"/>
    <w:rsid w:val="007925EF"/>
    <w:rsid w:val="00794C4A"/>
    <w:rsid w:val="0079507A"/>
    <w:rsid w:val="00797CD1"/>
    <w:rsid w:val="007A0D8B"/>
    <w:rsid w:val="007A0E07"/>
    <w:rsid w:val="007A11BE"/>
    <w:rsid w:val="007A4550"/>
    <w:rsid w:val="007A4996"/>
    <w:rsid w:val="007A5BD1"/>
    <w:rsid w:val="007A7975"/>
    <w:rsid w:val="007A7FD1"/>
    <w:rsid w:val="007B19F4"/>
    <w:rsid w:val="007B254E"/>
    <w:rsid w:val="007B51DD"/>
    <w:rsid w:val="007C2D37"/>
    <w:rsid w:val="007C7F12"/>
    <w:rsid w:val="007D26EB"/>
    <w:rsid w:val="007D6D1A"/>
    <w:rsid w:val="007E5ACD"/>
    <w:rsid w:val="007F07DD"/>
    <w:rsid w:val="007F1AAF"/>
    <w:rsid w:val="00801B7F"/>
    <w:rsid w:val="0080479F"/>
    <w:rsid w:val="00813A48"/>
    <w:rsid w:val="00814A7C"/>
    <w:rsid w:val="008155D0"/>
    <w:rsid w:val="00820AFD"/>
    <w:rsid w:val="0082155D"/>
    <w:rsid w:val="00821CAC"/>
    <w:rsid w:val="0083191C"/>
    <w:rsid w:val="00831AE5"/>
    <w:rsid w:val="00833E49"/>
    <w:rsid w:val="0083463B"/>
    <w:rsid w:val="00834D1D"/>
    <w:rsid w:val="00836DB6"/>
    <w:rsid w:val="00837EE1"/>
    <w:rsid w:val="008416B3"/>
    <w:rsid w:val="00846A84"/>
    <w:rsid w:val="00852314"/>
    <w:rsid w:val="0085760D"/>
    <w:rsid w:val="00857EAA"/>
    <w:rsid w:val="00860BA3"/>
    <w:rsid w:val="00861CEA"/>
    <w:rsid w:val="00862A8F"/>
    <w:rsid w:val="008642F4"/>
    <w:rsid w:val="0086442A"/>
    <w:rsid w:val="0086647D"/>
    <w:rsid w:val="00881D87"/>
    <w:rsid w:val="008852F3"/>
    <w:rsid w:val="00886DF7"/>
    <w:rsid w:val="00887091"/>
    <w:rsid w:val="0089207D"/>
    <w:rsid w:val="00893855"/>
    <w:rsid w:val="008A5A91"/>
    <w:rsid w:val="008A5F0E"/>
    <w:rsid w:val="008B15A6"/>
    <w:rsid w:val="008B2473"/>
    <w:rsid w:val="008C4B8B"/>
    <w:rsid w:val="008D128E"/>
    <w:rsid w:val="008D29E5"/>
    <w:rsid w:val="008D37BD"/>
    <w:rsid w:val="008D3D71"/>
    <w:rsid w:val="008D4566"/>
    <w:rsid w:val="008D5DD6"/>
    <w:rsid w:val="008E1571"/>
    <w:rsid w:val="008E1E8B"/>
    <w:rsid w:val="008E3105"/>
    <w:rsid w:val="008E469A"/>
    <w:rsid w:val="008E554D"/>
    <w:rsid w:val="00900DF0"/>
    <w:rsid w:val="00901B8C"/>
    <w:rsid w:val="00902878"/>
    <w:rsid w:val="00903544"/>
    <w:rsid w:val="009046BD"/>
    <w:rsid w:val="009103EC"/>
    <w:rsid w:val="00913970"/>
    <w:rsid w:val="009146D5"/>
    <w:rsid w:val="00916B32"/>
    <w:rsid w:val="0091711E"/>
    <w:rsid w:val="009174A7"/>
    <w:rsid w:val="00917D22"/>
    <w:rsid w:val="009244CC"/>
    <w:rsid w:val="00924B15"/>
    <w:rsid w:val="00934FFB"/>
    <w:rsid w:val="00940222"/>
    <w:rsid w:val="00943EAD"/>
    <w:rsid w:val="00947417"/>
    <w:rsid w:val="009479BF"/>
    <w:rsid w:val="00950409"/>
    <w:rsid w:val="00950FB1"/>
    <w:rsid w:val="00952665"/>
    <w:rsid w:val="00953503"/>
    <w:rsid w:val="009556A3"/>
    <w:rsid w:val="009639C3"/>
    <w:rsid w:val="009734EA"/>
    <w:rsid w:val="009754F2"/>
    <w:rsid w:val="0098338B"/>
    <w:rsid w:val="00983AF0"/>
    <w:rsid w:val="00985EAF"/>
    <w:rsid w:val="009862B3"/>
    <w:rsid w:val="00996573"/>
    <w:rsid w:val="00997E84"/>
    <w:rsid w:val="009B080A"/>
    <w:rsid w:val="009B185C"/>
    <w:rsid w:val="009B7B27"/>
    <w:rsid w:val="009C2CEF"/>
    <w:rsid w:val="009C7E23"/>
    <w:rsid w:val="009D44E6"/>
    <w:rsid w:val="009E1F58"/>
    <w:rsid w:val="009E302E"/>
    <w:rsid w:val="009E4D30"/>
    <w:rsid w:val="009E6EDF"/>
    <w:rsid w:val="009F07A5"/>
    <w:rsid w:val="009F160B"/>
    <w:rsid w:val="009F6886"/>
    <w:rsid w:val="009F6D73"/>
    <w:rsid w:val="00A015F0"/>
    <w:rsid w:val="00A042C9"/>
    <w:rsid w:val="00A105F2"/>
    <w:rsid w:val="00A11691"/>
    <w:rsid w:val="00A119C9"/>
    <w:rsid w:val="00A1307C"/>
    <w:rsid w:val="00A14B9A"/>
    <w:rsid w:val="00A15991"/>
    <w:rsid w:val="00A171DC"/>
    <w:rsid w:val="00A2031D"/>
    <w:rsid w:val="00A20782"/>
    <w:rsid w:val="00A2094F"/>
    <w:rsid w:val="00A20F1E"/>
    <w:rsid w:val="00A21C10"/>
    <w:rsid w:val="00A264FE"/>
    <w:rsid w:val="00A27D26"/>
    <w:rsid w:val="00A30D6D"/>
    <w:rsid w:val="00A40680"/>
    <w:rsid w:val="00A42771"/>
    <w:rsid w:val="00A45679"/>
    <w:rsid w:val="00A47611"/>
    <w:rsid w:val="00A47629"/>
    <w:rsid w:val="00A50C8B"/>
    <w:rsid w:val="00A545AB"/>
    <w:rsid w:val="00A60A4E"/>
    <w:rsid w:val="00A63051"/>
    <w:rsid w:val="00A637FA"/>
    <w:rsid w:val="00A66301"/>
    <w:rsid w:val="00A670DF"/>
    <w:rsid w:val="00A673BF"/>
    <w:rsid w:val="00A6795B"/>
    <w:rsid w:val="00A72634"/>
    <w:rsid w:val="00A75888"/>
    <w:rsid w:val="00A759F3"/>
    <w:rsid w:val="00A75FEE"/>
    <w:rsid w:val="00A85FA2"/>
    <w:rsid w:val="00A86570"/>
    <w:rsid w:val="00A9345E"/>
    <w:rsid w:val="00A94E87"/>
    <w:rsid w:val="00A962F9"/>
    <w:rsid w:val="00A977EF"/>
    <w:rsid w:val="00A97CE9"/>
    <w:rsid w:val="00AB0604"/>
    <w:rsid w:val="00AB0C55"/>
    <w:rsid w:val="00AB5FA5"/>
    <w:rsid w:val="00AB62CA"/>
    <w:rsid w:val="00AB724F"/>
    <w:rsid w:val="00AC4001"/>
    <w:rsid w:val="00AC777F"/>
    <w:rsid w:val="00AD3579"/>
    <w:rsid w:val="00AE372A"/>
    <w:rsid w:val="00AE67FF"/>
    <w:rsid w:val="00AF5018"/>
    <w:rsid w:val="00AF6157"/>
    <w:rsid w:val="00AF7DCE"/>
    <w:rsid w:val="00B043DC"/>
    <w:rsid w:val="00B04832"/>
    <w:rsid w:val="00B04F7D"/>
    <w:rsid w:val="00B117F4"/>
    <w:rsid w:val="00B121BD"/>
    <w:rsid w:val="00B146AC"/>
    <w:rsid w:val="00B17122"/>
    <w:rsid w:val="00B32D50"/>
    <w:rsid w:val="00B34A89"/>
    <w:rsid w:val="00B3528A"/>
    <w:rsid w:val="00B36631"/>
    <w:rsid w:val="00B36EB2"/>
    <w:rsid w:val="00B41444"/>
    <w:rsid w:val="00B42275"/>
    <w:rsid w:val="00B4755F"/>
    <w:rsid w:val="00B56791"/>
    <w:rsid w:val="00B56B25"/>
    <w:rsid w:val="00B56C73"/>
    <w:rsid w:val="00B607B3"/>
    <w:rsid w:val="00B65421"/>
    <w:rsid w:val="00B70D99"/>
    <w:rsid w:val="00B714EE"/>
    <w:rsid w:val="00B72498"/>
    <w:rsid w:val="00B73B9B"/>
    <w:rsid w:val="00B76477"/>
    <w:rsid w:val="00B77344"/>
    <w:rsid w:val="00B809CD"/>
    <w:rsid w:val="00B83597"/>
    <w:rsid w:val="00B862F0"/>
    <w:rsid w:val="00B91C7F"/>
    <w:rsid w:val="00B936B8"/>
    <w:rsid w:val="00BA26F2"/>
    <w:rsid w:val="00BA578F"/>
    <w:rsid w:val="00BA6979"/>
    <w:rsid w:val="00BA7243"/>
    <w:rsid w:val="00BB2087"/>
    <w:rsid w:val="00BB3616"/>
    <w:rsid w:val="00BC1376"/>
    <w:rsid w:val="00BC21AD"/>
    <w:rsid w:val="00BC6329"/>
    <w:rsid w:val="00BC6724"/>
    <w:rsid w:val="00BD0D9B"/>
    <w:rsid w:val="00BD2A8E"/>
    <w:rsid w:val="00BD2AB3"/>
    <w:rsid w:val="00BD57F0"/>
    <w:rsid w:val="00BE12EA"/>
    <w:rsid w:val="00BE2483"/>
    <w:rsid w:val="00BE2FBB"/>
    <w:rsid w:val="00BE473F"/>
    <w:rsid w:val="00BF07FE"/>
    <w:rsid w:val="00BF08BC"/>
    <w:rsid w:val="00BF1C48"/>
    <w:rsid w:val="00BF5852"/>
    <w:rsid w:val="00BF6E17"/>
    <w:rsid w:val="00C00568"/>
    <w:rsid w:val="00C0462D"/>
    <w:rsid w:val="00C04F08"/>
    <w:rsid w:val="00C10E02"/>
    <w:rsid w:val="00C134E2"/>
    <w:rsid w:val="00C2116C"/>
    <w:rsid w:val="00C2172C"/>
    <w:rsid w:val="00C2467A"/>
    <w:rsid w:val="00C25F6F"/>
    <w:rsid w:val="00C26D26"/>
    <w:rsid w:val="00C32D27"/>
    <w:rsid w:val="00C3520F"/>
    <w:rsid w:val="00C36FCD"/>
    <w:rsid w:val="00C41B29"/>
    <w:rsid w:val="00C4434F"/>
    <w:rsid w:val="00C461A9"/>
    <w:rsid w:val="00C4714D"/>
    <w:rsid w:val="00C550EB"/>
    <w:rsid w:val="00C573F8"/>
    <w:rsid w:val="00C65BE3"/>
    <w:rsid w:val="00C661B9"/>
    <w:rsid w:val="00C67C24"/>
    <w:rsid w:val="00C72D96"/>
    <w:rsid w:val="00C77D7E"/>
    <w:rsid w:val="00C80D95"/>
    <w:rsid w:val="00C82DA8"/>
    <w:rsid w:val="00C8749B"/>
    <w:rsid w:val="00C90B98"/>
    <w:rsid w:val="00CA29CB"/>
    <w:rsid w:val="00CA41CF"/>
    <w:rsid w:val="00CA4410"/>
    <w:rsid w:val="00CA4F8B"/>
    <w:rsid w:val="00CA6435"/>
    <w:rsid w:val="00CB2FA6"/>
    <w:rsid w:val="00CB43A2"/>
    <w:rsid w:val="00CB7A1B"/>
    <w:rsid w:val="00CC2130"/>
    <w:rsid w:val="00CC3DD5"/>
    <w:rsid w:val="00CC4482"/>
    <w:rsid w:val="00CC6708"/>
    <w:rsid w:val="00CD1FEA"/>
    <w:rsid w:val="00CD6B20"/>
    <w:rsid w:val="00CD6F54"/>
    <w:rsid w:val="00CD76D6"/>
    <w:rsid w:val="00CE30BD"/>
    <w:rsid w:val="00CE4B69"/>
    <w:rsid w:val="00CE58E6"/>
    <w:rsid w:val="00CE5CF8"/>
    <w:rsid w:val="00CE6A19"/>
    <w:rsid w:val="00CE763C"/>
    <w:rsid w:val="00CF1A58"/>
    <w:rsid w:val="00CF2B70"/>
    <w:rsid w:val="00CF507D"/>
    <w:rsid w:val="00CF5E6F"/>
    <w:rsid w:val="00D06555"/>
    <w:rsid w:val="00D07E7D"/>
    <w:rsid w:val="00D11A1E"/>
    <w:rsid w:val="00D12635"/>
    <w:rsid w:val="00D1504F"/>
    <w:rsid w:val="00D24135"/>
    <w:rsid w:val="00D341DE"/>
    <w:rsid w:val="00D3519E"/>
    <w:rsid w:val="00D379C4"/>
    <w:rsid w:val="00D429FE"/>
    <w:rsid w:val="00D451B9"/>
    <w:rsid w:val="00D452A6"/>
    <w:rsid w:val="00D452EC"/>
    <w:rsid w:val="00D63655"/>
    <w:rsid w:val="00D71612"/>
    <w:rsid w:val="00D7231C"/>
    <w:rsid w:val="00D75608"/>
    <w:rsid w:val="00D75A85"/>
    <w:rsid w:val="00D760FE"/>
    <w:rsid w:val="00D827B1"/>
    <w:rsid w:val="00D90086"/>
    <w:rsid w:val="00D90D73"/>
    <w:rsid w:val="00D97443"/>
    <w:rsid w:val="00D977CF"/>
    <w:rsid w:val="00DA4CB5"/>
    <w:rsid w:val="00DA62AD"/>
    <w:rsid w:val="00DA769F"/>
    <w:rsid w:val="00DB162B"/>
    <w:rsid w:val="00DB2A52"/>
    <w:rsid w:val="00DB78F7"/>
    <w:rsid w:val="00DB7BB3"/>
    <w:rsid w:val="00DC0E8D"/>
    <w:rsid w:val="00DC566F"/>
    <w:rsid w:val="00DD0615"/>
    <w:rsid w:val="00DD1082"/>
    <w:rsid w:val="00DD6CFD"/>
    <w:rsid w:val="00DE3014"/>
    <w:rsid w:val="00DE38D7"/>
    <w:rsid w:val="00DE7ED9"/>
    <w:rsid w:val="00DF14C0"/>
    <w:rsid w:val="00DF4B2E"/>
    <w:rsid w:val="00DF66F8"/>
    <w:rsid w:val="00E0632C"/>
    <w:rsid w:val="00E068DC"/>
    <w:rsid w:val="00E108FF"/>
    <w:rsid w:val="00E17128"/>
    <w:rsid w:val="00E173B6"/>
    <w:rsid w:val="00E20AC6"/>
    <w:rsid w:val="00E20F04"/>
    <w:rsid w:val="00E244F1"/>
    <w:rsid w:val="00E32FD9"/>
    <w:rsid w:val="00E34095"/>
    <w:rsid w:val="00E35704"/>
    <w:rsid w:val="00E35B5F"/>
    <w:rsid w:val="00E36DAC"/>
    <w:rsid w:val="00E40EDA"/>
    <w:rsid w:val="00E41328"/>
    <w:rsid w:val="00E42052"/>
    <w:rsid w:val="00E46DD4"/>
    <w:rsid w:val="00E46E4F"/>
    <w:rsid w:val="00E470A9"/>
    <w:rsid w:val="00E52A0F"/>
    <w:rsid w:val="00E64CBF"/>
    <w:rsid w:val="00E65437"/>
    <w:rsid w:val="00E65539"/>
    <w:rsid w:val="00E67073"/>
    <w:rsid w:val="00E709BA"/>
    <w:rsid w:val="00E7185E"/>
    <w:rsid w:val="00E73BF7"/>
    <w:rsid w:val="00E75212"/>
    <w:rsid w:val="00E80B05"/>
    <w:rsid w:val="00E815F9"/>
    <w:rsid w:val="00E8244C"/>
    <w:rsid w:val="00E9555A"/>
    <w:rsid w:val="00E976EE"/>
    <w:rsid w:val="00EA4E6B"/>
    <w:rsid w:val="00EA5C59"/>
    <w:rsid w:val="00EA6C3D"/>
    <w:rsid w:val="00EB0619"/>
    <w:rsid w:val="00EB2DF9"/>
    <w:rsid w:val="00EB4033"/>
    <w:rsid w:val="00EB4924"/>
    <w:rsid w:val="00EB4979"/>
    <w:rsid w:val="00EB68A5"/>
    <w:rsid w:val="00EC3EAA"/>
    <w:rsid w:val="00EC4F41"/>
    <w:rsid w:val="00EC7040"/>
    <w:rsid w:val="00ED06E6"/>
    <w:rsid w:val="00ED07D6"/>
    <w:rsid w:val="00ED3271"/>
    <w:rsid w:val="00ED5415"/>
    <w:rsid w:val="00ED5DFC"/>
    <w:rsid w:val="00EE0ACF"/>
    <w:rsid w:val="00EE2C43"/>
    <w:rsid w:val="00EE3840"/>
    <w:rsid w:val="00EF0A38"/>
    <w:rsid w:val="00EF0E73"/>
    <w:rsid w:val="00EF1348"/>
    <w:rsid w:val="00EF1385"/>
    <w:rsid w:val="00EF3C02"/>
    <w:rsid w:val="00F0128E"/>
    <w:rsid w:val="00F110B5"/>
    <w:rsid w:val="00F12718"/>
    <w:rsid w:val="00F15DE6"/>
    <w:rsid w:val="00F17BCD"/>
    <w:rsid w:val="00F270C7"/>
    <w:rsid w:val="00F3421F"/>
    <w:rsid w:val="00F36C92"/>
    <w:rsid w:val="00F4185A"/>
    <w:rsid w:val="00F4575F"/>
    <w:rsid w:val="00F476D0"/>
    <w:rsid w:val="00F55D36"/>
    <w:rsid w:val="00F57BA5"/>
    <w:rsid w:val="00F6286D"/>
    <w:rsid w:val="00F65FF9"/>
    <w:rsid w:val="00F66752"/>
    <w:rsid w:val="00F74BC1"/>
    <w:rsid w:val="00F8108F"/>
    <w:rsid w:val="00F8170E"/>
    <w:rsid w:val="00F82DAB"/>
    <w:rsid w:val="00F858E5"/>
    <w:rsid w:val="00F85942"/>
    <w:rsid w:val="00F91FC1"/>
    <w:rsid w:val="00F9559A"/>
    <w:rsid w:val="00FA3262"/>
    <w:rsid w:val="00FA4C0C"/>
    <w:rsid w:val="00FA68DF"/>
    <w:rsid w:val="00FB116A"/>
    <w:rsid w:val="00FB1BDF"/>
    <w:rsid w:val="00FB2A00"/>
    <w:rsid w:val="00FB74BA"/>
    <w:rsid w:val="00FC05D4"/>
    <w:rsid w:val="00FC5E1B"/>
    <w:rsid w:val="00FD279A"/>
    <w:rsid w:val="00FD4336"/>
    <w:rsid w:val="00FD4DDB"/>
    <w:rsid w:val="00FD5BFD"/>
    <w:rsid w:val="00FE23B3"/>
    <w:rsid w:val="00FE66F1"/>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7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19" w:unhideWhenUsed="1" w:qFormat="1"/>
    <w:lsdException w:name="heading 5" w:uiPriority="19"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9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85" w:unhideWhenUsed="1"/>
    <w:lsdException w:name="footer" w:semiHidden="1" w:uiPriority="84"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7B3"/>
    <w:pPr>
      <w:keepLines/>
    </w:pPr>
  </w:style>
  <w:style w:type="paragraph" w:styleId="Heading10">
    <w:name w:val="heading 1"/>
    <w:next w:val="Normal"/>
    <w:link w:val="Heading1Char"/>
    <w:uiPriority w:val="9"/>
    <w:qFormat/>
    <w:rsid w:val="002E2498"/>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287535"/>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19"/>
    <w:qFormat/>
    <w:rsid w:val="00496047"/>
    <w:pPr>
      <w:numPr>
        <w:ilvl w:val="2"/>
      </w:numPr>
      <w:outlineLvl w:val="2"/>
    </w:pPr>
    <w:rPr>
      <w:bCs/>
      <w:sz w:val="22"/>
    </w:rPr>
  </w:style>
  <w:style w:type="paragraph" w:styleId="Heading4">
    <w:name w:val="heading 4"/>
    <w:basedOn w:val="Heading30"/>
    <w:next w:val="Normal"/>
    <w:link w:val="Heading4Char"/>
    <w:uiPriority w:val="19"/>
    <w:qFormat/>
    <w:rsid w:val="00287535"/>
    <w:pPr>
      <w:numPr>
        <w:ilvl w:val="3"/>
      </w:numPr>
      <w:spacing w:before="180"/>
      <w:outlineLvl w:val="3"/>
    </w:pPr>
    <w:rPr>
      <w:b w:val="0"/>
      <w:bCs w:val="0"/>
      <w:i/>
      <w:iCs/>
      <w:spacing w:val="0"/>
    </w:rPr>
  </w:style>
  <w:style w:type="paragraph" w:styleId="Heading5">
    <w:name w:val="heading 5"/>
    <w:basedOn w:val="Heading4"/>
    <w:next w:val="Normal"/>
    <w:link w:val="Heading5Char"/>
    <w:uiPriority w:val="19"/>
    <w:unhideWhenUsed/>
    <w:qFormat/>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2E2498"/>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400B44"/>
    <w:pPr>
      <w:keepNext/>
      <w:pageBreakBefore/>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19"/>
    <w:rsid w:val="00496047"/>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287535"/>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19"/>
    <w:rsid w:val="00287535"/>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79"/>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7A11BE"/>
    <w:rPr>
      <w:rFonts w:eastAsiaTheme="minorEastAsia"/>
      <w:sz w:val="20"/>
      <w:lang w:val="en-US" w:eastAsia="ja-JP"/>
    </w:rPr>
  </w:style>
  <w:style w:type="character" w:styleId="SubtleEmphasis">
    <w:name w:val="Subtle Emphasis"/>
    <w:basedOn w:val="DefaultParagraphFont"/>
    <w:uiPriority w:val="98"/>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6795B"/>
    <w:rPr>
      <w:rFonts w:asciiTheme="majorHAnsi" w:hAnsiTheme="majorHAnsi"/>
      <w:sz w:val="18"/>
    </w:rPr>
  </w:style>
  <w:style w:type="paragraph" w:customStyle="1" w:styleId="Footerodd">
    <w:name w:val="Footer (odd)"/>
    <w:basedOn w:val="Footer"/>
    <w:link w:val="FooteroddChar"/>
    <w:uiPriority w:val="84"/>
    <w:rsid w:val="00A6795B"/>
    <w:pPr>
      <w:pBdr>
        <w:top w:val="single" w:sz="6" w:space="1" w:color="auto"/>
      </w:pBdr>
      <w:tabs>
        <w:tab w:val="clear" w:pos="4513"/>
        <w:tab w:val="clear" w:pos="9026"/>
        <w:tab w:val="center" w:pos="5387"/>
        <w:tab w:val="right" w:pos="7711"/>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526B73"/>
    <w:pPr>
      <w:tabs>
        <w:tab w:val="right" w:leader="dot" w:pos="7711"/>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19"/>
    <w:rsid w:val="00EB0619"/>
    <w:rPr>
      <w:rFonts w:asciiTheme="majorHAnsi" w:eastAsiaTheme="majorEastAsia" w:hAnsiTheme="majorHAnsi" w:cstheme="majorBidi"/>
      <w:b/>
      <w:iCs/>
      <w:sz w:val="21"/>
      <w:szCs w:val="26"/>
    </w:rPr>
  </w:style>
  <w:style w:type="paragraph" w:styleId="ListBullet">
    <w:name w:val="List Bullet"/>
    <w:basedOn w:val="Normal"/>
    <w:link w:val="ListBulletChar"/>
    <w:uiPriority w:val="19"/>
    <w:qFormat/>
    <w:rsid w:val="00CE5CF8"/>
    <w:pPr>
      <w:numPr>
        <w:numId w:val="7"/>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rsid w:val="004419CD"/>
    <w:pPr>
      <w:tabs>
        <w:tab w:val="center" w:pos="4513"/>
        <w:tab w:val="right" w:pos="9026"/>
      </w:tabs>
      <w:spacing w:before="0"/>
    </w:pPr>
  </w:style>
  <w:style w:type="paragraph" w:styleId="TOC2">
    <w:name w:val="toc 2"/>
    <w:basedOn w:val="TOC1"/>
    <w:next w:val="Normal"/>
    <w:uiPriority w:val="39"/>
    <w:rsid w:val="00834D1D"/>
    <w:pPr>
      <w:spacing w:before="40" w:after="4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9"/>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semiHidden/>
    <w:unhideWhenUsed/>
    <w:rsid w:val="00924B15"/>
    <w:rPr>
      <w:rFonts w:ascii="Tahoma" w:hAnsi="Tahoma" w:cs="Tahoma"/>
      <w:sz w:val="16"/>
      <w:szCs w:val="16"/>
    </w:rPr>
  </w:style>
  <w:style w:type="character" w:customStyle="1" w:styleId="BalloonTextChar">
    <w:name w:val="Balloon Text Char"/>
    <w:basedOn w:val="DefaultParagraphFont"/>
    <w:link w:val="BalloonText"/>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79"/>
    <w:qFormat/>
    <w:rsid w:val="00EB0619"/>
    <w:pPr>
      <w:keepNext/>
    </w:pPr>
    <w:rPr>
      <w:rFonts w:asciiTheme="majorHAnsi" w:hAnsiTheme="majorHAnsi"/>
      <w:b/>
    </w:rPr>
  </w:style>
  <w:style w:type="paragraph" w:customStyle="1" w:styleId="HighlightBoxBullet">
    <w:name w:val="Highlight Box Bullet"/>
    <w:basedOn w:val="ListBullet"/>
    <w:link w:val="HighlightBoxBulletChar"/>
    <w:uiPriority w:val="79"/>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2D3FE4"/>
    <w:pPr>
      <w:keepNext/>
      <w:tabs>
        <w:tab w:val="left" w:pos="1134"/>
        <w:tab w:val="right" w:pos="7711"/>
        <w:tab w:val="right" w:pos="9639"/>
        <w:tab w:val="right" w:pos="14742"/>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287535"/>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Footer"/>
    <w:link w:val="FooterevenChar"/>
    <w:uiPriority w:val="84"/>
    <w:rsid w:val="00A6795B"/>
    <w:pPr>
      <w:pBdr>
        <w:top w:val="single" w:sz="6" w:space="1" w:color="auto"/>
      </w:pBdr>
      <w:tabs>
        <w:tab w:val="clear" w:pos="4513"/>
        <w:tab w:val="clear" w:pos="9026"/>
        <w:tab w:val="center" w:pos="2268"/>
        <w:tab w:val="right" w:pos="7711"/>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287535"/>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287535"/>
    <w:pPr>
      <w:numPr>
        <w:numId w:val="14"/>
      </w:numPr>
      <w:spacing w:after="120"/>
    </w:pPr>
  </w:style>
  <w:style w:type="character" w:customStyle="1" w:styleId="Heading3Char0">
    <w:name w:val="Heading 3 (#) Char"/>
    <w:basedOn w:val="Heading3Char"/>
    <w:link w:val="Heading3"/>
    <w:uiPriority w:val="14"/>
    <w:rsid w:val="00287535"/>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C00568"/>
    <w:rPr>
      <w:sz w:val="16"/>
      <w:szCs w:val="16"/>
    </w:rPr>
  </w:style>
  <w:style w:type="paragraph" w:styleId="CommentText">
    <w:name w:val="annotation text"/>
    <w:basedOn w:val="Normal"/>
    <w:link w:val="CommentTextChar"/>
    <w:semiHidden/>
    <w:unhideWhenUsed/>
    <w:rsid w:val="00C00568"/>
    <w:rPr>
      <w:sz w:val="20"/>
      <w:szCs w:val="20"/>
    </w:rPr>
  </w:style>
  <w:style w:type="character" w:customStyle="1" w:styleId="CommentTextChar">
    <w:name w:val="Comment Text Char"/>
    <w:basedOn w:val="DefaultParagraphFont"/>
    <w:link w:val="CommentText"/>
    <w:semiHidden/>
    <w:rsid w:val="00C00568"/>
    <w:rPr>
      <w:sz w:val="20"/>
      <w:szCs w:val="20"/>
    </w:rPr>
  </w:style>
  <w:style w:type="paragraph" w:styleId="CommentSubject">
    <w:name w:val="annotation subject"/>
    <w:basedOn w:val="CommentText"/>
    <w:next w:val="CommentText"/>
    <w:link w:val="CommentSubjectChar"/>
    <w:semiHidden/>
    <w:unhideWhenUsed/>
    <w:rsid w:val="00C00568"/>
    <w:rPr>
      <w:b/>
      <w:bCs/>
    </w:rPr>
  </w:style>
  <w:style w:type="character" w:customStyle="1" w:styleId="CommentSubjectChar">
    <w:name w:val="Comment Subject Char"/>
    <w:basedOn w:val="CommentTextChar"/>
    <w:link w:val="CommentSubject"/>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semiHidden/>
    <w:unhideWhenUsed/>
    <w:rsid w:val="00C00568"/>
    <w:pPr>
      <w:spacing w:before="0"/>
      <w:ind w:left="220" w:hanging="220"/>
    </w:pPr>
  </w:style>
  <w:style w:type="paragraph" w:styleId="Index2">
    <w:name w:val="index 2"/>
    <w:basedOn w:val="Normal"/>
    <w:next w:val="Normal"/>
    <w:autoRedefine/>
    <w:semiHidden/>
    <w:unhideWhenUsed/>
    <w:rsid w:val="00C00568"/>
    <w:pPr>
      <w:spacing w:before="0"/>
      <w:ind w:left="440" w:hanging="220"/>
    </w:p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rsid w:val="00C00568"/>
    <w:rPr>
      <w:b/>
      <w:bCs/>
      <w:i/>
      <w:iCs/>
      <w:color w:val="0063A6" w:themeColor="accent1"/>
    </w:rPr>
  </w:style>
  <w:style w:type="paragraph" w:styleId="IntenseQuote">
    <w:name w:val="Intense Quote"/>
    <w:basedOn w:val="Normal"/>
    <w:next w:val="Normal"/>
    <w:link w:val="IntenseQuoteChar"/>
    <w:uiPriority w:val="30"/>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rsid w:val="00C00568"/>
    <w:rPr>
      <w:b/>
      <w:bCs/>
      <w:i/>
      <w:iCs/>
      <w:color w:val="0063A6" w:themeColor="accent1"/>
    </w:rPr>
  </w:style>
  <w:style w:type="character" w:styleId="IntenseReference">
    <w:name w:val="Intense Reference"/>
    <w:basedOn w:val="DefaultParagraphFont"/>
    <w:uiPriority w:val="32"/>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C00568"/>
    <w:rPr>
      <w:i/>
      <w:iCs/>
      <w:color w:val="000000" w:themeColor="text1"/>
    </w:rPr>
  </w:style>
  <w:style w:type="character" w:customStyle="1" w:styleId="QuoteChar">
    <w:name w:val="Quote Char"/>
    <w:basedOn w:val="DefaultParagraphFont"/>
    <w:link w:val="Quote"/>
    <w:uiPriority w:val="29"/>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rsid w:val="00C00568"/>
    <w:rPr>
      <w:b/>
      <w:bCs/>
    </w:rPr>
  </w:style>
  <w:style w:type="paragraph" w:styleId="Subtitle">
    <w:name w:val="Subtitle"/>
    <w:basedOn w:val="Normal"/>
    <w:next w:val="Normal"/>
    <w:link w:val="SubtitleChar"/>
    <w:uiPriority w:val="11"/>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paragraph" w:styleId="TableofFigures">
    <w:name w:val="table of figures"/>
    <w:basedOn w:val="Normal"/>
    <w:next w:val="Normal"/>
    <w:uiPriority w:val="99"/>
    <w:semiHidden/>
    <w:unhideWhenUsed/>
    <w:rsid w:val="00C00568"/>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A6795B"/>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TableUnits">
    <w:name w:val="Table Units"/>
    <w:basedOn w:val="Normal"/>
    <w:next w:val="Normal"/>
    <w:link w:val="TableUnitsChar"/>
    <w:uiPriority w:val="50"/>
    <w:qFormat/>
    <w:rsid w:val="0083463B"/>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TableHeadingChar">
    <w:name w:val="Table Heading Char"/>
    <w:basedOn w:val="DefaultParagraphFont"/>
    <w:link w:val="TableHeading"/>
    <w:uiPriority w:val="49"/>
    <w:rsid w:val="002D3FE4"/>
    <w:rPr>
      <w:rFonts w:asciiTheme="majorHAnsi" w:hAnsiTheme="majorHAnsi"/>
      <w:b/>
      <w:sz w:val="20"/>
      <w:szCs w:val="20"/>
    </w:rPr>
  </w:style>
  <w:style w:type="character" w:customStyle="1" w:styleId="SourceChar">
    <w:name w:val="Source Char"/>
    <w:link w:val="Source"/>
    <w:uiPriority w:val="51"/>
    <w:locked/>
    <w:rsid w:val="00400B44"/>
    <w:rPr>
      <w:rFonts w:asciiTheme="majorHAnsi" w:hAnsiTheme="majorHAnsi"/>
      <w:i/>
      <w:spacing w:val="-2"/>
      <w:sz w:val="14"/>
    </w:rPr>
  </w:style>
  <w:style w:type="table" w:customStyle="1" w:styleId="DTFFinancialTable">
    <w:name w:val="DTF Financial Table"/>
    <w:basedOn w:val="TableNormal"/>
    <w:uiPriority w:val="99"/>
    <w:rsid w:val="00400B44"/>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numbering" w:customStyle="1" w:styleId="Headingstyles">
    <w:name w:val="Heading styles"/>
    <w:uiPriority w:val="99"/>
    <w:rsid w:val="00400B44"/>
    <w:pPr>
      <w:numPr>
        <w:numId w:val="15"/>
      </w:numPr>
    </w:pPr>
  </w:style>
  <w:style w:type="paragraph" w:customStyle="1" w:styleId="BulletText">
    <w:name w:val="Bullet Text"/>
    <w:basedOn w:val="Normal"/>
    <w:link w:val="BulletTextChar"/>
    <w:uiPriority w:val="29"/>
    <w:qFormat/>
    <w:rsid w:val="00400B44"/>
    <w:pPr>
      <w:keepLines w:val="0"/>
      <w:tabs>
        <w:tab w:val="num" w:pos="360"/>
      </w:tabs>
      <w:spacing w:before="0" w:after="120"/>
      <w:ind w:left="360" w:hanging="360"/>
    </w:pPr>
    <w:rPr>
      <w:rFonts w:eastAsia="Times New Roman" w:cs="Times New Roman"/>
      <w:lang w:eastAsia="en-AU"/>
    </w:rPr>
  </w:style>
  <w:style w:type="character" w:customStyle="1" w:styleId="BulletTextChar">
    <w:name w:val="Bullet Text Char"/>
    <w:link w:val="BulletText"/>
    <w:uiPriority w:val="2"/>
    <w:locked/>
    <w:rsid w:val="00400B44"/>
    <w:rPr>
      <w:rFonts w:eastAsia="Times New Roman" w:cs="Times New Roman"/>
      <w:lang w:eastAsia="en-AU"/>
    </w:rPr>
  </w:style>
  <w:style w:type="character" w:customStyle="1" w:styleId="TableUnitsChar">
    <w:name w:val="Table Units Char"/>
    <w:basedOn w:val="DefaultParagraphFont"/>
    <w:link w:val="TableUnits"/>
    <w:uiPriority w:val="50"/>
    <w:rsid w:val="00400B44"/>
    <w:rPr>
      <w:rFonts w:asciiTheme="majorHAnsi" w:hAnsiTheme="majorHAnsi"/>
      <w:b/>
      <w:sz w:val="20"/>
      <w:szCs w:val="20"/>
    </w:rPr>
  </w:style>
  <w:style w:type="paragraph" w:customStyle="1" w:styleId="Notes">
    <w:name w:val="Notes"/>
    <w:basedOn w:val="Normal"/>
    <w:link w:val="NotesChar"/>
    <w:uiPriority w:val="44"/>
    <w:qFormat/>
    <w:rsid w:val="00400B44"/>
    <w:pPr>
      <w:keepLines w:val="0"/>
      <w:tabs>
        <w:tab w:val="left" w:pos="454"/>
      </w:tabs>
      <w:spacing w:before="0"/>
      <w:ind w:left="397" w:hanging="397"/>
    </w:pPr>
    <w:rPr>
      <w:rFonts w:asciiTheme="majorHAnsi" w:eastAsia="Times New Roman" w:hAnsiTheme="majorHAnsi" w:cs="Times New Roman"/>
      <w:i/>
      <w:sz w:val="15"/>
      <w:lang w:eastAsia="en-AU"/>
    </w:rPr>
  </w:style>
  <w:style w:type="character" w:customStyle="1" w:styleId="NotesChar">
    <w:name w:val="Notes Char"/>
    <w:link w:val="Notes"/>
    <w:locked/>
    <w:rsid w:val="00400B44"/>
    <w:rPr>
      <w:rFonts w:asciiTheme="majorHAnsi" w:eastAsia="Times New Roman" w:hAnsiTheme="majorHAnsi" w:cs="Times New Roman"/>
      <w:i/>
      <w:sz w:val="15"/>
      <w:lang w:eastAsia="en-AU"/>
    </w:rPr>
  </w:style>
  <w:style w:type="paragraph" w:customStyle="1" w:styleId="ControlledEntitiesDepartment">
    <w:name w:val="Controlled Entities Department"/>
    <w:basedOn w:val="Normal"/>
    <w:next w:val="Normal"/>
    <w:uiPriority w:val="97"/>
    <w:qFormat/>
    <w:rsid w:val="00400B44"/>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400B44"/>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character" w:customStyle="1" w:styleId="ListBulletChar">
    <w:name w:val="List Bullet Char"/>
    <w:basedOn w:val="DefaultParagraphFont"/>
    <w:link w:val="ListBullet"/>
    <w:uiPriority w:val="19"/>
    <w:rsid w:val="00400B44"/>
  </w:style>
  <w:style w:type="character" w:styleId="UnresolvedMention">
    <w:name w:val="Unresolved Mention"/>
    <w:basedOn w:val="DefaultParagraphFont"/>
    <w:uiPriority w:val="99"/>
    <w:semiHidden/>
    <w:unhideWhenUsed/>
    <w:rsid w:val="001F6582"/>
    <w:rPr>
      <w:color w:val="808080"/>
      <w:shd w:val="clear" w:color="auto" w:fill="E6E6E6"/>
    </w:rPr>
  </w:style>
  <w:style w:type="character" w:customStyle="1" w:styleId="HighlightBoxBulletChar">
    <w:name w:val="Highlight Box Bullet Char"/>
    <w:basedOn w:val="DefaultParagraphFont"/>
    <w:link w:val="HighlightBoxBullet"/>
    <w:uiPriority w:val="79"/>
    <w:rsid w:val="00E91C16"/>
    <w:rPr>
      <w:shd w:val="clear" w:color="auto" w:fill="F2F2F2" w:themeFill="background1" w:themeFillShade="F2"/>
    </w:rPr>
  </w:style>
  <w:style w:type="paragraph" w:customStyle="1" w:styleId="million">
    <w:name w:val="$million"/>
    <w:basedOn w:val="Normal"/>
    <w:link w:val="millionChar"/>
    <w:uiPriority w:val="39"/>
    <w:qFormat/>
    <w:rsid w:val="00E91C16"/>
    <w:pPr>
      <w:keepLines w:val="0"/>
      <w:spacing w:before="0"/>
      <w:jc w:val="center"/>
    </w:pPr>
    <w:rPr>
      <w:rFonts w:asciiTheme="majorHAnsi" w:eastAsia="Times New Roman" w:hAnsiTheme="majorHAnsi" w:cs="Times New Roman"/>
      <w:i/>
      <w:sz w:val="18"/>
      <w:szCs w:val="18"/>
    </w:rPr>
  </w:style>
  <w:style w:type="paragraph" w:customStyle="1" w:styleId="BP4Figures">
    <w:name w:val="BP4 Figures"/>
    <w:basedOn w:val="Normal"/>
    <w:semiHidden/>
    <w:rsid w:val="00E91C16"/>
    <w:pPr>
      <w:keepLines w:val="0"/>
      <w:spacing w:before="0" w:after="30"/>
    </w:pPr>
    <w:rPr>
      <w:rFonts w:eastAsia="Times New Roman" w:cs="Times New Roman"/>
      <w:sz w:val="18"/>
      <w:szCs w:val="20"/>
    </w:rPr>
  </w:style>
  <w:style w:type="paragraph" w:customStyle="1" w:styleId="BP4headingr">
    <w:name w:val="BP4 heading r"/>
    <w:basedOn w:val="Normal"/>
    <w:semiHidden/>
    <w:rsid w:val="00E91C16"/>
    <w:pPr>
      <w:keepLines w:val="0"/>
      <w:spacing w:before="0" w:after="120"/>
    </w:pPr>
    <w:rPr>
      <w:rFonts w:eastAsia="Times New Roman" w:cs="Times New Roman"/>
      <w:sz w:val="18"/>
      <w:szCs w:val="20"/>
    </w:rPr>
  </w:style>
  <w:style w:type="paragraph" w:customStyle="1" w:styleId="BP4headingl">
    <w:name w:val="BP4 heading l"/>
    <w:basedOn w:val="BP4headingr"/>
    <w:semiHidden/>
    <w:rsid w:val="00E91C16"/>
  </w:style>
  <w:style w:type="paragraph" w:customStyle="1" w:styleId="BP4tabletext">
    <w:name w:val="BP4 table text"/>
    <w:basedOn w:val="Normal"/>
    <w:semiHidden/>
    <w:rsid w:val="00E91C16"/>
    <w:pPr>
      <w:keepLines w:val="0"/>
      <w:spacing w:before="0" w:after="30"/>
      <w:ind w:left="72" w:hanging="72"/>
    </w:pPr>
    <w:rPr>
      <w:rFonts w:eastAsia="Times New Roman" w:cs="Times New Roman"/>
      <w:sz w:val="18"/>
      <w:szCs w:val="20"/>
    </w:rPr>
  </w:style>
  <w:style w:type="paragraph" w:customStyle="1" w:styleId="Tableheading0">
    <w:name w:val="Table heading"/>
    <w:basedOn w:val="Normal"/>
    <w:uiPriority w:val="34"/>
    <w:qFormat/>
    <w:rsid w:val="00E91C16"/>
    <w:pPr>
      <w:keepNext/>
      <w:keepLines w:val="0"/>
      <w:spacing w:before="240" w:after="120"/>
      <w:ind w:left="1152" w:hanging="1152"/>
    </w:pPr>
    <w:rPr>
      <w:rFonts w:asciiTheme="majorHAnsi" w:eastAsia="Times New Roman" w:hAnsiTheme="majorHAnsi" w:cs="Times New Roman"/>
      <w:b/>
      <w:szCs w:val="20"/>
    </w:rPr>
  </w:style>
  <w:style w:type="paragraph" w:customStyle="1" w:styleId="ChapterHeading0">
    <w:name w:val="Chapter Heading"/>
    <w:basedOn w:val="Normal"/>
    <w:next w:val="Heading10"/>
    <w:uiPriority w:val="89"/>
    <w:qFormat/>
    <w:rsid w:val="00E91C16"/>
    <w:pPr>
      <w:keepNext/>
      <w:keepLines w:val="0"/>
      <w:pBdr>
        <w:bottom w:val="single" w:sz="12" w:space="7" w:color="auto"/>
      </w:pBdr>
      <w:spacing w:before="1440" w:after="360"/>
    </w:pPr>
    <w:rPr>
      <w:rFonts w:ascii="Calibri" w:eastAsia="Times New Roman" w:hAnsi="Calibri" w:cs="Times New Roman"/>
      <w:b/>
      <w:caps/>
      <w:sz w:val="36"/>
      <w:szCs w:val="28"/>
    </w:rPr>
  </w:style>
  <w:style w:type="paragraph" w:customStyle="1" w:styleId="Chartheading">
    <w:name w:val="Chart heading"/>
    <w:basedOn w:val="Tableheading0"/>
    <w:next w:val="Normal"/>
    <w:uiPriority w:val="35"/>
    <w:qFormat/>
    <w:rsid w:val="00E91C16"/>
  </w:style>
  <w:style w:type="paragraph" w:customStyle="1" w:styleId="OGBullet">
    <w:name w:val="OGBullet"/>
    <w:basedOn w:val="Normal"/>
    <w:semiHidden/>
    <w:rsid w:val="00E91C16"/>
    <w:pPr>
      <w:keepLines w:val="0"/>
      <w:numPr>
        <w:numId w:val="16"/>
      </w:numPr>
      <w:spacing w:before="0" w:after="120"/>
    </w:pPr>
    <w:rPr>
      <w:rFonts w:ascii="Calibri" w:eastAsia="Times New Roman" w:hAnsi="Calibri" w:cs="Times New Roman"/>
      <w:sz w:val="20"/>
      <w:szCs w:val="18"/>
    </w:rPr>
  </w:style>
  <w:style w:type="paragraph" w:customStyle="1" w:styleId="OGHeading1">
    <w:name w:val="OGHeading1"/>
    <w:basedOn w:val="Normal"/>
    <w:semiHidden/>
    <w:rsid w:val="00E91C16"/>
    <w:pPr>
      <w:keepLines w:val="0"/>
      <w:spacing w:before="0" w:after="120"/>
    </w:pPr>
    <w:rPr>
      <w:rFonts w:ascii="Calibri" w:eastAsia="Times New Roman" w:hAnsi="Calibri" w:cs="Times New Roman"/>
      <w:b/>
      <w:sz w:val="32"/>
      <w:szCs w:val="28"/>
    </w:rPr>
  </w:style>
  <w:style w:type="paragraph" w:customStyle="1" w:styleId="OGHeading2">
    <w:name w:val="OGHeading2"/>
    <w:basedOn w:val="Normal"/>
    <w:link w:val="OGHeading2Char"/>
    <w:semiHidden/>
    <w:rsid w:val="00E91C16"/>
    <w:pPr>
      <w:keepNext/>
      <w:keepLines w:val="0"/>
      <w:spacing w:before="60" w:after="120"/>
    </w:pPr>
    <w:rPr>
      <w:rFonts w:ascii="Calibri" w:eastAsia="Times New Roman" w:hAnsi="Calibri" w:cs="Times New Roman"/>
      <w:b/>
      <w:sz w:val="28"/>
      <w:szCs w:val="24"/>
    </w:rPr>
  </w:style>
  <w:style w:type="character" w:customStyle="1" w:styleId="OGHeading2Char">
    <w:name w:val="OGHeading2 Char"/>
    <w:link w:val="OGHeading2"/>
    <w:semiHidden/>
    <w:rsid w:val="00E91C16"/>
    <w:rPr>
      <w:rFonts w:ascii="Calibri" w:eastAsia="Times New Roman" w:hAnsi="Calibri" w:cs="Times New Roman"/>
      <w:b/>
      <w:sz w:val="28"/>
      <w:szCs w:val="24"/>
    </w:rPr>
  </w:style>
  <w:style w:type="paragraph" w:customStyle="1" w:styleId="OGTabHead">
    <w:name w:val="OGTabHead"/>
    <w:basedOn w:val="Normal"/>
    <w:semiHidden/>
    <w:rsid w:val="00E91C16"/>
    <w:pPr>
      <w:keepNext/>
      <w:spacing w:before="30" w:after="30"/>
    </w:pPr>
    <w:rPr>
      <w:rFonts w:ascii="Calibri" w:eastAsia="Times New Roman" w:hAnsi="Calibri" w:cs="Times New Roman"/>
      <w:i/>
      <w:sz w:val="20"/>
      <w:szCs w:val="18"/>
    </w:rPr>
  </w:style>
  <w:style w:type="paragraph" w:customStyle="1" w:styleId="OGTabText">
    <w:name w:val="OGTabText"/>
    <w:basedOn w:val="Normal"/>
    <w:link w:val="OGTabTextChar"/>
    <w:semiHidden/>
    <w:rsid w:val="00E91C16"/>
    <w:pPr>
      <w:keepLines w:val="0"/>
      <w:spacing w:before="30" w:after="30"/>
      <w:ind w:left="144"/>
    </w:pPr>
    <w:rPr>
      <w:rFonts w:ascii="Calibri" w:eastAsia="Times New Roman" w:hAnsi="Calibri" w:cs="Times New Roman"/>
      <w:sz w:val="20"/>
      <w:szCs w:val="18"/>
    </w:rPr>
  </w:style>
  <w:style w:type="character" w:customStyle="1" w:styleId="OGTabTextChar">
    <w:name w:val="OGTabText Char"/>
    <w:link w:val="OGTabText"/>
    <w:semiHidden/>
    <w:rsid w:val="00E91C16"/>
    <w:rPr>
      <w:rFonts w:ascii="Calibri" w:eastAsia="Times New Roman" w:hAnsi="Calibri" w:cs="Times New Roman"/>
      <w:sz w:val="20"/>
      <w:szCs w:val="18"/>
    </w:rPr>
  </w:style>
  <w:style w:type="paragraph" w:customStyle="1" w:styleId="OGText">
    <w:name w:val="OGText"/>
    <w:basedOn w:val="Normal"/>
    <w:link w:val="OGTextChar"/>
    <w:semiHidden/>
    <w:rsid w:val="00E91C16"/>
    <w:pPr>
      <w:keepNext/>
      <w:keepLines w:val="0"/>
      <w:spacing w:before="40" w:after="120"/>
    </w:pPr>
    <w:rPr>
      <w:rFonts w:ascii="Calibri" w:eastAsia="Times New Roman" w:hAnsi="Calibri" w:cs="Times New Roman"/>
      <w:sz w:val="20"/>
      <w:szCs w:val="18"/>
    </w:rPr>
  </w:style>
  <w:style w:type="character" w:customStyle="1" w:styleId="OGTextChar">
    <w:name w:val="OGText Char"/>
    <w:link w:val="OGText"/>
    <w:semiHidden/>
    <w:rsid w:val="00E91C16"/>
    <w:rPr>
      <w:rFonts w:ascii="Calibri" w:eastAsia="Times New Roman" w:hAnsi="Calibri" w:cs="Times New Roman"/>
      <w:sz w:val="20"/>
      <w:szCs w:val="18"/>
    </w:rPr>
  </w:style>
  <w:style w:type="paragraph" w:customStyle="1" w:styleId="TableofContentsheading">
    <w:name w:val="Table of Contents heading"/>
    <w:basedOn w:val="ChapterHeading0"/>
    <w:next w:val="Normal"/>
    <w:uiPriority w:val="89"/>
    <w:rsid w:val="00E91C16"/>
  </w:style>
  <w:style w:type="paragraph" w:customStyle="1" w:styleId="Tableheadingcontinued">
    <w:name w:val="Table heading continued"/>
    <w:basedOn w:val="Tableheading0"/>
    <w:uiPriority w:val="34"/>
    <w:rsid w:val="00E91C16"/>
  </w:style>
  <w:style w:type="paragraph" w:customStyle="1" w:styleId="Heading5a">
    <w:name w:val="Heading 5a"/>
    <w:basedOn w:val="Heading5"/>
    <w:uiPriority w:val="19"/>
    <w:rsid w:val="00E91C16"/>
    <w:pPr>
      <w:keepLines w:val="0"/>
      <w:numPr>
        <w:ilvl w:val="0"/>
      </w:numPr>
      <w:tabs>
        <w:tab w:val="clear" w:pos="9582"/>
      </w:tabs>
      <w:spacing w:before="120" w:after="60"/>
    </w:pPr>
    <w:rPr>
      <w:rFonts w:eastAsia="Times New Roman" w:cs="Times New Roman"/>
      <w:b w:val="0"/>
      <w:i/>
      <w:iCs w:val="0"/>
      <w:szCs w:val="20"/>
    </w:rPr>
  </w:style>
  <w:style w:type="character" w:customStyle="1" w:styleId="OGTabBulletChar">
    <w:name w:val="OGTabBullet Char"/>
    <w:link w:val="OGTabBullet"/>
    <w:semiHidden/>
    <w:rsid w:val="00E91C16"/>
    <w:rPr>
      <w:rFonts w:ascii="Calibri" w:hAnsi="Calibri"/>
      <w:szCs w:val="18"/>
    </w:rPr>
  </w:style>
  <w:style w:type="paragraph" w:customStyle="1" w:styleId="OGTabBullet">
    <w:name w:val="OGTabBullet"/>
    <w:basedOn w:val="OGBullet"/>
    <w:link w:val="OGTabBulletChar"/>
    <w:semiHidden/>
    <w:rsid w:val="00E91C16"/>
    <w:pPr>
      <w:tabs>
        <w:tab w:val="clear" w:pos="360"/>
        <w:tab w:val="left" w:pos="604"/>
      </w:tabs>
      <w:spacing w:before="30" w:after="30"/>
      <w:ind w:left="605"/>
    </w:pPr>
    <w:rPr>
      <w:rFonts w:eastAsiaTheme="minorHAnsi" w:cstheme="minorBidi"/>
      <w:sz w:val="22"/>
    </w:rPr>
  </w:style>
  <w:style w:type="paragraph" w:customStyle="1" w:styleId="OGUoM">
    <w:name w:val="OGUoM"/>
    <w:basedOn w:val="Normal"/>
    <w:semiHidden/>
    <w:rsid w:val="00E91C16"/>
    <w:pPr>
      <w:keepLines w:val="0"/>
      <w:spacing w:before="30" w:after="30"/>
    </w:pPr>
    <w:rPr>
      <w:rFonts w:eastAsia="Times New Roman" w:cs="Times New Roman"/>
      <w:szCs w:val="20"/>
    </w:rPr>
  </w:style>
  <w:style w:type="paragraph" w:customStyle="1" w:styleId="DashText">
    <w:name w:val="Dash Text"/>
    <w:basedOn w:val="Normal"/>
    <w:uiPriority w:val="29"/>
    <w:qFormat/>
    <w:rsid w:val="00E91C16"/>
    <w:pPr>
      <w:keepLines w:val="0"/>
      <w:tabs>
        <w:tab w:val="num" w:pos="720"/>
      </w:tabs>
      <w:spacing w:before="0" w:after="120"/>
      <w:ind w:left="720" w:hanging="360"/>
    </w:pPr>
    <w:rPr>
      <w:rFonts w:eastAsia="Times New Roman" w:cs="Times New Roman"/>
      <w:szCs w:val="20"/>
    </w:rPr>
  </w:style>
  <w:style w:type="paragraph" w:customStyle="1" w:styleId="OGTableofFigures">
    <w:name w:val="OGTable of Figures"/>
    <w:basedOn w:val="Normal"/>
    <w:semiHidden/>
    <w:rsid w:val="00E91C16"/>
    <w:pPr>
      <w:keepLines w:val="0"/>
      <w:spacing w:before="30" w:after="30"/>
    </w:pPr>
    <w:rPr>
      <w:rFonts w:eastAsia="Times New Roman" w:cs="Times New Roman"/>
      <w:szCs w:val="20"/>
    </w:rPr>
  </w:style>
  <w:style w:type="paragraph" w:customStyle="1" w:styleId="NotesIndent">
    <w:name w:val="NotesIndent"/>
    <w:basedOn w:val="Notes"/>
    <w:uiPriority w:val="44"/>
    <w:rsid w:val="00E91C16"/>
    <w:pPr>
      <w:tabs>
        <w:tab w:val="clear" w:pos="454"/>
      </w:tabs>
      <w:ind w:left="624" w:firstLine="0"/>
    </w:pPr>
    <w:rPr>
      <w:szCs w:val="20"/>
      <w:lang w:eastAsia="en-US"/>
    </w:rPr>
  </w:style>
  <w:style w:type="paragraph" w:customStyle="1" w:styleId="NotesDash">
    <w:name w:val="NotesDash"/>
    <w:basedOn w:val="NotesIndent"/>
    <w:uiPriority w:val="44"/>
    <w:rsid w:val="00E91C16"/>
    <w:pPr>
      <w:numPr>
        <w:numId w:val="18"/>
      </w:numPr>
      <w:tabs>
        <w:tab w:val="clear" w:pos="922"/>
      </w:tabs>
      <w:ind w:left="624" w:hanging="227"/>
    </w:pPr>
  </w:style>
  <w:style w:type="paragraph" w:customStyle="1" w:styleId="VAGOText">
    <w:name w:val="VAGOText"/>
    <w:basedOn w:val="Normal"/>
    <w:semiHidden/>
    <w:rsid w:val="00E91C16"/>
    <w:pPr>
      <w:keepLines w:val="0"/>
      <w:spacing w:after="120"/>
    </w:pPr>
    <w:rPr>
      <w:rFonts w:ascii="Arial" w:eastAsia="Times New Roman" w:hAnsi="Arial" w:cs="Arial"/>
      <w:sz w:val="16"/>
      <w:szCs w:val="16"/>
    </w:rPr>
  </w:style>
  <w:style w:type="paragraph" w:customStyle="1" w:styleId="VAGOHeading2">
    <w:name w:val="VAGOHeading2"/>
    <w:basedOn w:val="Normal"/>
    <w:semiHidden/>
    <w:rsid w:val="00E91C16"/>
    <w:pPr>
      <w:keepLines w:val="0"/>
      <w:spacing w:before="0" w:after="120"/>
    </w:pPr>
    <w:rPr>
      <w:rFonts w:ascii="Arial" w:eastAsia="Times New Roman" w:hAnsi="Arial" w:cs="Arial"/>
      <w:b/>
      <w:sz w:val="16"/>
      <w:szCs w:val="16"/>
    </w:rPr>
  </w:style>
  <w:style w:type="paragraph" w:customStyle="1" w:styleId="VAGOHeading1">
    <w:name w:val="VAGOHeading1"/>
    <w:basedOn w:val="Normal"/>
    <w:semiHidden/>
    <w:rsid w:val="00E91C16"/>
    <w:pPr>
      <w:keepLines w:val="0"/>
      <w:spacing w:before="0" w:after="120"/>
      <w:jc w:val="center"/>
    </w:pPr>
    <w:rPr>
      <w:rFonts w:ascii="Arial" w:eastAsia="Times New Roman" w:hAnsi="Arial" w:cs="Arial"/>
      <w:b/>
      <w:sz w:val="17"/>
      <w:szCs w:val="17"/>
    </w:rPr>
  </w:style>
  <w:style w:type="paragraph" w:customStyle="1" w:styleId="VAGOHeading3">
    <w:name w:val="VAGOHeading3"/>
    <w:basedOn w:val="VAGOHeading2"/>
    <w:semiHidden/>
    <w:rsid w:val="00E91C16"/>
    <w:rPr>
      <w:b w:val="0"/>
      <w:i/>
    </w:rPr>
  </w:style>
  <w:style w:type="paragraph" w:customStyle="1" w:styleId="VAGOBullet">
    <w:name w:val="VAGOBullet"/>
    <w:basedOn w:val="VAGOText"/>
    <w:semiHidden/>
    <w:rsid w:val="00E91C16"/>
    <w:pPr>
      <w:numPr>
        <w:numId w:val="19"/>
      </w:numPr>
      <w:ind w:right="-51"/>
    </w:pPr>
    <w:rPr>
      <w:iCs/>
    </w:rPr>
  </w:style>
  <w:style w:type="paragraph" w:customStyle="1" w:styleId="Heading3NumberingBP4">
    <w:name w:val="Heading 3 Numbering BP4"/>
    <w:basedOn w:val="Normal"/>
    <w:uiPriority w:val="19"/>
    <w:semiHidden/>
    <w:rsid w:val="00E91C16"/>
    <w:pPr>
      <w:keepNext/>
      <w:keepLines w:val="0"/>
      <w:numPr>
        <w:numId w:val="17"/>
      </w:numPr>
      <w:tabs>
        <w:tab w:val="clear" w:pos="720"/>
        <w:tab w:val="left" w:pos="504"/>
      </w:tabs>
      <w:spacing w:before="240" w:after="120"/>
      <w:ind w:left="504" w:hanging="504"/>
      <w:outlineLvl w:val="2"/>
    </w:pPr>
    <w:rPr>
      <w:rFonts w:asciiTheme="majorHAnsi" w:eastAsia="Times New Roman" w:hAnsiTheme="majorHAnsi" w:cs="Times New Roman"/>
      <w:b/>
      <w:i/>
      <w:kern w:val="28"/>
      <w:sz w:val="24"/>
    </w:rPr>
  </w:style>
  <w:style w:type="paragraph" w:customStyle="1" w:styleId="Chartpara">
    <w:name w:val="Chart para"/>
    <w:basedOn w:val="Normal"/>
    <w:semiHidden/>
    <w:rsid w:val="00E91C16"/>
    <w:pPr>
      <w:keepLines w:val="0"/>
      <w:spacing w:before="0"/>
    </w:pPr>
    <w:rPr>
      <w:rFonts w:eastAsia="Times New Roman" w:cs="Times New Roman"/>
      <w:szCs w:val="20"/>
    </w:rPr>
  </w:style>
  <w:style w:type="paragraph" w:customStyle="1" w:styleId="OGTabColCentred">
    <w:name w:val="OGTabColCentred"/>
    <w:basedOn w:val="OGUoM"/>
    <w:semiHidden/>
    <w:rsid w:val="00E91C16"/>
    <w:rPr>
      <w:b/>
      <w:lang w:eastAsia="en-AU"/>
    </w:rPr>
  </w:style>
  <w:style w:type="paragraph" w:customStyle="1" w:styleId="OGTabColRight">
    <w:name w:val="OGTabColRight"/>
    <w:basedOn w:val="OGTableofFigures"/>
    <w:semiHidden/>
    <w:rsid w:val="00E91C16"/>
    <w:rPr>
      <w:b/>
    </w:rPr>
  </w:style>
  <w:style w:type="paragraph" w:customStyle="1" w:styleId="OGTabColLeft">
    <w:name w:val="OGTabColLeft"/>
    <w:basedOn w:val="OGTabColRight"/>
    <w:semiHidden/>
    <w:rsid w:val="00E91C16"/>
    <w:rPr>
      <w:lang w:eastAsia="en-AU"/>
    </w:rPr>
  </w:style>
  <w:style w:type="paragraph" w:customStyle="1" w:styleId="FrontPage">
    <w:name w:val="Front Page"/>
    <w:basedOn w:val="Normal"/>
    <w:semiHidden/>
    <w:rsid w:val="00E91C16"/>
    <w:pPr>
      <w:keepLines w:val="0"/>
      <w:spacing w:before="0" w:after="120"/>
      <w:jc w:val="center"/>
    </w:pPr>
    <w:rPr>
      <w:rFonts w:ascii="Calibri" w:eastAsia="Times New Roman" w:hAnsi="Calibri" w:cs="Times New Roman"/>
      <w:b/>
      <w:sz w:val="52"/>
      <w:szCs w:val="52"/>
    </w:rPr>
  </w:style>
  <w:style w:type="paragraph" w:customStyle="1" w:styleId="FrontPage2">
    <w:name w:val="Front Page 2"/>
    <w:basedOn w:val="FrontPage"/>
    <w:semiHidden/>
    <w:rsid w:val="00E91C16"/>
    <w:pPr>
      <w:pBdr>
        <w:bottom w:val="single" w:sz="12" w:space="1" w:color="auto"/>
      </w:pBdr>
    </w:pPr>
  </w:style>
  <w:style w:type="paragraph" w:customStyle="1" w:styleId="FrontPage3">
    <w:name w:val="Front Page 3"/>
    <w:basedOn w:val="Normal"/>
    <w:semiHidden/>
    <w:rsid w:val="00E91C16"/>
    <w:pPr>
      <w:keepLines w:val="0"/>
      <w:spacing w:before="0" w:after="120"/>
      <w:jc w:val="center"/>
    </w:pPr>
    <w:rPr>
      <w:rFonts w:ascii="Calibri" w:eastAsia="Times New Roman" w:hAnsi="Calibri" w:cs="Times New Roman"/>
      <w:sz w:val="28"/>
      <w:szCs w:val="28"/>
    </w:rPr>
  </w:style>
  <w:style w:type="paragraph" w:customStyle="1" w:styleId="FrontPageMin">
    <w:name w:val="Front Page Min"/>
    <w:basedOn w:val="Normal"/>
    <w:semiHidden/>
    <w:rsid w:val="00E91C16"/>
    <w:pPr>
      <w:keepLines w:val="0"/>
      <w:spacing w:before="0" w:after="120"/>
      <w:jc w:val="center"/>
    </w:pPr>
    <w:rPr>
      <w:rFonts w:ascii="Calibri" w:eastAsia="Times New Roman" w:hAnsi="Calibri" w:cs="Times New Roman"/>
      <w:sz w:val="36"/>
      <w:szCs w:val="36"/>
    </w:rPr>
  </w:style>
  <w:style w:type="paragraph" w:customStyle="1" w:styleId="FrontPageHon">
    <w:name w:val="Front Page Hon"/>
    <w:basedOn w:val="Normal"/>
    <w:semiHidden/>
    <w:rsid w:val="00E91C16"/>
    <w:pPr>
      <w:keepLines w:val="0"/>
      <w:spacing w:before="0" w:after="120"/>
      <w:jc w:val="center"/>
    </w:pPr>
    <w:rPr>
      <w:rFonts w:ascii="Calibri" w:eastAsia="Times New Roman" w:hAnsi="Calibri" w:cs="Times New Roman"/>
      <w:sz w:val="30"/>
      <w:szCs w:val="30"/>
    </w:rPr>
  </w:style>
  <w:style w:type="paragraph" w:customStyle="1" w:styleId="FrontPageBP">
    <w:name w:val="Front Page BP"/>
    <w:basedOn w:val="Normal"/>
    <w:semiHidden/>
    <w:rsid w:val="00E91C16"/>
    <w:pPr>
      <w:keepLines w:val="0"/>
      <w:spacing w:before="0" w:after="120"/>
      <w:jc w:val="center"/>
    </w:pPr>
    <w:rPr>
      <w:rFonts w:ascii="Calibri" w:eastAsia="Times New Roman" w:hAnsi="Calibri" w:cs="Times New Roman"/>
      <w:b/>
      <w:sz w:val="32"/>
      <w:szCs w:val="32"/>
    </w:rPr>
  </w:style>
  <w:style w:type="paragraph" w:customStyle="1" w:styleId="OGNotes">
    <w:name w:val="OGNotes"/>
    <w:basedOn w:val="NotesIndent"/>
    <w:semiHidden/>
    <w:rsid w:val="00E91C16"/>
    <w:pPr>
      <w:spacing w:after="60"/>
      <w:ind w:left="360" w:right="115"/>
    </w:pPr>
    <w:rPr>
      <w:lang w:eastAsia="en-AU"/>
    </w:rPr>
  </w:style>
  <w:style w:type="paragraph" w:customStyle="1" w:styleId="OGNotesIndent">
    <w:name w:val="OGNotesIndent"/>
    <w:basedOn w:val="OGNotes"/>
    <w:semiHidden/>
    <w:rsid w:val="00E91C16"/>
    <w:pPr>
      <w:ind w:left="720" w:hanging="360"/>
    </w:pPr>
  </w:style>
  <w:style w:type="paragraph" w:customStyle="1" w:styleId="TableofContentscontinued">
    <w:name w:val="Table of Contents continued"/>
    <w:basedOn w:val="Normal"/>
    <w:uiPriority w:val="90"/>
    <w:rsid w:val="00E91C16"/>
    <w:pPr>
      <w:keepNext/>
      <w:keepLines w:val="0"/>
      <w:tabs>
        <w:tab w:val="left" w:pos="1152"/>
      </w:tabs>
      <w:spacing w:before="240" w:after="120"/>
      <w:ind w:left="1152" w:hanging="1152"/>
      <w:outlineLvl w:val="1"/>
    </w:pPr>
    <w:rPr>
      <w:rFonts w:ascii="Calibri" w:eastAsia="Times New Roman" w:hAnsi="Calibri" w:cs="Times New Roman"/>
      <w:b/>
      <w:kern w:val="28"/>
      <w:sz w:val="26"/>
    </w:rPr>
  </w:style>
  <w:style w:type="character" w:customStyle="1" w:styleId="millionChar">
    <w:name w:val="$million Char"/>
    <w:link w:val="million"/>
    <w:uiPriority w:val="39"/>
    <w:rsid w:val="00E91C16"/>
    <w:rPr>
      <w:rFonts w:asciiTheme="majorHAnsi" w:eastAsia="Times New Roman" w:hAnsiTheme="majorHAnsi" w:cs="Times New Roman"/>
      <w:i/>
      <w:sz w:val="18"/>
      <w:szCs w:val="18"/>
    </w:rPr>
  </w:style>
  <w:style w:type="table" w:customStyle="1" w:styleId="DTFTable1">
    <w:name w:val="DTF Table1"/>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2">
    <w:name w:val="DTF Table2"/>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3">
    <w:name w:val="DTF Table3"/>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4">
    <w:name w:val="DTF Table4"/>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5">
    <w:name w:val="DTF Table5"/>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6">
    <w:name w:val="DTF Table6"/>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7">
    <w:name w:val="DTF Table7"/>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8">
    <w:name w:val="DTF Table8"/>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9">
    <w:name w:val="DTF Table9"/>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table" w:customStyle="1" w:styleId="DTFTable10">
    <w:name w:val="DTF Table10"/>
    <w:basedOn w:val="TableNormal"/>
    <w:uiPriority w:val="99"/>
    <w:rsid w:val="00E91C16"/>
    <w:pPr>
      <w:spacing w:before="20" w:after="20"/>
      <w:jc w:val="right"/>
    </w:pPr>
    <w:rPr>
      <w:rFonts w:ascii="Calibri" w:eastAsia="Garamond" w:hAnsi="Calibri" w:cs="Times New Roman"/>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vAlign w:val="bottom"/>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20.xml"/><Relationship Id="rId50" Type="http://schemas.openxmlformats.org/officeDocument/2006/relationships/footer" Target="footer21.xml"/><Relationship Id="rId55" Type="http://schemas.openxmlformats.org/officeDocument/2006/relationships/footer" Target="footer23.xml"/><Relationship Id="rId63" Type="http://schemas.openxmlformats.org/officeDocument/2006/relationships/header" Target="header26.xml"/><Relationship Id="rId68" Type="http://schemas.openxmlformats.org/officeDocument/2006/relationships/footer" Target="footer29.xml"/><Relationship Id="rId76" Type="http://schemas.openxmlformats.org/officeDocument/2006/relationships/image" Target="media/image9.emf"/><Relationship Id="rId84" Type="http://schemas.openxmlformats.org/officeDocument/2006/relationships/header" Target="header31.xml"/><Relationship Id="rId89" Type="http://schemas.openxmlformats.org/officeDocument/2006/relationships/footer" Target="footer40.xml"/><Relationship Id="rId97" Type="http://schemas.openxmlformats.org/officeDocument/2006/relationships/footer" Target="footer43.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4.png"/><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9.xml"/><Relationship Id="rId53" Type="http://schemas.openxmlformats.org/officeDocument/2006/relationships/header" Target="header20.xml"/><Relationship Id="rId58" Type="http://schemas.openxmlformats.org/officeDocument/2006/relationships/footer" Target="footer25.xml"/><Relationship Id="rId66" Type="http://schemas.openxmlformats.org/officeDocument/2006/relationships/footer" Target="footer28.xml"/><Relationship Id="rId74" Type="http://schemas.openxmlformats.org/officeDocument/2006/relationships/image" Target="media/image7.emf"/><Relationship Id="rId79" Type="http://schemas.openxmlformats.org/officeDocument/2006/relationships/footer" Target="footer35.xml"/><Relationship Id="rId87"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header" Target="header25.xml"/><Relationship Id="rId82" Type="http://schemas.openxmlformats.org/officeDocument/2006/relationships/footer" Target="footer36.xml"/><Relationship Id="rId90" Type="http://schemas.openxmlformats.org/officeDocument/2006/relationships/header" Target="header34.xml"/><Relationship Id="rId95" Type="http://schemas.openxmlformats.org/officeDocument/2006/relationships/header" Target="header36.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eader" Target="header8.xml"/><Relationship Id="rId35" Type="http://schemas.openxmlformats.org/officeDocument/2006/relationships/footer" Target="footer14.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footer" Target="footer24.xml"/><Relationship Id="rId64" Type="http://schemas.openxmlformats.org/officeDocument/2006/relationships/header" Target="header27.xml"/><Relationship Id="rId69" Type="http://schemas.openxmlformats.org/officeDocument/2006/relationships/footer" Target="footer30.xml"/><Relationship Id="rId77" Type="http://schemas.openxmlformats.org/officeDocument/2006/relationships/footer" Target="footer33.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image" Target="media/image5.emf"/><Relationship Id="rId80" Type="http://schemas.openxmlformats.org/officeDocument/2006/relationships/header" Target="header29.xml"/><Relationship Id="rId85" Type="http://schemas.openxmlformats.org/officeDocument/2006/relationships/footer" Target="footer38.xml"/><Relationship Id="rId93" Type="http://schemas.openxmlformats.org/officeDocument/2006/relationships/image" Target="media/image11.pn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header" Target="header28.xml"/><Relationship Id="rId20" Type="http://schemas.openxmlformats.org/officeDocument/2006/relationships/header" Target="header6.xml"/><Relationship Id="rId41" Type="http://schemas.openxmlformats.org/officeDocument/2006/relationships/footer" Target="footer17.xml"/><Relationship Id="rId54" Type="http://schemas.openxmlformats.org/officeDocument/2006/relationships/header" Target="header21.xml"/><Relationship Id="rId62" Type="http://schemas.openxmlformats.org/officeDocument/2006/relationships/footer" Target="footer26.xml"/><Relationship Id="rId70" Type="http://schemas.openxmlformats.org/officeDocument/2006/relationships/footer" Target="footer31.xml"/><Relationship Id="rId75" Type="http://schemas.openxmlformats.org/officeDocument/2006/relationships/image" Target="media/image8.emf"/><Relationship Id="rId83" Type="http://schemas.openxmlformats.org/officeDocument/2006/relationships/footer" Target="footer37.xml"/><Relationship Id="rId88" Type="http://schemas.openxmlformats.org/officeDocument/2006/relationships/footer" Target="footer39.xml"/><Relationship Id="rId91" Type="http://schemas.openxmlformats.org/officeDocument/2006/relationships/footer" Target="footer41.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eader" Target="header24.xml"/><Relationship Id="rId65" Type="http://schemas.openxmlformats.org/officeDocument/2006/relationships/footer" Target="footer27.xml"/><Relationship Id="rId73" Type="http://schemas.openxmlformats.org/officeDocument/2006/relationships/image" Target="media/image6.emf"/><Relationship Id="rId78" Type="http://schemas.openxmlformats.org/officeDocument/2006/relationships/footer" Target="footer34.xml"/><Relationship Id="rId81" Type="http://schemas.openxmlformats.org/officeDocument/2006/relationships/header" Target="header30.xml"/><Relationship Id="rId86" Type="http://schemas.openxmlformats.org/officeDocument/2006/relationships/header" Target="header32.xml"/><Relationship Id="rId94" Type="http://schemas.openxmlformats.org/officeDocument/2006/relationships/header" Target="header35.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footer" Target="footer16.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D5B5-0B8E-4395-84C6-8C26C0CF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29313</Words>
  <Characters>167089</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Victorian Pre-Election Budget Update</dc:title>
  <dc:subject/>
  <dc:creator/>
  <cp:keywords>2018 Victorian Pre-Election Budget Update</cp:keywords>
  <cp:lastModifiedBy/>
  <cp:revision>1</cp:revision>
  <dcterms:created xsi:type="dcterms:W3CDTF">2018-11-02T02:55:00Z</dcterms:created>
  <dcterms:modified xsi:type="dcterms:W3CDTF">2018-11-02T02:58:00Z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89fd1f4d-76d3-4c9a-bae4-50db1693dcc6</vt:lpwstr>
  </property>
  <property fmtid="{D5CDD505-2E9C-101B-9397-08002B2CF9AE}" pid="3" name="Classification">
    <vt:lpwstr>Do Not Mark</vt:lpwstr>
  </property>
</Properties>
</file>